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160A" w14:textId="77777777" w:rsidR="005967E3" w:rsidRPr="0082639C" w:rsidRDefault="005967E3" w:rsidP="005967E3">
      <w:pPr>
        <w:rPr>
          <w:b/>
          <w:bCs/>
        </w:rPr>
      </w:pPr>
      <w:r w:rsidRPr="0082639C">
        <w:rPr>
          <w:b/>
          <w:bCs/>
        </w:rPr>
        <w:t>Risk Register for PBA Alternative Project</w:t>
      </w:r>
    </w:p>
    <w:p w14:paraId="134073CC" w14:textId="77777777" w:rsidR="005967E3" w:rsidRPr="0082639C" w:rsidRDefault="005967E3" w:rsidP="005967E3">
      <w:r w:rsidRPr="0082639C">
        <w:t>Here is a risk register for the Prussian Blue Analog (PBA) alternative project, generated in markdown format. The probabilities and impacts are taken directly from the probabilistic data in the </w:t>
      </w:r>
      <w:hyperlink r:id="rId4" w:tooltip="h:\My Drive\New folder\DataAnalysisWebsite\Scientific\MASTER_VALIDATION_DATABASE.txt" w:history="1">
        <w:r w:rsidRPr="0082639C">
          <w:rPr>
            <w:rStyle w:val="Hyperlink"/>
          </w:rPr>
          <w:t>MASTER_VALIDATION_DATABASE.txt</w:t>
        </w:r>
      </w:hyperlink>
      <w:r w:rsidRPr="0082639C">
        <w:t> and </w:t>
      </w:r>
      <w:hyperlink r:id="rId5" w:tooltip="h:\My Drive\New folder\DataAnalysisWebsite\Scientific\Q-SMEC Deep Scientific Analysis_text.txt" w:history="1">
        <w:r w:rsidRPr="0082639C">
          <w:rPr>
            <w:rStyle w:val="Hyperlink"/>
          </w:rPr>
          <w:t>Q-SMEC Deep Scientific Analysis_text.txt</w:t>
        </w:r>
      </w:hyperlink>
      <w:r w:rsidRPr="0082639C">
        <w:t> files.</w:t>
      </w:r>
    </w:p>
    <w:tbl>
      <w:tblPr>
        <w:tblW w:w="99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2663"/>
        <w:gridCol w:w="1571"/>
        <w:gridCol w:w="1246"/>
        <w:gridCol w:w="1026"/>
        <w:gridCol w:w="1089"/>
        <w:gridCol w:w="1680"/>
      </w:tblGrid>
      <w:tr w:rsidR="005967E3" w:rsidRPr="0082639C" w14:paraId="279BDC07" w14:textId="77777777" w:rsidTr="003F25D6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2AA71DD2" w14:textId="77777777" w:rsidR="005967E3" w:rsidRPr="0082639C" w:rsidRDefault="005967E3" w:rsidP="003F25D6">
            <w:pPr>
              <w:rPr>
                <w:b/>
                <w:bCs/>
              </w:rPr>
            </w:pPr>
            <w:r w:rsidRPr="0082639C">
              <w:rPr>
                <w:b/>
                <w:bCs/>
              </w:rPr>
              <w:t>Risk ID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682FCA6B" w14:textId="77777777" w:rsidR="005967E3" w:rsidRPr="0082639C" w:rsidRDefault="005967E3" w:rsidP="003F25D6">
            <w:pPr>
              <w:rPr>
                <w:b/>
                <w:bCs/>
              </w:rPr>
            </w:pPr>
            <w:r w:rsidRPr="0082639C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0C754F81" w14:textId="77777777" w:rsidR="005967E3" w:rsidRPr="0082639C" w:rsidRDefault="005967E3" w:rsidP="003F25D6">
            <w:pPr>
              <w:rPr>
                <w:b/>
                <w:bCs/>
              </w:rPr>
            </w:pPr>
            <w:r w:rsidRPr="0082639C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0B77B92B" w14:textId="77777777" w:rsidR="005967E3" w:rsidRPr="0082639C" w:rsidRDefault="005967E3" w:rsidP="003F25D6">
            <w:pPr>
              <w:rPr>
                <w:b/>
                <w:bCs/>
              </w:rPr>
            </w:pPr>
            <w:r w:rsidRPr="0082639C">
              <w:rPr>
                <w:b/>
                <w:bCs/>
              </w:rPr>
              <w:t>Probability (P)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0B076E08" w14:textId="77777777" w:rsidR="005967E3" w:rsidRPr="0082639C" w:rsidRDefault="005967E3" w:rsidP="003F25D6">
            <w:pPr>
              <w:rPr>
                <w:b/>
                <w:bCs/>
              </w:rPr>
            </w:pPr>
            <w:r w:rsidRPr="0082639C">
              <w:rPr>
                <w:b/>
                <w:bCs/>
              </w:rPr>
              <w:t>Impact (I)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3714E05B" w14:textId="77777777" w:rsidR="005967E3" w:rsidRPr="0082639C" w:rsidRDefault="005967E3" w:rsidP="003F25D6">
            <w:pPr>
              <w:rPr>
                <w:b/>
                <w:bCs/>
              </w:rPr>
            </w:pPr>
            <w:r w:rsidRPr="0082639C">
              <w:rPr>
                <w:b/>
                <w:bCs/>
              </w:rPr>
              <w:t>Expected Loss (P × I)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36EFC66C" w14:textId="77777777" w:rsidR="005967E3" w:rsidRPr="0082639C" w:rsidRDefault="005967E3" w:rsidP="003F25D6">
            <w:pPr>
              <w:rPr>
                <w:b/>
                <w:bCs/>
              </w:rPr>
            </w:pPr>
            <w:r w:rsidRPr="0082639C">
              <w:rPr>
                <w:b/>
                <w:bCs/>
              </w:rPr>
              <w:t>Mitigation Strategy</w:t>
            </w:r>
          </w:p>
        </w:tc>
      </w:tr>
      <w:tr w:rsidR="005967E3" w:rsidRPr="0082639C" w14:paraId="4734225B" w14:textId="77777777" w:rsidTr="003F25D6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2154B443" w14:textId="77777777" w:rsidR="005967E3" w:rsidRPr="0082639C" w:rsidRDefault="005967E3" w:rsidP="003F25D6">
            <w:r w:rsidRPr="0082639C">
              <w:rPr>
                <w:b/>
                <w:bCs/>
              </w:rPr>
              <w:t>TEC-01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49943F43" w14:textId="77777777" w:rsidR="005967E3" w:rsidRPr="0082639C" w:rsidRDefault="005967E3" w:rsidP="003F25D6">
            <w:r w:rsidRPr="0082639C">
              <w:rPr>
                <w:b/>
                <w:bCs/>
              </w:rPr>
              <w:t>Simulation-Physical Mismatch:</w:t>
            </w:r>
            <w:r w:rsidRPr="0082639C">
              <w:t> The performance of the fabricated PBA prototype (e.g., energy density, cycle life) does not match the predictions from the quantum models and AI-DOE simulations.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574BCDC5" w14:textId="77777777" w:rsidR="005967E3" w:rsidRPr="0082639C" w:rsidRDefault="005967E3" w:rsidP="003F25D6">
            <w:r w:rsidRPr="0082639C">
              <w:t>Technical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1221F601" w14:textId="77777777" w:rsidR="005967E3" w:rsidRPr="0082639C" w:rsidRDefault="005967E3" w:rsidP="003F25D6">
            <w:r w:rsidRPr="0082639C">
              <w:t>35%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3BE74C5F" w14:textId="77777777" w:rsidR="005967E3" w:rsidRPr="0082639C" w:rsidRDefault="005967E3" w:rsidP="003F25D6">
            <w:r w:rsidRPr="0082639C">
              <w:t>$400,000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3369A158" w14:textId="77777777" w:rsidR="005967E3" w:rsidRPr="0082639C" w:rsidRDefault="005967E3" w:rsidP="003F25D6">
            <w:r w:rsidRPr="0082639C">
              <w:t>$140,000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765F75B9" w14:textId="77777777" w:rsidR="005967E3" w:rsidRPr="0082639C" w:rsidRDefault="005967E3" w:rsidP="003F25D6">
            <w:r w:rsidRPr="0082639C">
              <w:t>1. Anchor quantum models with early physical test data from baseline materials. 2. Use Bayesian optimization to re-weight the DOE parameter space based on initial prototype results. 3. Maintain a diverse portfolio of the top 10 candidate compositions for fabrication.</w:t>
            </w:r>
          </w:p>
        </w:tc>
      </w:tr>
      <w:tr w:rsidR="005967E3" w:rsidRPr="0082639C" w14:paraId="56504D34" w14:textId="77777777" w:rsidTr="003F25D6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3616E97B" w14:textId="77777777" w:rsidR="005967E3" w:rsidRPr="0082639C" w:rsidRDefault="005967E3" w:rsidP="003F25D6">
            <w:r w:rsidRPr="0082639C">
              <w:rPr>
                <w:b/>
                <w:bCs/>
              </w:rPr>
              <w:t>MAN-01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2807E728" w14:textId="77777777" w:rsidR="005967E3" w:rsidRPr="0082639C" w:rsidRDefault="005967E3" w:rsidP="003F25D6">
            <w:r w:rsidRPr="0082639C">
              <w:rPr>
                <w:b/>
                <w:bCs/>
              </w:rPr>
              <w:t>Fabrication Yield Shortfall:</w:t>
            </w:r>
            <w:r w:rsidRPr="0082639C">
              <w:t xml:space="preserve"> The manufacturing process (CVD, annealing) for the PBA material fails to </w:t>
            </w:r>
            <w:r w:rsidRPr="0082639C">
              <w:lastRenderedPageBreak/>
              <w:t>achieve the required yield (T3 Exit: ≥60%, T5 Exit: ≥80%) or quality metrics (e.g., XRD FWHM, stoichiometry).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523BAA58" w14:textId="77777777" w:rsidR="005967E3" w:rsidRPr="0082639C" w:rsidRDefault="005967E3" w:rsidP="003F25D6">
            <w:r w:rsidRPr="0082639C">
              <w:lastRenderedPageBreak/>
              <w:t>Technical / Manufacturing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5602D061" w14:textId="77777777" w:rsidR="005967E3" w:rsidRPr="0082639C" w:rsidRDefault="005967E3" w:rsidP="003F25D6">
            <w:r w:rsidRPr="0082639C">
              <w:t>30%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4500EDFB" w14:textId="77777777" w:rsidR="005967E3" w:rsidRPr="0082639C" w:rsidRDefault="005967E3" w:rsidP="003F25D6">
            <w:r w:rsidRPr="0082639C">
              <w:t>$300,000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4FB6A0BB" w14:textId="77777777" w:rsidR="005967E3" w:rsidRPr="0082639C" w:rsidRDefault="005967E3" w:rsidP="003F25D6">
            <w:r w:rsidRPr="0082639C">
              <w:t>$90,000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2C410B03" w14:textId="77777777" w:rsidR="005967E3" w:rsidRPr="0082639C" w:rsidRDefault="005967E3" w:rsidP="003F25D6">
            <w:r w:rsidRPr="0082639C">
              <w:t xml:space="preserve">1. Implement Statistical Process Control (SPC) on key process </w:t>
            </w:r>
            <w:r w:rsidRPr="0082639C">
              <w:lastRenderedPageBreak/>
              <w:t>parameters (temperature, pressure, time). 2. Establish inline metrology gates (e.g., post-deposition XRD) to catch deviations early. 3. Develop and validate "golden" tool recipes and retain twin samples for forensic analysis.</w:t>
            </w:r>
          </w:p>
        </w:tc>
      </w:tr>
      <w:tr w:rsidR="005967E3" w:rsidRPr="0082639C" w14:paraId="4108C5EB" w14:textId="77777777" w:rsidTr="003F25D6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61AE98EF" w14:textId="77777777" w:rsidR="005967E3" w:rsidRPr="0082639C" w:rsidRDefault="005967E3" w:rsidP="003F25D6">
            <w:r w:rsidRPr="0082639C">
              <w:rPr>
                <w:b/>
                <w:bCs/>
              </w:rPr>
              <w:lastRenderedPageBreak/>
              <w:t>SUP-01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022DE8E3" w14:textId="77777777" w:rsidR="005967E3" w:rsidRPr="0082639C" w:rsidRDefault="005967E3" w:rsidP="003F25D6">
            <w:r w:rsidRPr="0082639C">
              <w:rPr>
                <w:b/>
                <w:bCs/>
              </w:rPr>
              <w:t>Supply Chain Constraints:</w:t>
            </w:r>
            <w:r w:rsidRPr="0082639C">
              <w:t> Delays or quality issues in procuring high-purity precursor materials (e.g., iron salts, cyanides, dopant sources) for the PBA synthesis.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364BFAB2" w14:textId="77777777" w:rsidR="005967E3" w:rsidRPr="0082639C" w:rsidRDefault="005967E3" w:rsidP="003F25D6">
            <w:r w:rsidRPr="0082639C">
              <w:t>Business / Supply Chain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1BDD5B48" w14:textId="77777777" w:rsidR="005967E3" w:rsidRPr="0082639C" w:rsidRDefault="005967E3" w:rsidP="003F25D6">
            <w:r w:rsidRPr="0082639C">
              <w:t>25%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160390C2" w14:textId="77777777" w:rsidR="005967E3" w:rsidRPr="0082639C" w:rsidRDefault="005967E3" w:rsidP="003F25D6">
            <w:r w:rsidRPr="0082639C">
              <w:t>$200,000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21D50D6A" w14:textId="77777777" w:rsidR="005967E3" w:rsidRPr="0082639C" w:rsidRDefault="005967E3" w:rsidP="003F25D6">
            <w:r w:rsidRPr="0082639C">
              <w:t>$50,000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0570520F" w14:textId="77777777" w:rsidR="005967E3" w:rsidRPr="0082639C" w:rsidRDefault="005967E3" w:rsidP="003F25D6">
            <w:r w:rsidRPr="0082639C">
              <w:t xml:space="preserve">1. Qualify and establish relationships with at least two independent suppliers for critical precursors. 2. Maintain a strategic buffer inventory of long-lead-time or single-source materials. 3. Implement </w:t>
            </w:r>
            <w:r w:rsidRPr="0082639C">
              <w:lastRenderedPageBreak/>
              <w:t>incoming quality control (IQC) to verify purity of all raw materials.</w:t>
            </w:r>
          </w:p>
        </w:tc>
      </w:tr>
      <w:tr w:rsidR="005967E3" w:rsidRPr="0082639C" w14:paraId="00E25C39" w14:textId="77777777" w:rsidTr="003F25D6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089D9241" w14:textId="77777777" w:rsidR="005967E3" w:rsidRPr="0082639C" w:rsidRDefault="005967E3" w:rsidP="003F25D6">
            <w:r w:rsidRPr="0082639C">
              <w:rPr>
                <w:b/>
                <w:bCs/>
              </w:rPr>
              <w:lastRenderedPageBreak/>
              <w:t>FUN-01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20007ED6" w14:textId="77777777" w:rsidR="005967E3" w:rsidRPr="0082639C" w:rsidRDefault="005967E3" w:rsidP="003F25D6">
            <w:r w:rsidRPr="0082639C">
              <w:rPr>
                <w:b/>
                <w:bCs/>
              </w:rPr>
              <w:t>Under-Capitalized Prototypes:</w:t>
            </w:r>
            <w:r w:rsidRPr="0082639C">
              <w:t> Insufficient funding to complete the full 54-week NRE cycle, potentially halting the project after initial modeling (Task 1-2) but before a licensable prototype (Task 4) is ready.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4E0EAC8F" w14:textId="77777777" w:rsidR="005967E3" w:rsidRPr="0082639C" w:rsidRDefault="005967E3" w:rsidP="003F25D6">
            <w:r w:rsidRPr="0082639C">
              <w:t>Funding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23FEDB78" w14:textId="77777777" w:rsidR="005967E3" w:rsidRPr="0082639C" w:rsidRDefault="005967E3" w:rsidP="003F25D6">
            <w:r w:rsidRPr="0082639C">
              <w:t>-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03364531" w14:textId="77777777" w:rsidR="005967E3" w:rsidRPr="0082639C" w:rsidRDefault="005967E3" w:rsidP="003F25D6">
            <w:r w:rsidRPr="0082639C">
              <w:t>High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54091DED" w14:textId="77777777" w:rsidR="005967E3" w:rsidRPr="0082639C" w:rsidRDefault="005967E3" w:rsidP="003F25D6">
            <w:r w:rsidRPr="0082639C">
              <w:t>-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7CCDDE9E" w14:textId="77777777" w:rsidR="005967E3" w:rsidRPr="0082639C" w:rsidRDefault="005967E3" w:rsidP="003F25D6">
            <w:r w:rsidRPr="0082639C">
              <w:t xml:space="preserve">1. Utilize the partner co-IP funding model where a strategic partner funds development </w:t>
            </w:r>
            <w:proofErr w:type="gramStart"/>
            <w:r w:rsidRPr="0082639C">
              <w:t>in</w:t>
            </w:r>
            <w:proofErr w:type="gramEnd"/>
            <w:r w:rsidRPr="0082639C">
              <w:t xml:space="preserve"> exchange for IP rights. 2. Structure funding tranches tied to the successful completion of TRL Go/No-Go gates.</w:t>
            </w:r>
          </w:p>
        </w:tc>
      </w:tr>
      <w:tr w:rsidR="005967E3" w:rsidRPr="0082639C" w14:paraId="1AA0FB0D" w14:textId="77777777" w:rsidTr="003F25D6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06F89DE6" w14:textId="77777777" w:rsidR="005967E3" w:rsidRPr="0082639C" w:rsidRDefault="005967E3" w:rsidP="003F25D6">
            <w:r w:rsidRPr="0082639C">
              <w:rPr>
                <w:b/>
                <w:bCs/>
              </w:rPr>
              <w:t>IP-01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0ACE33F6" w14:textId="77777777" w:rsidR="005967E3" w:rsidRPr="0082639C" w:rsidRDefault="005967E3" w:rsidP="003F25D6">
            <w:r w:rsidRPr="0082639C">
              <w:rPr>
                <w:b/>
                <w:bCs/>
              </w:rPr>
              <w:t>Leakage of Confidential Material:</w:t>
            </w:r>
            <w:r w:rsidRPr="0082639C">
              <w:t> Unauthorized disclosure of the proprietary PBA composition (e.g., the specific dopants used from the 12 undisclosed elements) or manufacturing processes.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23AC1436" w14:textId="77777777" w:rsidR="005967E3" w:rsidRPr="0082639C" w:rsidRDefault="005967E3" w:rsidP="003F25D6">
            <w:r w:rsidRPr="0082639C">
              <w:t>IP / Security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1B90216A" w14:textId="77777777" w:rsidR="005967E3" w:rsidRPr="0082639C" w:rsidRDefault="005967E3" w:rsidP="003F25D6">
            <w:r w:rsidRPr="0082639C">
              <w:t>-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035EADC6" w14:textId="77777777" w:rsidR="005967E3" w:rsidRPr="0082639C" w:rsidRDefault="005967E3" w:rsidP="003F25D6">
            <w:r w:rsidRPr="0082639C">
              <w:t>High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623D40FC" w14:textId="77777777" w:rsidR="005967E3" w:rsidRPr="0082639C" w:rsidRDefault="005967E3" w:rsidP="003F25D6">
            <w:r w:rsidRPr="0082639C">
              <w:t>-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62F2E0A5" w14:textId="77777777" w:rsidR="005967E3" w:rsidRPr="0082639C" w:rsidRDefault="005967E3" w:rsidP="003F25D6">
            <w:r w:rsidRPr="0082639C">
              <w:t xml:space="preserve">1. Enforce strict NDAs with all personnel and partners. 2. Operate within a secure data enclave with access controls. 3. Use a partial disclosure strategy, revealing only </w:t>
            </w:r>
            <w:r w:rsidRPr="0082639C">
              <w:lastRenderedPageBreak/>
              <w:t>necessary information to partners at each stage.</w:t>
            </w:r>
          </w:p>
        </w:tc>
      </w:tr>
    </w:tbl>
    <w:p w14:paraId="2CCBE4C9" w14:textId="77777777" w:rsidR="005967E3" w:rsidRDefault="005967E3" w:rsidP="005967E3"/>
    <w:p w14:paraId="4244CFE4" w14:textId="77777777" w:rsidR="00A0709A" w:rsidRDefault="00A0709A"/>
    <w:sectPr w:rsidR="00A07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03"/>
    <w:rsid w:val="00076603"/>
    <w:rsid w:val="005967E3"/>
    <w:rsid w:val="006B2AAB"/>
    <w:rsid w:val="009D5B51"/>
    <w:rsid w:val="00A0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5471E"/>
  <w15:chartTrackingRefBased/>
  <w15:docId w15:val="{D06B2B87-658A-45E4-AB03-FE2BF68A8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7E3"/>
  </w:style>
  <w:style w:type="paragraph" w:styleId="Heading1">
    <w:name w:val="heading 1"/>
    <w:basedOn w:val="Normal"/>
    <w:next w:val="Normal"/>
    <w:link w:val="Heading1Char"/>
    <w:uiPriority w:val="9"/>
    <w:qFormat/>
    <w:rsid w:val="00076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6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67E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de-assist-path:h:\My%20Drive\New%20folder\DataAnalysisWebsite\Scientific\Q-SMEC%20Deep%20Scientific%20Analysis_text.txt" TargetMode="External"/><Relationship Id="rId4" Type="http://schemas.openxmlformats.org/officeDocument/2006/relationships/hyperlink" Target="code-assist-path:h:\My%20Drive\New%20folder\DataAnalysisWebsite\Scientific\MASTER_VALIDATION_DATABASE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 Dely</dc:creator>
  <cp:keywords/>
  <dc:description/>
  <cp:lastModifiedBy>Sal Dely</cp:lastModifiedBy>
  <cp:revision>2</cp:revision>
  <dcterms:created xsi:type="dcterms:W3CDTF">2025-10-21T19:42:00Z</dcterms:created>
  <dcterms:modified xsi:type="dcterms:W3CDTF">2025-10-21T19:42:00Z</dcterms:modified>
</cp:coreProperties>
</file>