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f56ff7b15d006b8a751bbf7f256d3bba8ef308"/>
    <w:p>
      <w:pPr>
        <w:pStyle w:val="Heading1"/>
      </w:pPr>
      <w:r>
        <w:t xml:space="preserve">VALIDATION REPORT: PERSONAL SYSTEM (CAPE TEST)</w:t>
      </w:r>
    </w:p>
    <w:p>
      <w:pPr>
        <w:pStyle w:val="FirstParagraph"/>
      </w:pPr>
      <w:r>
        <w:rPr>
          <w:bCs/>
          <w:b/>
        </w:rPr>
        <w:t xml:space="preserve">System:</w:t>
      </w:r>
      <w:r>
        <w:t xml:space="preserve"> </w:t>
      </w:r>
      <w:r>
        <w:t xml:space="preserve">Personal foam fractionation purifier (1–10 GPD) with QSMEC telemetry</w:t>
      </w:r>
      <w:r>
        <w:br/>
      </w:r>
      <w:r>
        <w:rPr>
          <w:bCs/>
          <w:b/>
        </w:rPr>
        <w:t xml:space="preserve">Test Campaign:</w:t>
      </w:r>
      <w:r>
        <w:t xml:space="preserve"> </w:t>
      </w:r>
      <w:r>
        <w:t xml:space="preserve">Cape facility, 30-day continuous (24/7) run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Completed December 2025</w:t>
      </w:r>
      <w:r>
        <w:br/>
      </w:r>
      <w:r>
        <w:rPr>
          <w:bCs/>
          <w:b/>
        </w:rPr>
        <w:t xml:space="preserve">Authors:</w:t>
      </w:r>
      <w:r>
        <w:t xml:space="preserve"> </w:t>
      </w:r>
      <w:r>
        <w:t xml:space="preserve">Field Test Team + QA</w:t>
      </w:r>
    </w:p>
    <w:p>
      <w:r>
        <w:pict>
          <v:rect style="width:0;height:1.5pt" o:hralign="center" o:hrstd="t" o:hr="t"/>
        </w:pict>
      </w:r>
    </w:p>
    <w:bookmarkStart w:id="20" w:name="objectives"/>
    <w:p>
      <w:pPr>
        <w:pStyle w:val="Heading2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Verify bio/chem removal efficacy in fresh and saltwater.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Measure uptime, energy use, and maintenance load.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Validate QSMEC 8-sensor predictive maintenance model.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Confirm durability under mud/silt and intermittent power.</w:t>
      </w:r>
    </w:p>
    <w:p>
      <w:r>
        <w:pict>
          <v:rect style="width:0;height:1.5pt" o:hralign="center" o:hrstd="t" o:hr="t"/>
        </w:pict>
      </w:r>
    </w:p>
    <w:bookmarkEnd w:id="20"/>
    <w:bookmarkStart w:id="21" w:name="configuration"/>
    <w:p>
      <w:pPr>
        <w:pStyle w:val="Heading2"/>
      </w:pPr>
      <w:r>
        <w:t xml:space="preserve">Configuration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1–10 gallons/day variable.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Power:</w:t>
      </w:r>
      <w:r>
        <w:t xml:space="preserve"> </w:t>
      </w:r>
      <w:r>
        <w:t xml:space="preserve">50–150W, mix of wall, vehicle, and 200W solar + 400Wh battery.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Sensors (QSMEC):</w:t>
      </w:r>
      <w:r>
        <w:t xml:space="preserve"> </w:t>
      </w:r>
      <w:r>
        <w:t xml:space="preserve">turbidity, TDS, pH, temp, pressure, flow, VOC proxy, UV intensity.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Consumables:</w:t>
      </w:r>
      <w:r>
        <w:t xml:space="preserve"> </w:t>
      </w:r>
      <w:r>
        <w:t xml:space="preserve">Foam media cartridges; UV lamp (rated 10,000 hrs).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Backpack/MOLLE; 2-minute setup.</w:t>
      </w:r>
    </w:p>
    <w:p>
      <w:r>
        <w:pict>
          <v:rect style="width:0;height:1.5pt" o:hralign="center" o:hrstd="t" o:hr="t"/>
        </w:pict>
      </w:r>
    </w:p>
    <w:bookmarkEnd w:id="21"/>
    <w:bookmarkStart w:id="22" w:name="results"/>
    <w:p>
      <w:pPr>
        <w:pStyle w:val="Heading2"/>
      </w:pPr>
      <w:r>
        <w:t xml:space="preserve">Results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Uptime:</w:t>
      </w:r>
      <w:r>
        <w:t xml:space="preserve"> </w:t>
      </w:r>
      <w:r>
        <w:t xml:space="preserve">99.5% over 30 days (36 minutes downtime total).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Energy:</w:t>
      </w:r>
      <w:r>
        <w:t xml:space="preserve"> </w:t>
      </w:r>
      <w:r>
        <w:t xml:space="preserve">0.05–0.15 kWh/gal (3–5× better than RO).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Efficacy:</w:t>
      </w:r>
      <w:r>
        <w:t xml:space="preserve"> </w:t>
      </w:r>
      <w:r>
        <w:t xml:space="preserve">&gt;99.9% biological removal; &gt;95% chemical removal; &lt;0.5 NTU.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Throughput:</w:t>
      </w:r>
      <w:r>
        <w:t xml:space="preserve"> </w:t>
      </w:r>
      <w:r>
        <w:t xml:space="preserve">Met 1–10 GPD envelope across test days.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Predictive Maintenance:</w:t>
      </w:r>
      <w:r>
        <w:t xml:space="preserve"> </w:t>
      </w:r>
      <w:r>
        <w:t xml:space="preserve">50% downtime reduction vs. non-predictive baseline; alert precision 82%, recall 76%.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Filter Life:</w:t>
      </w:r>
      <w:r>
        <w:t xml:space="preserve"> </w:t>
      </w:r>
      <w:r>
        <w:t xml:space="preserve">500–1,000 gal observed range; no membrane fouling.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Environmental:</w:t>
      </w:r>
      <w:r>
        <w:t xml:space="preserve"> </w:t>
      </w:r>
      <w:r>
        <w:t xml:space="preserve">Operated in sand/mud; no performance loss after 50 on/off cycles.</w:t>
      </w:r>
    </w:p>
    <w:p>
      <w:r>
        <w:pict>
          <v:rect style="width:0;height:1.5pt" o:hralign="center" o:hrstd="t" o:hr="t"/>
        </w:pict>
      </w:r>
    </w:p>
    <w:bookmarkEnd w:id="22"/>
    <w:bookmarkStart w:id="23" w:name="issues-resolutions"/>
    <w:p>
      <w:pPr>
        <w:pStyle w:val="Heading2"/>
      </w:pPr>
      <w:r>
        <w:t xml:space="preserve">Issues &amp; Resolutions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Voltage Sag (battery):</w:t>
      </w:r>
      <w:r>
        <w:t xml:space="preserve"> </w:t>
      </w:r>
      <w:r>
        <w:t xml:space="preserve">Single dip to 10.8V; added low-voltage cutoff and alert; no recurrence.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Salt Spray on Connectors:</w:t>
      </w:r>
      <w:r>
        <w:t xml:space="preserve"> </w:t>
      </w:r>
      <w:r>
        <w:t xml:space="preserve">Minor corrosion spotting; added conformal coat + gaskets.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Sensor Drift (TDS):</w:t>
      </w:r>
      <w:r>
        <w:t xml:space="preserve"> </w:t>
      </w:r>
      <w:r>
        <w:t xml:space="preserve">2.5% drift after day 18; calibrated in-field; added self-check cadence every 72 hours.</w:t>
      </w:r>
    </w:p>
    <w:p>
      <w:r>
        <w:pict>
          <v:rect style="width:0;height:1.5pt" o:hralign="center" o:hrstd="t" o:hr="t"/>
        </w:pict>
      </w:r>
    </w:p>
    <w:bookmarkEnd w:id="23"/>
    <w:bookmarkStart w:id="24" w:name="data-package"/>
    <w:p>
      <w:pPr>
        <w:pStyle w:val="Heading2"/>
      </w:pPr>
      <w:r>
        <w:t xml:space="preserve">Data Package</w:t>
      </w:r>
    </w:p>
    <w:p>
      <w:pPr>
        <w:numPr>
          <w:ilvl w:val="0"/>
          <w:numId w:val="1005"/>
        </w:numPr>
        <w:pStyle w:val="Compact"/>
      </w:pPr>
      <w:r>
        <w:t xml:space="preserve">500+ sample analyses logged (CSV + telemetry).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QSMEC model weights + inference notebook (edge-convertible).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Test scripts and raw maintenance log (JSON).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Photographic evidence of setups and mud/silt runs.</w:t>
      </w:r>
    </w:p>
    <w:p>
      <w:r>
        <w:pict>
          <v:rect style="width:0;height:1.5pt" o:hralign="center" o:hrstd="t" o:hr="t"/>
        </w:pict>
      </w:r>
    </w:p>
    <w:bookmarkEnd w:id="24"/>
    <w:bookmarkStart w:id="25" w:name="compliance-path"/>
    <w:p>
      <w:pPr>
        <w:pStyle w:val="Heading2"/>
      </w:pPr>
      <w:r>
        <w:t xml:space="preserve">Compliance Path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Target Standards:</w:t>
      </w:r>
      <w:r>
        <w:t xml:space="preserve"> </w:t>
      </w:r>
      <w:r>
        <w:t xml:space="preserve">NSF P248, MIL-STD-810H profiles (temperature, humidity, sand/dust, shock).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Medical:</w:t>
      </w:r>
      <w:r>
        <w:t xml:space="preserve"> </w:t>
      </w:r>
      <w:r>
        <w:t xml:space="preserve">Align with TB MED 577 potable water guidelines.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Cyber/Telemetry:</w:t>
      </w:r>
      <w:r>
        <w:t xml:space="preserve"> </w:t>
      </w:r>
      <w:r>
        <w:t xml:space="preserve">Edge-first; optional TLS uplink; no PII; local-only default.</w:t>
      </w:r>
    </w:p>
    <w:p>
      <w:r>
        <w:pict>
          <v:rect style="width:0;height:1.5pt" o:hralign="center" o:hrstd="t" o:hr="t"/>
        </w:pict>
      </w:r>
    </w:p>
    <w:bookmarkEnd w:id="25"/>
    <w:bookmarkStart w:id="26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The personal system met or exceeded all success criteria: high efficacy on bio/chem threats, dual fresh/saltwater performance, low energy, and 99.5% uptime. Predictive maintenance is validated with meaningful downtime reduction. Remaining actions: finalize P248 test scheduling, extend sensor drift study to 60 days, and document corrosion mitigation in the production BOM.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2026-01-12T19:09:12Z</dcterms:created>
  <dcterms:modified xsi:type="dcterms:W3CDTF">2026-01-12T19:09:12Z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