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                   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www.niketllc.com</w:t>
        </w:r>
      </w:hyperlink>
      <w:r w:rsidDel="00000000" w:rsidR="00000000" w:rsidRPr="00000000">
        <w:rPr>
          <w:rtl w:val="0"/>
        </w:rPr>
        <w:t xml:space="preserve">    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a.dely@niketllc.com</w:t>
        </w:r>
      </w:hyperlink>
      <w:r w:rsidDel="00000000" w:rsidR="00000000" w:rsidRPr="00000000">
        <w:rPr>
          <w:rtl w:val="0"/>
        </w:rPr>
        <w:t xml:space="preserve">  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s.dely@niketllc.com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000000" w:space="1" w:sz="6" w:val="single"/>
        </w:pBdr>
        <w:spacing w:before="4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Q-SMEC (Quantum-Superconducting Magnetic Energy Containment) Materials Taxonomy Scientific  Foundations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Quantum Physics Modeling and Materials: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Based Quantum Neural Network (PBQNN) model of a parameterized Quantum Circuit with: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10, optimal 100+ qubits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Brick layer ansatz circuit with 100+ entanglement layers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qubit rotation layer approach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optimizer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utilizes varying quantities of up to 22 constituent elements (including Germanium, Gallium, Antimony, Tellurium, Selenium, Aluminum, Niobium, Nitrogen, Tin, Titanium, and eleven undisclosed elements)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PBQNN Circuit model uses additional physics engines to optimize localized quantum field containment in picostructure lattice geometry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Hilbert Space Density Matrix Functional Theory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Coupled Wave Function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Born-Infeld Electrodynamics Entropy Optimization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Dirac Plasmon Polariton Metamaterials with quantum bonds (“bondons) optimizing plasmon quantum tunneling (equivalent to 100 trillion mechanical bonds per square centimeter)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Hamiltonian H = H\_band + H\_defect + H\_coupling + H\_field.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920" w:hanging="360"/>
        <w:rPr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Transport modeled via semiclassical Boltzmann or Kubo-Greenwood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                Q-SMEC PBQNN is resident on secure vault server, with access to IBM Starling  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mo" w:cs="Arimo" w:eastAsia="Arimo" w:hAnsi="Arim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mo" w:cs="Arimo" w:eastAsia="Arimo" w:hAnsi="Arimo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mo" w:cs="Arimo" w:eastAsia="Arimo" w:hAnsi="Arimo"/>
          <w:b w:val="1"/>
          <w:color w:val="000000"/>
          <w:rtl w:val="0"/>
        </w:rPr>
        <w:t xml:space="preserve">                 </w:t>
      </w:r>
      <w:r w:rsidDel="00000000" w:rsidR="00000000" w:rsidRPr="00000000">
        <w:rPr>
          <w:rFonts w:ascii="Arimo" w:cs="Arimo" w:eastAsia="Arimo" w:hAnsi="Arimo"/>
          <w:b w:val="1"/>
          <w:color w:val="000000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Classical AI optimized Design of Experiments (DOE) </w:t>
      </w:r>
      <w:r w:rsidDel="00000000" w:rsidR="00000000" w:rsidRPr="00000000">
        <w:rPr>
          <w:b w:val="1"/>
          <w:rtl w:val="0"/>
        </w:rPr>
        <w:t xml:space="preserve">systems 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trained on material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–performance datasets, to determine optimal segmented heterostructures (local Q-field intensity gradients) for frequency tuning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080" w:firstLine="0"/>
        <w:rPr>
          <w:rFonts w:ascii="Arimo" w:cs="Arimo" w:eastAsia="Arimo" w:hAnsi="Arimo"/>
          <w:b w:val="1"/>
          <w:color w:val="000000"/>
        </w:rPr>
      </w:pPr>
      <w:r w:rsidDel="00000000" w:rsidR="00000000" w:rsidRPr="00000000">
        <w:rPr>
          <w:rFonts w:ascii="Arimo" w:cs="Arimo" w:eastAsia="Arimo" w:hAnsi="Arimo"/>
          <w:b w:val="1"/>
          <w:color w:val="000000"/>
          <w:rtl w:val="0"/>
        </w:rPr>
        <w:t xml:space="preserve">Success Criteria: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0" w:right="0" w:hanging="36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555123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Demonstrable ≥10× sensitivity and ≥10×–100× SNR improvement at lowest SWaP-C 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Cyber/Physical Security-by-Design: Obfuscated layer ordering, sacrificial signature films, active tamper sense, PUF anchors tied to control firmware.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 with results from US DOE National Labs (Brookhaven, Argonne, Oak Ridge, Berkeley, Fermi) and DARPA Programs (RQS PNT, ADAPT, IST etc)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Q-SMEC Sensor Manufacturing Modalities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Thin Film:</w:t>
      </w:r>
      <w:r w:rsidDel="00000000" w:rsidR="00000000" w:rsidRPr="00000000">
        <w:rPr>
          <w:color w:val="000000"/>
          <w:rtl w:val="0"/>
        </w:rPr>
        <w:t xml:space="preserve"> Atomic Layer Deposition (ALD), Chemical Vapor Deposition (CVD), or sputtering techniques are employed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 Fabrication Process Windows (Initial)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 ALD:</w:t>
      </w:r>
      <w:sdt>
        <w:sdtPr>
          <w:id w:val="18863189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 120–350 °C, 10–500 mTorr, growth 0.8–1.5 Å/cycle, purge ≥2 s; target roughness \&lt;0.5 nm RMS per 100 nm.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 PVD Sputter: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200–600 W, 1–10 mTorr Ar/N₂, rate </w:t>
      </w:r>
      <w:r w:rsidDel="00000000" w:rsidR="00000000" w:rsidRPr="00000000">
        <w:rPr>
          <w:rFonts w:ascii="Arimo" w:cs="Arimo" w:eastAsia="Arimo" w:hAnsi="Arimo"/>
          <w:rtl w:val="0"/>
        </w:rPr>
        <w:t xml:space="preserve">0.5 -- 5</w:t>
      </w:r>
      <w:sdt>
        <w:sdtPr>
          <w:id w:val="20643530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 nm/s; substrate bias −20…−150 V.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CVD:</w:t>
      </w:r>
      <w:r w:rsidDel="00000000" w:rsidR="00000000" w:rsidRPr="00000000">
        <w:rPr>
          <w:color w:val="000000"/>
          <w:rtl w:val="0"/>
        </w:rPr>
        <w:t xml:space="preserve"> 300–800 °C, precursor-specific; target stoichiometry error \&lt;±2%.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Anneal:</w:t>
      </w:r>
      <w:sdt>
        <w:sdtPr>
          <w:id w:val="151106013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 250–800 °C, 30–120 min, forming gas/vacuum; crystallinity XRD FWHM ≤ baseline ×0.6.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Nanoimprint:</w:t>
      </w:r>
      <w:sdt>
        <w:sdtPr>
          <w:id w:val="11571720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 pressure 20–50 bar, 120–200 °C; critical dimension CD ≤50 nm, LER ≤3 nm.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Pico/Nano 3D-Printing using Stratasys-equivalent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              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Test and Measurement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Electrical:</w:t>
      </w:r>
      <w:r w:rsidDel="00000000" w:rsidR="00000000" w:rsidRPr="00000000">
        <w:rPr>
          <w:color w:val="000000"/>
          <w:rtl w:val="0"/>
        </w:rPr>
        <w:t xml:space="preserve"> Impedance and noise spectra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Optical:</w:t>
      </w:r>
      <w:r w:rsidDel="00000000" w:rsidR="00000000" w:rsidRPr="00000000">
        <w:rPr>
          <w:color w:val="000000"/>
          <w:rtl w:val="0"/>
        </w:rPr>
        <w:t xml:space="preserve"> Responsivity, bandwidth, and gain linearity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Structural:</w:t>
      </w:r>
      <w:r w:rsidDel="00000000" w:rsidR="00000000" w:rsidRPr="00000000">
        <w:rPr>
          <w:color w:val="000000"/>
          <w:rtl w:val="0"/>
        </w:rPr>
        <w:t xml:space="preserve"> X-ray Diffraction (XRD), Transmission Electron Microscopy (TEM), and Secondary Ion Mass Spectrometry (SIMS)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Use Case Non-Recurring Engineering Project Plan and Technology and Manufacturing Readiness Level (TRL/MRL) Path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Each iUse Case Instantiation adheres to a six-task Project Plan: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1:</w:t>
      </w:r>
      <w:r w:rsidDel="00000000" w:rsidR="00000000" w:rsidRPr="00000000">
        <w:rPr>
          <w:color w:val="000000"/>
          <w:rtl w:val="0"/>
        </w:rPr>
        <w:t xml:space="preserve"> Optimized Sensor Physics Quantum Modeling (NTE 8 weeks, NTE $100K, TRL/MRL 3)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2:</w:t>
      </w:r>
      <w:r w:rsidDel="00000000" w:rsidR="00000000" w:rsidRPr="00000000">
        <w:rPr>
          <w:color w:val="000000"/>
          <w:rtl w:val="0"/>
        </w:rPr>
        <w:t xml:space="preserve"> Optimized AI Design of Experiments (Modeling (NTE 8 weeks, NTE $110K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TRL/MRL 4).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3:</w:t>
      </w:r>
      <w:r w:rsidDel="00000000" w:rsidR="00000000" w:rsidRPr="00000000">
        <w:rPr>
          <w:color w:val="000000"/>
          <w:rtl w:val="0"/>
        </w:rPr>
        <w:t xml:space="preserve"> Sensor Prototype Fabrication (NTE 12 weeks, NTE $190K, TRL/MRL 5/6).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4:</w:t>
      </w:r>
      <w:r w:rsidDel="00000000" w:rsidR="00000000" w:rsidRPr="00000000">
        <w:rPr>
          <w:color w:val="000000"/>
          <w:rtl w:val="0"/>
        </w:rPr>
        <w:t xml:space="preserve"> Beta Testing  (NTE 10 weeks, NTE $110K, TRL/MRL 7.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5:</w:t>
      </w:r>
      <w:r w:rsidDel="00000000" w:rsidR="00000000" w:rsidRPr="00000000">
        <w:rPr>
          <w:color w:val="000000"/>
          <w:rtl w:val="0"/>
        </w:rPr>
        <w:t xml:space="preserve"> Low Rate Initial Production (NTE 8 weeks, NTE $130K, TRL/MRL 8).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Task 6:</w:t>
      </w:r>
      <w:r w:rsidDel="00000000" w:rsidR="00000000" w:rsidRPr="00000000">
        <w:rPr>
          <w:color w:val="000000"/>
          <w:rtl w:val="0"/>
        </w:rPr>
        <w:t xml:space="preserve"> Device Integration/Full Rate Production (NTE 8 weeks, NTE $130K, TRL/MRL 9).</w:t>
        <w:br w:type="textWrapping"/>
        <w:t xml:space="preserve">Deliverables include patent-ready data package and a license ready Development Kit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Intellectual Property (IP) and Licensing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Model:</w:t>
      </w:r>
      <w:r w:rsidDel="00000000" w:rsidR="00000000" w:rsidRPr="00000000">
        <w:rPr>
          <w:color w:val="000000"/>
          <w:rtl w:val="0"/>
        </w:rPr>
        <w:t xml:space="preserve"> Exclusive and non-exclusive licenses are offered, differentiated by field-of-use and geography.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Revenue:</w:t>
      </w:r>
      <w:r w:rsidDel="00000000" w:rsidR="00000000" w:rsidRPr="00000000">
        <w:rPr>
          <w:color w:val="000000"/>
          <w:rtl w:val="0"/>
        </w:rPr>
        <w:t xml:space="preserve"> Revenue generation is based on an upfront fee complemented by recurring quarterly royalties.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Milestones:</w:t>
      </w:r>
      <w:r w:rsidDel="00000000" w:rsidR="00000000" w:rsidRPr="00000000">
        <w:rPr>
          <w:color w:val="000000"/>
          <w:rtl w:val="0"/>
        </w:rPr>
        <w:t xml:space="preserve"> Licenses become available upon the completion of Task 2.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Co-IP Option:</w:t>
      </w:r>
      <w:r w:rsidDel="00000000" w:rsidR="00000000" w:rsidRPr="00000000">
        <w:rPr>
          <w:color w:val="000000"/>
          <w:rtl w:val="0"/>
        </w:rPr>
        <w:t xml:space="preserve"> Investors providing early-stage funding receive proportional ownership of intellectual property.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rtl w:val="0"/>
        </w:rPr>
        <w:t xml:space="preserve">           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PROJECTS 1-6: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1: TERAHERTZ SENSOR/EMITTER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Major Use Cases: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and Commercial High Speed Wireless Communications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Care Imaging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Spectroscopy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Q-SMEC Physics Parameter Optimization Values Targets: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Equivalent Power (NEP): 0.01-1 pW/sqr Hz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Signal to  Noise Ratio (SNR): 100-140 dB Peak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Q-Factor: Greater than 1000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of Merit (FOM): Greater than 2500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Range: 0.1 to 10 THz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Range : Higher than 110 dB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Time: Less than 150 picoseconds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Subwavelength Resolution:  150 nanometers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 2: SOLID STATE HIGH ENERGY LASER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Major Use Cases: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Directed Energy Weapons, ISR/Electronic Attack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Manufacturing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Fusion Energy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Medical Surgery 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Q-SMEC Physics Parameter Optimization Values Targets: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Power: 100kW-MW+ feasible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 Quality M2: 1.1     M2: 1 to 1.1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Wavelength Range: 0.4-1.7 micron, 3-5 micron, 8-14 micron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Range: 10 Km+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Bandwidth: 100 Nm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Resolution:  5-10 Micron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Picosecond Pulse and/or Continuous Wave  with adjusted Thermal Management 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                 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 3: DEEP UNDERGROUND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EXTRA LOW FREQUENCY SENSOR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000000"/>
          <w:rtl w:val="0"/>
        </w:rPr>
        <w:t xml:space="preserve">Major Use Cases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Mining (Cu/Ag/Mo, Strategic Minerals) and Oil/Gas Exploration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Covert Naval Submarine Communications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Underground Structure Detection 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000000"/>
          <w:rtl w:val="0"/>
        </w:rPr>
        <w:t xml:space="preserve">Q-SMEC Physics Parameter Optimization Values Targets: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Equivalent Power (NEP): near elimination of 1/f flicker noise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Signal to  Noise Ratio (SNR): 25-35 dB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Q-Factor: 1500-15,000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of Merit (FOM): 1-2 pT/sq Hz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Range: 0.01 to 10 Hz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Sensitivity: 0.01-0.05 pT/sq Hz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Time: 50-75 </w:t>
      </w:r>
      <w:r w:rsidDel="00000000" w:rsidR="00000000" w:rsidRPr="00000000">
        <w:rPr>
          <w:rtl w:val="0"/>
        </w:rPr>
        <w:t xml:space="preserve">milliseconds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 4: DATA CENTER ELECTRONICS ENERGY EFFICIENCY OPTIMIZATION</w:t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b w:val="1"/>
          <w:color w:val="000000"/>
          <w:sz w:val="28"/>
          <w:szCs w:val="28"/>
        </w:rPr>
      </w:pPr>
      <w:r w:rsidDel="00000000" w:rsidR="00000000" w:rsidRPr="00000000">
        <w:rPr>
          <w:color w:val="000000"/>
          <w:rtl w:val="0"/>
        </w:rPr>
        <w:t xml:space="preserve">Major Use Cases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IT/Servers CPU/GPU and RAM Power Reduction: 40-50%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HVAC/Chillers/Fans/Pumps Power Reduction: 30%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UPS/Transformer/PDU Power Reduction: 10%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Routers/Switches/Firewalls Power Reduction: 5%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HD/SSD Power Reduction: 5%</w:t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Q-SMEC Physics Parameter Optimization Values Targets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Diffusion Channel Size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Conductivity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Strain Elimination/Minimization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Redox Voltage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Coating </w:t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                   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CII NIKET North America LLC PROPRIETARY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 5: VLCLO RCS (RADAR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CROSS SECTION) STEALTH MATERIAL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Use Cases: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Reduced Detection Range and Increased Countermeasures Effectiveness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Airport Signal </w:t>
      </w:r>
      <w:r w:rsidDel="00000000" w:rsidR="00000000" w:rsidRPr="00000000">
        <w:rPr>
          <w:rtl w:val="0"/>
        </w:rPr>
        <w:t xml:space="preserve">Interference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Antenna </w:t>
      </w:r>
      <w:r w:rsidDel="00000000" w:rsidR="00000000" w:rsidRPr="00000000">
        <w:rPr>
          <w:rtl w:val="0"/>
        </w:rPr>
        <w:t xml:space="preserve">Shielding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Q-SMEC Physics Parameter Optimization Values Targets: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Impedance Matching: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Permittivity: Imaginary Component 0.1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Permeability: Imaginary Component 0.1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Dielectric/Magnetic Loss over Wide Bandwidth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Lightweight: 0.01 g/sq cm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Thickness: 50 micron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Q-SMEC PATHFINDER PROJECT 6: S/X-BAND SENSOR/EMITTER</w:t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Major Use Cases: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Long Range, All Weather Surveillance, Marine Navigation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Security and Commercial Space Satellite Communications</w:t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Q-SMEC Physics Parameter Optimization Values Targets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Power: 60 kW-1MW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EIRP: 30-70 dBmi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Ratio: &lt;20 sec/volume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Range: 2.3-2.5 Ghz (S), 9.4-9.6 Ghz (X)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Range: 500 km + (S), 70 km+ (X)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Bandwidth: 250-1000 MHz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Time: Less than 150 picoseconds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Resolution:  0.2-1m (S), &lt;5m (X)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8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Polarization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            CII NIKET North America LLC PROPRIETARY</w:t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ANNEX I  Priority Use Case Market Segmentation</w:t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4.1 Defense and Intelligence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Intelligence, Surveillance, and Reconnaissance (ISR): Annual market of $7.3 billion, with a 15% Compound Annual Growth Rate (CAGR), licensing Net Present Value (NPV) of $3.3 billion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Electronic Warfare (EW): Annual market of $16.6 billion, with a 7% CAGR, licensing NPV of $3 billion.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Navigation: Annual market of $18.7 billion, with a 7% CAGR, licensing NPV of $3.4 billion.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Platform Monitoring: Annual market of $11 billion, with a 5% CAGR, licensing NPC of $2.7 billion 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AI/Data Center Power/Thermal Management: Annual market of $ 19.6 billion, 11-13% CAGR, licensing NPV of 3.3B </w:t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4.2 Energy and Utilities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Solar Optimization: Annual market of $95 billion, with a 17% CAGR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Battery Storage: Annual market of $25 billion, with a 9% CAGR, licensing NPV of $5.6 billion.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Microgrids: Annual market of $11 billion, with a 6% CAGR, licensing NPV of $1.8 billion.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Small Modular Reactors (SMRs): Annual market of $10 billion, with an 8% CAGR.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4.3 Water and Environment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Desalination Membranes: Annual market of $20.6 billion, with a 6% CAGR, licensing NPV of $3.3 billion.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Real-Time Water Sensors: Aggregate annual market of $5 billion.</w:t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4.4 Healthcare and Biosecurity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Biosensors: Annual market of $2.1 billion.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Patient Monitoring: Annual market of $12 billion.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Surgical Tools: Annual market of $8 billion.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4.5 Transportation and Automotive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LIDAR/Radar: Annual market of $1.2 billion, with a 42% CAGR, licensing NPV of $13.8 billion.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Total Automotive Sensors: Annual market of $31 billion, with a 5% CAGR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        CII NIKET North America LLC PROPRIETARY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ANNEX II  Q-SMEC Strategic Positioning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Differentiators:</w:t>
      </w:r>
      <w:r w:rsidDel="00000000" w:rsidR="00000000" w:rsidRPr="00000000">
        <w:rPr>
          <w:color w:val="000000"/>
          <w:rtl w:val="0"/>
        </w:rPr>
        <w:t xml:space="preserve"> Key differentiating factors include quantum-level physics, AI-native research and development, export-compliant design, and an IP-only business model.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Trillion-Dollar Tailwinds:</w:t>
      </w:r>
      <w:r w:rsidDel="00000000" w:rsidR="00000000" w:rsidRPr="00000000">
        <w:rPr>
          <w:color w:val="000000"/>
          <w:rtl w:val="0"/>
        </w:rPr>
        <w:t xml:space="preserve"> The initiative benefits from significant market trends such as the energy transition, increasing autonomy, and defense modernization.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Weaknesses:</w:t>
      </w:r>
      <w:r w:rsidDel="00000000" w:rsidR="00000000" w:rsidRPr="00000000">
        <w:rPr>
          <w:color w:val="000000"/>
          <w:rtl w:val="0"/>
        </w:rPr>
        <w:t xml:space="preserve"> Identified weaknesses include the early Technology Readiness Level (TRL) and a broad scope.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Mitigation:</w:t>
      </w:r>
      <w:r w:rsidDel="00000000" w:rsidR="00000000" w:rsidRPr="00000000">
        <w:rPr>
          <w:color w:val="000000"/>
          <w:rtl w:val="0"/>
        </w:rPr>
        <w:t xml:space="preserve"> Initial commercialization efforts will be strategically focused on the Defense ISR/EW and Energy sectors to mitigate these weaknesses.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Economic Model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Typical Use Case NRE project cost is $770,000 over one year.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Return on Investment (ROI) is contingent upon licensing velocity; three concurrent programs are projected to achieve break-even within one year with two Task 4 conversions.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Risk Register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Simulation–physical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Early physical test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Under-capitalized prototypes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Partner co-IP funding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Leakage of confidential material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NDA, data enclave, partial disclosure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Dilution via over-broad claims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Prioritize two flagship sectors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Export and cybersecurity 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ITAR/FedRAMP baseline built-in</w:t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         CII NIKET North America LLC PROPRIETARY 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ANNEX III Q-SMEC MATERIALS DESIGN MATRIX</w:t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Knob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Range/Levels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Composition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x\_i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 disclosed + 11 confidential; 1–3 primaries + 0–2 dopants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Oxidation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sdt>
              <w:sdtPr>
                <w:id w:val="196614193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−2…+5 depending on element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Dopant Fraction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c\_d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10¹⁷–10²¹ cm⁻³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Layer Thickness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t\_i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nm–2 μm per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Grain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d\_g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5–200 nm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Pore Diameter (Membranes)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d\_p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sdt>
              <w:sdtPr>
                <w:id w:val="2157615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0.3–2.0 nm (σ≤0.1 nm)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Residual Stress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σ\_r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720" w:hanging="360"/>
              <w:rPr>
                <w:color w:val="000000"/>
              </w:rPr>
            </w:pPr>
            <w:sdt>
              <w:sdtPr>
                <w:id w:val="-51400978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≤200 MPa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Prototype Design — Geometries and Masks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EM Sensor Die</w:t>
      </w:r>
      <w:r w:rsidDel="00000000" w:rsidR="00000000" w:rsidRPr="00000000">
        <w:rPr>
          <w:color w:val="000000"/>
          <w:rtl w:val="0"/>
        </w:rPr>
        <w:t xml:space="preserve">: 2×2 mm active area, interdigitated electrodes, guard ring, backside reflector for EO variants.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Membrane Coupons</w:t>
      </w:r>
      <w:r w:rsidDel="00000000" w:rsidR="00000000" w:rsidRPr="00000000">
        <w:rPr>
          <w:color w:val="000000"/>
          <w:rtl w:val="0"/>
        </w:rPr>
        <w:t xml:space="preserve">: 25 mm discs and 1812 cartridge format; stack 1–20 layers; epoxy-free edge seals for flux testing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CII NIKET North America LLC PROPRIETARY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color w:val="000000"/>
          <w:rtl w:val="0"/>
        </w:rPr>
        <w:t xml:space="preserve">Design for Manufacturability (DFM)/Design for Excellence (DFX)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DoD Project Management/Systems Engineering: phase-gate reviews system requirements review (SRR)/preliminary design review (PDR)/critical design review (CDR)/qualification review (QR)/test readiness review (TRR)/production readiness review (PRR); non-conformance report (NCR)/corrective and preventive action (CAPA) workflow</w:t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Risk and Probabilistic Assessment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P(occ)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Impact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Expected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Simulation mismatch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400k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Bench anchors, design-of-experiments reweight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Fabrication yield shortfall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300k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SPC, recipe tuning, inline gates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Supply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Dual-source, buffer inventory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Regulatory delay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250k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Early audits, pre-briefs</w:t>
            </w:r>
          </w:p>
        </w:tc>
      </w:tr>
    </w:tbl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 10272025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upperLetter"/>
      <w:lvlText w:val="%1)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Roman"/>
      <w:lvlText w:val="%1)"/>
      <w:lvlJc w:val="left"/>
      <w:pPr>
        <w:ind w:left="2100" w:hanging="720"/>
      </w:pPr>
      <w:rPr/>
    </w:lvl>
    <w:lvl w:ilvl="1">
      <w:start w:val="1"/>
      <w:numFmt w:val="lowerLetter"/>
      <w:lvlText w:val="%2."/>
      <w:lvlJc w:val="left"/>
      <w:pPr>
        <w:ind w:left="2460" w:hanging="360"/>
      </w:pPr>
      <w:rPr/>
    </w:lvl>
    <w:lvl w:ilvl="2">
      <w:start w:val="1"/>
      <w:numFmt w:val="lowerRoman"/>
      <w:lvlText w:val="%3."/>
      <w:lvlJc w:val="right"/>
      <w:pPr>
        <w:ind w:left="3180" w:hanging="180"/>
      </w:pPr>
      <w:rPr/>
    </w:lvl>
    <w:lvl w:ilvl="3">
      <w:start w:val="1"/>
      <w:numFmt w:val="decimal"/>
      <w:lvlText w:val="%4."/>
      <w:lvlJc w:val="left"/>
      <w:pPr>
        <w:ind w:left="3900" w:hanging="360"/>
      </w:pPr>
      <w:rPr/>
    </w:lvl>
    <w:lvl w:ilvl="4">
      <w:start w:val="1"/>
      <w:numFmt w:val="lowerLetter"/>
      <w:lvlText w:val="%5."/>
      <w:lvlJc w:val="left"/>
      <w:pPr>
        <w:ind w:left="4620" w:hanging="360"/>
      </w:pPr>
      <w:rPr/>
    </w:lvl>
    <w:lvl w:ilvl="5">
      <w:start w:val="1"/>
      <w:numFmt w:val="lowerRoman"/>
      <w:lvlText w:val="%6."/>
      <w:lvlJc w:val="right"/>
      <w:pPr>
        <w:ind w:left="5340" w:hanging="180"/>
      </w:pPr>
      <w:rPr/>
    </w:lvl>
    <w:lvl w:ilvl="6">
      <w:start w:val="1"/>
      <w:numFmt w:val="decimal"/>
      <w:lvlText w:val="%7."/>
      <w:lvlJc w:val="left"/>
      <w:pPr>
        <w:ind w:left="6060" w:hanging="360"/>
      </w:pPr>
      <w:rPr/>
    </w:lvl>
    <w:lvl w:ilvl="7">
      <w:start w:val="1"/>
      <w:numFmt w:val="lowerLetter"/>
      <w:lvlText w:val="%8."/>
      <w:lvlJc w:val="left"/>
      <w:pPr>
        <w:ind w:left="6780" w:hanging="360"/>
      </w:pPr>
      <w:rPr/>
    </w:lvl>
    <w:lvl w:ilvl="8">
      <w:start w:val="1"/>
      <w:numFmt w:val="lowerRoman"/>
      <w:lvlText w:val="%9."/>
      <w:lvlJc w:val="right"/>
      <w:pPr>
        <w:ind w:left="7500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5"/>
      <w:numFmt w:val="bullet"/>
      <w:lvlText w:val="-"/>
      <w:lvlJc w:val="left"/>
      <w:pPr>
        <w:ind w:left="19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6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6"/>
      <w:numFmt w:val="bullet"/>
      <w:lvlText w:val="●"/>
      <w:lvlJc w:val="left"/>
      <w:pPr>
        <w:ind w:left="1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2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3"/>
      <w:numFmt w:val="bullet"/>
      <w:lvlText w:val="●"/>
      <w:lvlJc w:val="left"/>
      <w:pPr>
        <w:ind w:left="17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2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A349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34964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1A02C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1C349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.dely@niketllc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niketllc.com" TargetMode="External"/><Relationship Id="rId8" Type="http://schemas.openxmlformats.org/officeDocument/2006/relationships/hyperlink" Target="mailto:a.dely@niket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lM/FMpS5QBuishl2JoaRBOLf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OAByITFKOVBsZjhpVnh5RWZEZVdzUmhWc05NNnVHbUZLNy1i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2025-10-25T22:44:00Z</dcterms:created>
</cp:coreProperties>
</file>