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Q-SMEC: Quantum-Superconducting Magnetic Energy Containment for Energy-Efficient and Cyber-Resilient Infrastructure</w:t>
      </w:r>
    </w:p>
    <w:p>
      <w:r>
        <w:t>NIKET North America LLC — October 2025</w:t>
        <w:br/>
        <w:t>Status: Proprietary (Shareable without NDA). No enabling design secrets disclosed.</w:t>
      </w:r>
    </w:p>
    <w:p>
      <w:pPr>
        <w:pStyle w:val="Heading2"/>
      </w:pPr>
      <w:r>
        <w:t>1) Executive summary</w:t>
      </w:r>
    </w:p>
    <w:p>
      <w:r>
        <w:t>Q-SMEC is a materials-centric platform coupling quantum-enhanced sensing, AI/edge control, and advanced energy-handling materials to improve data-center efficiency and electromagnetic resilience.</w:t>
        <w:br/>
        <w:t>Industry baselines: Global data-center electricity use is 1–1.5% of world electricity (≈240–415 TWh, 2022–2024). Cooling’s share spans 7–30% depending on efficiency. U.S. demand could reach 6.7–12% by 2028.</w:t>
        <w:br/>
        <w:t>Inventor claims (unverified): 10–100× improvements in signal-to-noise and energy containment; step-change SWaP-C; manufacturable via 3D printing + ALD; anti-tamper and cyber-resilient design.</w:t>
        <w:br/>
        <w:t>Offer: Jointly test these claims against standard metrics (PUE, IT energy, cooling energy, power-train losses, availability, EMC/EMI immunity).</w:t>
      </w:r>
    </w:p>
    <w:p>
      <w:pPr>
        <w:pStyle w:val="Heading2"/>
      </w:pPr>
      <w:r>
        <w:t>2) Problem framing and motivation</w:t>
      </w:r>
    </w:p>
    <w:p>
      <w:r>
        <w:t>Load growth: AI accelerates data-center electricity demand; IEA projects strong growth.</w:t>
        <w:br/>
        <w:t>Inefficiency loci: IT silicon losses, cooling, and power-delivery losses dominate site energy. U.S. studies show rising loads despite efficiency gains.</w:t>
        <w:br/>
        <w:t>EM threat surface: EMC robustness is now mandatory for smart-grid and IT systems.</w:t>
      </w:r>
    </w:p>
    <w:p>
      <w:pPr>
        <w:pStyle w:val="Heading2"/>
      </w:pPr>
      <w:r>
        <w:t>3) Concept overview: Q-SMEC architecture</w:t>
      </w:r>
    </w:p>
    <w:p>
      <w:r>
        <w:t>Three cooperative layers:</w:t>
        <w:br/>
        <w:t>1. Quantum-enhanced sensing layer – picotesla/nanotesla sensitivity; comparable to NV-diamond and SQUID benchmarks.</w:t>
        <w:br/>
        <w:t>2. AI + edge control layer – Physics-informed neural networks (PINNs) fuse sensor telemetry with physical models.</w:t>
        <w:br/>
        <w:t>3. Advanced materials &amp; energy layer – Superconducting/quantum-compatible thin films and printable structures minimize losses.</w:t>
        <w:br/>
        <w:t>Constraint: Current superconductors need cryogenic or sub-ambient operation; “room-temperature” claims remain unverified.</w:t>
      </w:r>
    </w:p>
    <w:p>
      <w:pPr>
        <w:pStyle w:val="Heading2"/>
      </w:pPr>
      <w:r>
        <w:t>4) Technical characteristics</w:t>
      </w:r>
    </w:p>
    <w:p>
      <w:r>
        <w:t>Materials &amp; fabrication: Thin films (atomic-layer deposition) and additive routes (printed superconductors) are emerging and feasible.</w:t>
        <w:br/>
        <w:t>Quantum model and digital twin: PINN-guided digital twins constrained by Maxwell’s equations predict EM losses and control parameters.</w:t>
        <w:br/>
        <w:t>Interfaces: Compatible with SCADA/BMS via standard telemetry; EMC aligned with IEC 61000 standards.</w:t>
      </w:r>
    </w:p>
    <w:p>
      <w:pPr>
        <w:pStyle w:val="Heading2"/>
      </w:pPr>
      <w:r>
        <w:t>5) Data-center use case (AWS-relevant)</w:t>
      </w:r>
    </w:p>
    <w:p>
      <w:r>
        <w:t>Baseline metrics: Power Usage Effectiveness (PUE) and equipment-level energy distribution.</w:t>
        <w:br/>
        <w:t>Evaluation proposal:</w:t>
        <w:br/>
        <w:t>• Benchmark field sensitivity/noise vs. NV/SQUID data.</w:t>
        <w:br/>
        <w:t>• Compare AI controllers (PINN vs. PID) for cooling and power optimization.</w:t>
        <w:br/>
        <w:t>• Verify material loss reduction and EMI resilience.</w:t>
        <w:br/>
        <w:t>Savings figures are targets, not established results.</w:t>
      </w:r>
    </w:p>
    <w:p>
      <w:pPr>
        <w:pStyle w:val="Heading2"/>
      </w:pPr>
      <w:r>
        <w:t>6) Measurement plan</w:t>
      </w:r>
    </w:p>
    <w:p>
      <w:r>
        <w:t>KPIs: ΔPUE, ΔIT energy, Δcooling kWh, Δpower-train losses, availability, EMC compliance.</w:t>
        <w:br/>
        <w:t>Test duration: 90 days across seasonal profiles.</w:t>
        <w:br/>
        <w:t>Success gates: Statistically significant reductions with no SLA or EMC degradation.</w:t>
      </w:r>
    </w:p>
    <w:p>
      <w:pPr>
        <w:pStyle w:val="Heading2"/>
      </w:pPr>
      <w:r>
        <w:t>7) Readiness and standards</w:t>
      </w:r>
    </w:p>
    <w:p>
      <w:r>
        <w:t>Readiness: TRL mapping (NASA definitions).</w:t>
        <w:br/>
        <w:t>Standards targets: IEC 61000 (EMC/EMI), Green Grid PUE, DOE/ENERGY STAR energy reporting.</w:t>
        <w:br/>
        <w:t>Risks: Cryogenic constraints, immature additive manufacturing, unverified high-Tc claims.</w:t>
        <w:br/>
        <w:t>Mitigations: Focus on ALD-proven materials; exclude speculative superconductors.</w:t>
      </w:r>
    </w:p>
    <w:p>
      <w:pPr>
        <w:pStyle w:val="Heading2"/>
      </w:pPr>
      <w:r>
        <w:t>8) Collaboration framework</w:t>
      </w:r>
    </w:p>
    <w:p>
      <w:r>
        <w:t>Phase I – Requirements and baseline plan (4 wks)</w:t>
        <w:br/>
        <w:t>Phase II – Lab prototypes (8–12 wks)</w:t>
        <w:br/>
        <w:t>Phase III – Edge control pilot (8 wks)</w:t>
        <w:br/>
        <w:t>Phase IV – Material pilot (12–16 wks)</w:t>
        <w:br/>
        <w:t>Phase V – Integrated demo (12 wks)</w:t>
        <w:br/>
        <w:t>Deliverables: PUE deltas, energy reductions, EMC pass/fail results.</w:t>
      </w:r>
    </w:p>
    <w:p>
      <w:pPr>
        <w:pStyle w:val="Heading2"/>
      </w:pPr>
      <w:r>
        <w:t>9) Appendices (references and facts)</w:t>
      </w:r>
    </w:p>
    <w:p>
      <w:r>
        <w:t>• Global/U.S. data-center energy: IEA, DOE, LBNL 2024.</w:t>
        <w:br/>
        <w:t>• Quantum sensor benchmarks: NV/SQUID sensitivity (fT–nT/√Hz).</w:t>
        <w:br/>
        <w:t>• Fabrication feasibility: ALD thin films, printed superconductors.</w:t>
        <w:br/>
        <w:t>• PUE definition: Green Grid WP#49; ENERGY STAR coordination.</w:t>
        <w:br/>
        <w:t>• TRL definitions: NASA TRL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