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F338" w14:textId="77777777" w:rsidR="00403D9C" w:rsidRDefault="00403D9C" w:rsidP="00403D9C">
      <w:pPr>
        <w:pStyle w:val="Title"/>
        <w:jc w:val="center"/>
      </w:pPr>
      <w:r>
        <w:t>Scope of the Q-SMEC Patent and White Paper</w:t>
      </w:r>
    </w:p>
    <w:p w14:paraId="0AE643C4" w14:textId="77777777" w:rsidR="00403D9C" w:rsidRDefault="00403D9C" w:rsidP="00403D9C">
      <w:pPr>
        <w:pStyle w:val="Heading1"/>
      </w:pPr>
      <w:r>
        <w:t>1. Core Innovation</w:t>
      </w:r>
    </w:p>
    <w:p w14:paraId="7935A065" w14:textId="3B88067D" w:rsidR="00403D9C" w:rsidRDefault="00403D9C" w:rsidP="00403D9C">
      <w:r w:rsidRPr="00403D9C">
        <w:rPr>
          <w:color w:val="000000"/>
        </w:rPr>
        <w:t>Q-SMEC technology focuses on quantum superconducting sensor materials engineered for high sensitivity, advanced energy storage, and integration into critical infrastructure. AI-assisted design uses elements like Ge, Ga, Nb, Ti, Al, and nitrides to create structures optimized for detection, energy density, and manufacturability. These materials are compatible with modern fabrication methods, minimize SWaP-C, and incorporate security features to meet ITAR, CMMC, and FedRAMP standards. The patent covers material composition, manufacturing processes, device designs, and integration into various applications.</w:t>
      </w:r>
    </w:p>
    <w:p w14:paraId="6C766371" w14:textId="77777777" w:rsidR="00403D9C" w:rsidRDefault="00403D9C" w:rsidP="00403D9C">
      <w:pPr>
        <w:pStyle w:val="Heading1"/>
      </w:pPr>
      <w:r>
        <w:t>2. Target Applications Across Critical Infrastructure</w:t>
      </w:r>
    </w:p>
    <w:p w14:paraId="2BD146BC" w14:textId="77777777" w:rsidR="00403D9C" w:rsidRDefault="00403D9C" w:rsidP="00403D9C">
      <w:r w:rsidRPr="00403D9C">
        <w:t>The Q-SMEC technology is directly applicable to all 16 DHS Critical Infrastructure Sectors, enabling transformative advancements in multiple domains:</w:t>
      </w:r>
    </w:p>
    <w:p w14:paraId="30958532" w14:textId="77777777" w:rsidR="00403D9C" w:rsidRDefault="00403D9C" w:rsidP="00403D9C">
      <w:pPr>
        <w:pStyle w:val="ListParagraph"/>
        <w:numPr>
          <w:ilvl w:val="0"/>
          <w:numId w:val="6"/>
        </w:numPr>
      </w:pPr>
      <w:r w:rsidRPr="00403D9C">
        <w:t>Defense &amp; Intelligence: Applications include intelligence, surveillance, reconnaissance (ISR), electronic warfare (EW), missile seekers, guidance and navigation systems, hypersonic technologies, directed energy weapons, and space situational awareness. This sector represents a market exceeding $60 billion with a high compound annual growth rate (CAGR) between 6% and 15%.</w:t>
      </w:r>
    </w:p>
    <w:p w14:paraId="690C8187" w14:textId="77777777" w:rsidR="00403D9C" w:rsidRDefault="00403D9C" w:rsidP="00403D9C">
      <w:pPr>
        <w:pStyle w:val="ListParagraph"/>
        <w:numPr>
          <w:ilvl w:val="0"/>
          <w:numId w:val="6"/>
        </w:numPr>
      </w:pPr>
      <w:r w:rsidRPr="00403D9C">
        <w:t>Telecom &amp; IT: Integration with 5G/6G base stations, predictive maintenance for data centers, and security for IoT sensors.</w:t>
      </w:r>
    </w:p>
    <w:p w14:paraId="12AE3B89" w14:textId="77777777" w:rsidR="00403D9C" w:rsidRDefault="00403D9C" w:rsidP="00403D9C">
      <w:pPr>
        <w:pStyle w:val="ListParagraph"/>
        <w:numPr>
          <w:ilvl w:val="0"/>
          <w:numId w:val="6"/>
        </w:numPr>
      </w:pPr>
      <w:r w:rsidRPr="00403D9C">
        <w:t>Transportation/Automotive: Advanced driver-assistance systems (ADAS) and autonomous vehicles (AV) leveraging Lidar, radar, optical, infrared, and CO</w:t>
      </w:r>
      <w:r w:rsidRPr="00403D9C">
        <w:rPr>
          <w:rFonts w:ascii="Cambria Math" w:hAnsi="Cambria Math" w:cs="Cambria Math"/>
        </w:rPr>
        <w:t>₂</w:t>
      </w:r>
      <w:r w:rsidRPr="00403D9C">
        <w:t xml:space="preserve"> sensors, as well as rail and maritime sensor applications. The annual market exceeds $30 billion, with Lidar technologies experiencing a 42% CAGR.</w:t>
      </w:r>
    </w:p>
    <w:p w14:paraId="5DF40C92" w14:textId="77777777" w:rsidR="00403D9C" w:rsidRDefault="00403D9C" w:rsidP="00403D9C">
      <w:pPr>
        <w:pStyle w:val="ListParagraph"/>
        <w:numPr>
          <w:ilvl w:val="0"/>
          <w:numId w:val="6"/>
        </w:numPr>
      </w:pPr>
      <w:r w:rsidRPr="00403D9C">
        <w:t>Energy &amp; Utilities: Solutions for smart grids, microgrids, fault detection, solar optimization, nuclear monitoring, and battery storage with energy densities between 350 and 450 Wh/L. The market spans over $100 billion.</w:t>
      </w:r>
    </w:p>
    <w:p w14:paraId="77587017" w14:textId="77777777" w:rsidR="00403D9C" w:rsidRDefault="00403D9C" w:rsidP="00403D9C">
      <w:pPr>
        <w:pStyle w:val="ListParagraph"/>
        <w:numPr>
          <w:ilvl w:val="0"/>
          <w:numId w:val="6"/>
        </w:numPr>
      </w:pPr>
      <w:r w:rsidRPr="00403D9C">
        <w:t>Manufacturing &amp; Mining: Advanced electromagnetic hybrid sensors for mineral exploration, SCADA systems, automation, and quality control.</w:t>
      </w:r>
    </w:p>
    <w:p w14:paraId="7B297105" w14:textId="77777777" w:rsidR="00403D9C" w:rsidRDefault="00403D9C" w:rsidP="00403D9C">
      <w:pPr>
        <w:pStyle w:val="ListParagraph"/>
        <w:numPr>
          <w:ilvl w:val="0"/>
          <w:numId w:val="6"/>
        </w:numPr>
      </w:pPr>
      <w:r w:rsidRPr="00403D9C">
        <w:t>Water &amp; Wastewater: Technologies include high-flow graphene desalination membranes and real-time water quality sensors.</w:t>
      </w:r>
    </w:p>
    <w:p w14:paraId="24C43FCA" w14:textId="77777777" w:rsidR="00403D9C" w:rsidRDefault="00403D9C" w:rsidP="00403D9C">
      <w:pPr>
        <w:pStyle w:val="ListParagraph"/>
        <w:numPr>
          <w:ilvl w:val="0"/>
          <w:numId w:val="6"/>
        </w:numPr>
      </w:pPr>
      <w:r w:rsidRPr="00403D9C">
        <w:t xml:space="preserve">Healthcare/Biosecurity: Innovations such as </w:t>
      </w:r>
      <w:proofErr w:type="spellStart"/>
      <w:r w:rsidRPr="00403D9C">
        <w:t>pico</w:t>
      </w:r>
      <w:proofErr w:type="spellEnd"/>
      <w:r w:rsidRPr="00403D9C">
        <w:t xml:space="preserve"> ELISA-qPCR sensors, continuous glucose monitoring devices, wearables, robotic surgical systems, and vital sign monitoring.</w:t>
      </w:r>
    </w:p>
    <w:p w14:paraId="736C2AE0" w14:textId="77777777" w:rsidR="00403D9C" w:rsidRDefault="00403D9C" w:rsidP="00403D9C">
      <w:pPr>
        <w:pStyle w:val="ListParagraph"/>
        <w:numPr>
          <w:ilvl w:val="0"/>
          <w:numId w:val="6"/>
        </w:numPr>
      </w:pPr>
      <w:r w:rsidRPr="00403D9C">
        <w:t>Agriculture/Food: Crop monitoring, carbon sequestration measurement, and food safety sensors.</w:t>
      </w:r>
    </w:p>
    <w:p w14:paraId="1BAAFD2E" w14:textId="77777777" w:rsidR="00403D9C" w:rsidRDefault="00403D9C" w:rsidP="00403D9C">
      <w:pPr>
        <w:pStyle w:val="ListParagraph"/>
        <w:numPr>
          <w:ilvl w:val="0"/>
          <w:numId w:val="6"/>
        </w:numPr>
      </w:pPr>
      <w:r w:rsidRPr="00403D9C">
        <w:lastRenderedPageBreak/>
        <w:t>Oil, Gas &amp; Chemicals: Detection technologies for pipeline leaks and emissions monitoring, including methane and volatile organic compounds (VOCs).</w:t>
      </w:r>
    </w:p>
    <w:p w14:paraId="31960B5E" w14:textId="77777777" w:rsidR="00403D9C" w:rsidRDefault="00403D9C" w:rsidP="00403D9C">
      <w:pPr>
        <w:pStyle w:val="ListParagraph"/>
        <w:numPr>
          <w:ilvl w:val="0"/>
          <w:numId w:val="6"/>
        </w:numPr>
      </w:pPr>
      <w:r w:rsidRPr="00403D9C">
        <w:t>Buildings &amp; Civil Infrastructure: Includes structural health monitoring, fiber optic sensors, geotechnical strain sensors, and intelligent facility management.</w:t>
      </w:r>
    </w:p>
    <w:p w14:paraId="6BE2FC20" w14:textId="77777777" w:rsidR="00403D9C" w:rsidRDefault="00403D9C" w:rsidP="00403D9C">
      <w:pPr>
        <w:pStyle w:val="ListParagraph"/>
        <w:numPr>
          <w:ilvl w:val="0"/>
          <w:numId w:val="6"/>
        </w:numPr>
      </w:pPr>
      <w:r w:rsidRPr="00403D9C">
        <w:t>Emergency Management &amp; Finance: Seismic, fire, and vital sign sensors, as well as solutions for fraud detection, geofencing, and biometric access control.</w:t>
      </w:r>
    </w:p>
    <w:p w14:paraId="0DD795EF" w14:textId="77777777" w:rsidR="00403D9C" w:rsidRDefault="00403D9C" w:rsidP="00403D9C">
      <w:pPr>
        <w:pStyle w:val="Heading1"/>
      </w:pPr>
      <w:r>
        <w:t>3. Technical Differentiators</w:t>
      </w:r>
    </w:p>
    <w:p w14:paraId="63BF7FB2" w14:textId="7990ACB8" w:rsidR="00403D9C" w:rsidRDefault="00403D9C" w:rsidP="00403D9C">
      <w:r w:rsidRPr="00403D9C">
        <w:rPr>
          <w:color w:val="000000"/>
        </w:rPr>
        <w:t xml:space="preserve">Q-SMEC sensors deliver significantly better sensitivity, energy density, and SNR than older sensor technologies. Their materials </w:t>
      </w:r>
      <w:proofErr w:type="gramStart"/>
      <w:r w:rsidRPr="00403D9C">
        <w:rPr>
          <w:color w:val="000000"/>
        </w:rPr>
        <w:t>are optimized</w:t>
      </w:r>
      <w:proofErr w:type="gramEnd"/>
      <w:r w:rsidRPr="00403D9C">
        <w:rPr>
          <w:color w:val="000000"/>
        </w:rPr>
        <w:t xml:space="preserve"> using AI-driven DOE and advanced computing for extensive simulations. Customization </w:t>
      </w:r>
      <w:proofErr w:type="gramStart"/>
      <w:r w:rsidRPr="00403D9C">
        <w:rPr>
          <w:color w:val="000000"/>
        </w:rPr>
        <w:t>is offered</w:t>
      </w:r>
      <w:proofErr w:type="gramEnd"/>
      <w:r w:rsidRPr="00403D9C">
        <w:rPr>
          <w:color w:val="000000"/>
        </w:rPr>
        <w:t xml:space="preserve"> for different sectors and use cases, with a licensing model based on "Task 4+ instantiations" and TRL 4–9. Exclusive or nonexclusive rights can </w:t>
      </w:r>
      <w:proofErr w:type="gramStart"/>
      <w:r w:rsidRPr="00403D9C">
        <w:rPr>
          <w:color w:val="000000"/>
        </w:rPr>
        <w:t>be defined</w:t>
      </w:r>
      <w:proofErr w:type="gramEnd"/>
      <w:r w:rsidRPr="00403D9C">
        <w:rPr>
          <w:color w:val="000000"/>
        </w:rPr>
        <w:t xml:space="preserve"> by sector, geography, or application.</w:t>
      </w:r>
    </w:p>
    <w:p w14:paraId="0419A823" w14:textId="77777777" w:rsidR="00403D9C" w:rsidRDefault="00403D9C" w:rsidP="00403D9C">
      <w:pPr>
        <w:pStyle w:val="Heading1"/>
      </w:pPr>
      <w:r>
        <w:t>4. Commercialization and Intellectual Property Strategy</w:t>
      </w:r>
    </w:p>
    <w:p w14:paraId="69B53495" w14:textId="223CF0F4" w:rsidR="00403D9C" w:rsidRDefault="00403D9C" w:rsidP="00403D9C">
      <w:r w:rsidRPr="00403D9C">
        <w:rPr>
          <w:color w:val="000000"/>
        </w:rPr>
        <w:t xml:space="preserve">The commercialization model uses licensing with upfront fees and ongoing royalties, based on sector-specific rights and NPV values from $100 million to $54 billion. Co-investors can join as co-owners during development. NRE </w:t>
      </w:r>
      <w:proofErr w:type="gramStart"/>
      <w:r w:rsidRPr="00403D9C">
        <w:rPr>
          <w:color w:val="000000"/>
        </w:rPr>
        <w:t>is divided</w:t>
      </w:r>
      <w:proofErr w:type="gramEnd"/>
      <w:r w:rsidRPr="00403D9C">
        <w:rPr>
          <w:color w:val="000000"/>
        </w:rPr>
        <w:t xml:space="preserve"> into tasks by technology readiness level (TRL 1–9), with each use case taking about 54 weeks and costing </w:t>
      </w:r>
      <w:proofErr w:type="gramStart"/>
      <w:r w:rsidRPr="00403D9C">
        <w:rPr>
          <w:color w:val="000000"/>
        </w:rPr>
        <w:t>roughly $770,000</w:t>
      </w:r>
      <w:proofErr w:type="gramEnd"/>
      <w:r w:rsidRPr="00403D9C">
        <w:rPr>
          <w:color w:val="000000"/>
        </w:rPr>
        <w:t>.</w:t>
      </w:r>
    </w:p>
    <w:p w14:paraId="673C0A16" w14:textId="77777777" w:rsidR="00403D9C" w:rsidRDefault="00403D9C" w:rsidP="00403D9C">
      <w:pPr>
        <w:pStyle w:val="Heading1"/>
      </w:pPr>
      <w:r>
        <w:t>5. Scope Boundaries</w:t>
      </w:r>
    </w:p>
    <w:p w14:paraId="7EAFC619" w14:textId="77777777" w:rsidR="00403D9C" w:rsidRDefault="00403D9C" w:rsidP="00403D9C">
      <w:r w:rsidRPr="00403D9C">
        <w:t xml:space="preserve">The intellectual property claims for Q-SMEC are broad and encompass </w:t>
      </w:r>
      <w:proofErr w:type="gramStart"/>
      <w:r w:rsidRPr="00403D9C">
        <w:t>several</w:t>
      </w:r>
      <w:proofErr w:type="gramEnd"/>
      <w:r w:rsidRPr="00403D9C">
        <w:t xml:space="preserve"> key areas:</w:t>
      </w:r>
    </w:p>
    <w:p w14:paraId="5FDE03F6" w14:textId="77777777" w:rsidR="00403D9C" w:rsidRDefault="00403D9C" w:rsidP="00403D9C">
      <w:pPr>
        <w:pStyle w:val="ListParagraph"/>
        <w:numPr>
          <w:ilvl w:val="0"/>
          <w:numId w:val="7"/>
        </w:numPr>
      </w:pPr>
      <w:r w:rsidRPr="00403D9C">
        <w:t>Fundamental materials science and quantum physics, specifically relating to novel superconducting and quantum materials.</w:t>
      </w:r>
    </w:p>
    <w:p w14:paraId="7410F6E8" w14:textId="77777777" w:rsidR="00403D9C" w:rsidRDefault="00403D9C" w:rsidP="00403D9C">
      <w:pPr>
        <w:pStyle w:val="ListParagraph"/>
        <w:numPr>
          <w:ilvl w:val="0"/>
          <w:numId w:val="7"/>
        </w:numPr>
      </w:pPr>
      <w:r w:rsidRPr="00403D9C">
        <w:t xml:space="preserve">Fabrication </w:t>
      </w:r>
      <w:proofErr w:type="gramStart"/>
      <w:r w:rsidRPr="00403D9C">
        <w:t>methods,</w:t>
      </w:r>
      <w:proofErr w:type="gramEnd"/>
      <w:r w:rsidRPr="00403D9C">
        <w:t xml:space="preserve"> </w:t>
      </w:r>
      <w:proofErr w:type="gramStart"/>
      <w:r w:rsidRPr="00403D9C">
        <w:t>including</w:t>
      </w:r>
      <w:proofErr w:type="gramEnd"/>
      <w:r w:rsidRPr="00403D9C">
        <w:t xml:space="preserve"> 3D printing, thin film deposition, and atomic layer deposition.</w:t>
      </w:r>
    </w:p>
    <w:p w14:paraId="77ECF6B5" w14:textId="77777777" w:rsidR="00403D9C" w:rsidRDefault="00403D9C" w:rsidP="00403D9C">
      <w:pPr>
        <w:pStyle w:val="ListParagraph"/>
        <w:numPr>
          <w:ilvl w:val="0"/>
          <w:numId w:val="7"/>
        </w:numPr>
      </w:pPr>
      <w:r w:rsidRPr="00403D9C">
        <w:t>System integration into targeted use cases, such as ISR, electric vehicle batteries, smart grids, and desalination.</w:t>
      </w:r>
    </w:p>
    <w:p w14:paraId="2957884F" w14:textId="77777777" w:rsidR="00403D9C" w:rsidRDefault="00403D9C" w:rsidP="00403D9C">
      <w:pPr>
        <w:pStyle w:val="ListParagraph"/>
        <w:numPr>
          <w:ilvl w:val="0"/>
          <w:numId w:val="7"/>
        </w:numPr>
      </w:pPr>
      <w:r w:rsidRPr="00403D9C">
        <w:t>AI-driven design processes utilizing design-of-experiments and quantum computing optimization.</w:t>
      </w:r>
    </w:p>
    <w:p w14:paraId="0000002A" w14:textId="7391542F" w:rsidR="00162F49" w:rsidRPr="00403D9C" w:rsidRDefault="00403D9C" w:rsidP="00403D9C">
      <w:pPr>
        <w:pStyle w:val="ListParagraph"/>
        <w:numPr>
          <w:ilvl w:val="0"/>
          <w:numId w:val="7"/>
        </w:numPr>
      </w:pPr>
      <w:r w:rsidRPr="00403D9C">
        <w:t>A sector-based licensing framework addressing defense, telecom, energy, healthcare, and other critical domains.</w:t>
      </w:r>
    </w:p>
    <w:p w14:paraId="0000002E" w14:textId="77777777" w:rsidR="00162F49" w:rsidRDefault="00162F49">
      <w:bookmarkStart w:id="0" w:name="_6xtjwtrbdah1" w:colFirst="0" w:colLast="0"/>
      <w:bookmarkEnd w:id="0"/>
    </w:p>
    <w:sectPr w:rsidR="00162F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309B1F4A-03DF-472D-816A-AD6D36FFD53D}"/>
  </w:font>
  <w:font w:name="Calibri">
    <w:panose1 w:val="020F0502020204030204"/>
    <w:charset w:val="00"/>
    <w:family w:val="swiss"/>
    <w:pitch w:val="variable"/>
    <w:sig w:usb0="E4002EFF" w:usb1="C200247B" w:usb2="00000009" w:usb3="00000000" w:csb0="000001FF" w:csb1="00000000"/>
    <w:embedRegular r:id="rId2" w:fontKey="{CF9341BB-9A70-4058-93DE-0B8A5C8BD844}"/>
  </w:font>
  <w:font w:name="Cambria">
    <w:panose1 w:val="02040503050406030204"/>
    <w:charset w:val="00"/>
    <w:family w:val="roman"/>
    <w:pitch w:val="variable"/>
    <w:sig w:usb0="E00006FF" w:usb1="420024FF" w:usb2="02000000" w:usb3="00000000" w:csb0="0000019F" w:csb1="00000000"/>
    <w:embedRegular r:id="rId3" w:fontKey="{14BF75C9-8626-4AE9-A38C-56E1D2CE5B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2AC"/>
    <w:multiLevelType w:val="multilevel"/>
    <w:tmpl w:val="64466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3A48A6"/>
    <w:multiLevelType w:val="multilevel"/>
    <w:tmpl w:val="76342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EA2CEE"/>
    <w:multiLevelType w:val="hybridMultilevel"/>
    <w:tmpl w:val="DA383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53058"/>
    <w:multiLevelType w:val="multilevel"/>
    <w:tmpl w:val="309C60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CB16CFC"/>
    <w:multiLevelType w:val="multilevel"/>
    <w:tmpl w:val="B75E3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B824E1"/>
    <w:multiLevelType w:val="hybridMultilevel"/>
    <w:tmpl w:val="12500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995BC0"/>
    <w:multiLevelType w:val="multilevel"/>
    <w:tmpl w:val="4426F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7605605">
    <w:abstractNumId w:val="3"/>
  </w:num>
  <w:num w:numId="2" w16cid:durableId="338318947">
    <w:abstractNumId w:val="1"/>
  </w:num>
  <w:num w:numId="3" w16cid:durableId="292372089">
    <w:abstractNumId w:val="4"/>
  </w:num>
  <w:num w:numId="4" w16cid:durableId="55251286">
    <w:abstractNumId w:val="0"/>
  </w:num>
  <w:num w:numId="5" w16cid:durableId="534729498">
    <w:abstractNumId w:val="6"/>
  </w:num>
  <w:num w:numId="6" w16cid:durableId="644239026">
    <w:abstractNumId w:val="2"/>
  </w:num>
  <w:num w:numId="7" w16cid:durableId="13078611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F49"/>
    <w:rsid w:val="00162F49"/>
    <w:rsid w:val="00403D9C"/>
    <w:rsid w:val="00E81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302AB5-6B0C-45E8-A5C6-64EF69BE0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03D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656</Words>
  <Characters>3742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 Dely</cp:lastModifiedBy>
  <cp:revision>3</cp:revision>
  <dcterms:created xsi:type="dcterms:W3CDTF">2025-11-10T23:00:00Z</dcterms:created>
  <dcterms:modified xsi:type="dcterms:W3CDTF">2025-11-10T23:04:00Z</dcterms:modified>
</cp:coreProperties>
</file>