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Rapport  de Test</w:t>
      </w:r>
    </w:p>
    <w:p>
      <w:pPr>
        <w:pStyle w:val="Heading1"/>
      </w:pPr>
      <w:r>
        <w:t>🔹 CRE2-2025-TP002-02_ER_In front of harness RBW 9kHz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2.25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9kHz-30MHz_rod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tbl>
      <w:tblPr>
        <w:tblStyle w:val="LightList-Accent3"/>
        <w:tblW w:type="auto" w:w="0"/>
        <w:tblLook w:firstColumn="1" w:firstRow="1" w:lastColumn="0" w:lastRow="0" w:noHBand="0" w:noVBand="1" w:val="04A0"/>
        <w:tblBorders>
          <w:top w:val="single" w:sz="6" w:space="0" w:color="C00000"/>
          <w:left w:val="single" w:sz="6" w:space="0" w:color="C00000"/>
          <w:bottom w:val="single" w:sz="6" w:space="0" w:color="C00000"/>
          <w:right w:val="single" w:sz="6" w:space="0" w:color="C00000"/>
          <w:insideH w:val="single" w:sz="6" w:space="0" w:color="C00000"/>
          <w:insideV w:val="single" w:sz="6" w:space="0" w:color="C00000"/>
        </w:tblBorders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Measurement type</w:t>
            </w:r>
          </w:p>
        </w:tc>
        <w:tc>
          <w:tcPr>
            <w:tcW w:type="dxa" w:w="1080"/>
          </w:tcPr>
          <w:p>
            <w:r>
              <w:t>Frequency mhz</w:t>
            </w:r>
          </w:p>
        </w:tc>
        <w:tc>
          <w:tcPr>
            <w:tcW w:type="dxa" w:w="1080"/>
          </w:tcPr>
          <w:p>
            <w:r>
              <w:t>Limit</w:t>
            </w:r>
          </w:p>
        </w:tc>
        <w:tc>
          <w:tcPr>
            <w:tcW w:type="dxa" w:w="1080"/>
          </w:tcPr>
          <w:p>
            <w:r>
              <w:t>Margin</w:t>
            </w:r>
          </w:p>
        </w:tc>
        <w:tc>
          <w:tcPr>
            <w:tcW w:type="dxa" w:w="1080"/>
          </w:tcPr>
          <w:p>
            <w:r>
              <w:t>Polarization</w:t>
            </w:r>
          </w:p>
        </w:tc>
        <w:tc>
          <w:tcPr>
            <w:tcW w:type="dxa" w:w="1080"/>
          </w:tcPr>
          <w:p>
            <w:r>
              <w:t>Correction db</w:t>
            </w:r>
          </w:p>
        </w:tc>
        <w:tc>
          <w:tcPr>
            <w:tcW w:type="dxa" w:w="1080"/>
          </w:tcPr>
          <w:p>
            <w:r>
              <w:t>Measured</w:t>
            </w:r>
          </w:p>
        </w:tc>
        <w:tc>
          <w:tcPr>
            <w:tcW w:type="dxa" w:w="1080"/>
          </w:tcPr>
          <w:p>
            <w:r>
              <w:t>Veridict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CISPR.AVG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1.25425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44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-25.65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9.92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18.35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CISPR.AVG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27.25975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28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-23.43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10.29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4.57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1.25875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51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-17.75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9.92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33.25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27.26875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45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-22.85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10.29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22.15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Q-Peak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1.2565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51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-19.61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9.92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Q-Peak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27.25975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45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-28.95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10.29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1.25875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64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-30.75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9.92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33.25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27.26875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58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-35.85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10.29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22.15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</w:tbl>
    <w:p/>
    <w:p>
      <w:pPr>
        <w:pStyle w:val="Heading1"/>
      </w:pPr>
      <w:r>
        <w:t>🔹 CRE2-2025-TP002-02_ER_In front of harness RBW 9kHz_GNSS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2.25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ON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1.1-1.7GHz_GPS_horn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CRE2-2025-TP002-02_ER_In front of DUT RBW 9kHz_GNSS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2.25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ON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1.1-1.7GHz_GPS_horn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CRE2-2025-TP002-02_ER_In front of harness RBW 120kHz With PA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20MHz-300MHz_biconical with preamp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CRE2-2025-TP002-02_ER_In front of harness RBW 1MHz With PA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20MHz-300MHz_biconical with preamp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CRE2-2025-TP002-02_ER_In front of DUT RBW 120kHz With PA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DUT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Z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20MHz-300MHz_biconical with preamp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CRE2-2025-TP002-02_ER_In front of DUT RBW 1MHz With PA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DUT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Z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20MHz-300MHz_biconical with preamp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Invest CRE2-2025-TP002-02_ER_In front of DUT RBW 9kHz_GNSS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2.25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ON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1.1-1.7GHz_GPS_horn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3600"/>
        </w:tcPr>
        <w:p>
          <w:r>
            <w:rPr>
              <w:sz w:val="20"/>
            </w:rPr>
            <w:t>KABU DIANZAMBI DON</w:t>
          </w:r>
        </w:p>
      </w:tc>
      <w:tc>
        <w:tcPr>
          <w:tcW w:type="dxa" w:w="3600"/>
        </w:tcPr>
        <w:p>
          <w:r>
            <w:rPr>
              <w:sz w:val="20"/>
            </w:rPr>
            <w:t>08/09/2025, 16:31:32</w:t>
          </w:r>
        </w:p>
      </w:tc>
      <w:tc>
        <w:tcPr>
          <w:tcW w:type="dxa" w:w="3600"/>
        </w:tcPr>
        <w:p>
          <w:r>
            <w:rPr>
              <w:sz w:val="20"/>
            </w:rPr>
            <w:t>RAW DATA 02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