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cademicTitle"/>
      </w:pPr>
      <w:r>
        <w:rPr>
          <w:rFonts w:ascii="Calibri" w:hAnsi="Calibri" w:eastAsia="Yu Gothic"/>
        </w:rPr>
        <w:t>アトラクタ数を越えたリザバー評価</w:t>
      </w:r>
    </w:p>
    <w:p>
      <w:pPr>
        <w:pStyle w:val="AcademicSubtitle"/>
      </w:pPr>
      <w:r>
        <w:rPr>
          <w:rFonts w:ascii="Calibri" w:hAnsi="Calibri" w:eastAsia="Yu Gothic"/>
        </w:rPr>
        <w:t>ロバスト・レパートリー余裕による外乱下記憶性能の予測</w:t>
      </w:r>
    </w:p>
    <w:p>
      <w:pPr>
        <w:pStyle w:val="DraftMetadata"/>
      </w:pPr>
      <w:r>
        <w:rPr>
          <w:rFonts w:ascii="Calibri" w:hAnsi="Calibri" w:eastAsia="Yu Gothic"/>
        </w:rPr>
        <w:t>研究草稿 v0.9 2026年8月8日</w:t>
      </w:r>
    </w:p>
    <w:p>
      <w:pPr>
        <w:pStyle w:val="Heading1"/>
      </w:pPr>
      <w:r>
        <w:t>要旨</w:t>
      </w:r>
    </w:p>
    <w:p>
      <w:r>
        <w:rPr>
          <w:rFonts w:ascii="Calibri" w:hAnsi="Calibri" w:eastAsia="Yu Gothic"/>
        </w:rPr>
        <w:t xml:space="preserve">リザバー計算に用いる力学系の能力を理解するうえで、アトラクタの数は直観的な指標である。しかし、自律系で同数のアトラクタを持つ二つの系が、入力、雑音、学習済みmoduleからのfeedbackを受けたときにも同数の状態を安全に利用できるとは限らない。本研究では、離散時間tanh RNNの各符号orthantについて、成分別有界外乱下でロバスト正不変となる共通境界hyperboxを構成し、その最大一様外乱余裕を導出した。外乱budget </w:t>
      </w:r>
      <w:r>
        <w:rPr>
          <w:rFonts w:ascii="Cambria Math" w:hAnsi="Cambria Math" w:eastAsia="Yu Gothic"/>
        </w:rPr>
        <w:t>e</w:t>
      </w:r>
      <w:r>
        <w:rPr>
          <w:rFonts w:ascii="Calibri" w:hAnsi="Calibri" w:eastAsia="Yu Gothic"/>
        </w:rPr>
        <w:t xml:space="preserve"> に対して認証可能なアトラクタ数をロバスト・レパートリー </w:t>
      </w:r>
      <w:r>
        <w:rPr>
          <w:rFonts w:ascii="Cambria Math" w:hAnsi="Cambria Math" w:eastAsia="Yu Gothic"/>
        </w:rPr>
        <w:t>N_rob(e)</w:t>
      </w:r>
      <w:r>
        <w:rPr>
          <w:rFonts w:ascii="Calibri" w:hAnsi="Calibri" w:eastAsia="Yu Gothic"/>
        </w:rPr>
        <w:t xml:space="preserve"> と定義し、生の自律アトラクタ数から分離した。</w:t>
      </w:r>
    </w:p>
    <w:p>
      <w:r>
        <w:rPr>
          <w:rFonts w:ascii="Calibri" w:hAnsi="Calibri" w:eastAsia="Yu Gothic"/>
        </w:rPr>
        <w:t>4次元RNNを用いた段階的な検証では、まず未使用30 seedで自律アトラクタ数を全条件16に一致させたまま、認証レパートリーを分離した。次に、全16 orthantと全16一定corner外乱方向からなる符号記憶taskを導入した。単一familyの未使用30 seedでは、低外乱で認証robust fractionと保持率のSpearman相関が0.8823、高外乱で平均marginとの相関が0.9347だった。さらにdense symmetric、sparse symmetric、asymmetric dense、feedforward non-normalの4 familyを事前登録条件で確認したところ、全480 network条件のraw countが16のまま、平均marginと保持率の相関は0.8933–0.9771となった。</w:t>
      </w:r>
    </w:p>
    <w:p>
      <w:r>
        <w:rPr>
          <w:rFonts w:ascii="Calibri" w:hAnsi="Calibri" w:eastAsia="Yu Gothic"/>
        </w:rPr>
        <w:t>最後に、各foldの対象familyをfitから除外し、他3 familyだけで標準化ridge回帰をfitするfamily・seed二重holdout確認を行った。要求外乱で無次元化した平均marginと認証robust fractionの二成分modelは、新規30 seedのpooled MAE 0.0822、family別Spearman 0.8225–0.9572を示した。seed単位paired bootstrapで、raw countおよび5-feature structural baselineのMAEよりそれぞれ0.0486 [0.0468, 0.0505]、0.0362 [0.0319, 0.0404]小さかった。</w:t>
      </w:r>
    </w:p>
    <w:p>
      <w:r>
        <w:rPr>
          <w:rFonts w:ascii="Calibri" w:hAnsi="Calibri" w:eastAsia="Yu Gothic"/>
        </w:rPr>
        <w:t>さらに候補選択にも未使用の第五の独立pair-module familyへ同じmodelを適用した。全120条件のraw countは16、30,720 challengeのcertificate違反は0だったが、二成分modelのSpearmanは0、MAEは0.2238で、raw countとstructural baselineを上回らなかった。Normalized margin単独は副次的にSpearman 0.8944を示した。またpair符号だけを変える30 seedは符号座標変換で同値であり、bootstrap区間は一点へ退化した。</w:t>
      </w:r>
    </w:p>
    <w:p>
      <w:r>
        <w:rPr>
          <w:rFonts w:ascii="Calibri" w:hAnsi="Calibri" w:eastAsia="Yu Gothic"/>
        </w:rPr>
        <w:t>そこで既存5 familyを符号座標共役で監査したところ、600 network条件は192構造classへ縮約された。各gainの30 seedに対する有効class数はdense symmetric 8、sparse symmetric 2、asymmetric dense 29、feedforward non-normal 8、modular paired 1だった。続いてmodule結合絶対値をseedごとに変えた60個の有効構造networkで積則を事前登録確認した。240条件、61,440 challengeにおいてfull固定点数は常に4×4=16、全corner符号保持率のmodule積に対する最大残差は0、component certificate下界違反は0だった。保持率は0.390625–1.0に分布した。</w:t>
      </w:r>
    </w:p>
    <w:p>
      <w:r>
        <w:rPr>
          <w:rFonts w:ascii="Calibri" w:hAnsi="Calibri" w:eastAsia="Yu Gothic"/>
        </w:rPr>
        <w:t>この独立moduleを零次基準とし、infinity normが0–0.04の対称cross-module結合を加えた。pilot後に効果量閾値を固定し、未使用30 seedの1,440点、368,640 challengeで確認した。raw固定点数は全点16のまま、平均絶対task積則残差は0から0.0831へ単調非減少し、strength 0.04の非零残差率は0.65、最大絶対残差は0.375だった。座標別component rectangleを実際のcross-edgeへ移送するcertificateと、結合normだけでmarginを減算するcertificateは、いずれもtask保持率の下界を保った。</w:t>
      </w:r>
    </w:p>
    <w:p>
      <w:r>
        <w:rPr>
          <w:rFonts w:ascii="Calibri" w:hAnsi="Calibri" w:eastAsia="Yu Gothic"/>
        </w:rPr>
        <w:t>次に、非対称bridgeを持つ2+2・2+3 node系だけで方向別component-aware ridgeをfitし、係数を固定したまま未使用30 seedの3+5 node系へ外挿した。960点、983,040 challengeでcomponent-aware MAEは0.01232、global profileは0.03970、isolated task積だけのmodelは0.01699だった。seed単位bootstrapによるbaseline minus component MAEの95%区間下限は0.02474と0.004166で、certificate chainとtask下界に違反はなかった。一方、Spearmanはcomponent-aware 0.8116に対し二baselineが0.8542、0.9062であり、順位予測の支配は得られなかった。</w:t>
      </w:r>
    </w:p>
    <w:p>
      <w:r>
        <w:rPr>
          <w:rFonts w:ascii="Calibri" w:hAnsi="Calibri" w:eastAsia="Yu Gothic"/>
        </w:rPr>
        <w:t>さらに座標順を隠した2+2+3三module系へ進めた。強い一意affinity gapからtask値を見ずに240/240 networkのpartitionを回復し、局所16 orthantによる因子化certificateを全系128 orthantの直積列挙と960点すべてで一致させた。前実験の固定predictorを再fitせず適用したcomponent-aware MAEは0.01626、global 0.07993、product-only 0.02102で、491,520 challengeに対する事前登録12判定はすべて成立した。ただしglobalのSpearmanが0.9468で最良であり、方向別とglobal certificateが一致する等流入generatorだった。</w:t>
      </w:r>
    </w:p>
    <w:p>
      <w:pPr>
        <w:pStyle w:val="Reproducibility"/>
        <w:jc w:val="left"/>
      </w:pPr>
      <w:r>
        <w:rPr>
          <w:rFonts w:ascii="Calibri" w:hAnsi="Calibri" w:eastAsia="Yu Gothic"/>
        </w:rPr>
        <w:t xml:space="preserve">この強いgapを二値条件のままにせず、最大gap </w:t>
      </w:r>
      <w:r>
        <w:rPr>
          <w:rFonts w:ascii="Cambria Math" w:hAnsi="Cambria Math" w:eastAsia="Yu Gothic"/>
        </w:rPr>
        <w:t>g₁</w:t>
      </w:r>
      <w:r>
        <w:rPr>
          <w:rFonts w:ascii="Calibri" w:hAnsi="Calibri" w:eastAsia="Yu Gothic"/>
        </w:rPr>
        <w:t xml:space="preserve"> と二番目 </w:t>
      </w:r>
      <w:r>
        <w:rPr>
          <w:rFonts w:ascii="Cambria Math" w:hAnsi="Cambria Math" w:eastAsia="Yu Gothic"/>
        </w:rPr>
        <w:t>g₂</w:t>
      </w:r>
      <w:r>
        <w:rPr>
          <w:rFonts w:ascii="Calibri" w:hAnsi="Calibri" w:eastAsia="Yu Gothic"/>
        </w:rPr>
        <w:t xml:space="preserve"> から、同じpartitionを保つentrywise十分半径 </w:t>
      </w:r>
      <w:r>
        <w:rPr>
          <w:rFonts w:ascii="Cambria Math" w:hAnsi="Cambria Math" w:eastAsia="Yu Gothic"/>
        </w:rPr>
        <w:t>rₚₐᵣₜ=min(g₁/2,(g₁-g₂)/4)</w:t>
      </w:r>
      <w:r>
        <w:rPr>
          <w:rFonts w:ascii="Calibri" w:hAnsi="Calibri" w:eastAsia="Yu Gothic"/>
        </w:rPr>
        <w:t xml:space="preserve"> を導出した。固定manifestと未使用30 seedの180 base network、8摂動方向、7相対振幅からなる10,080条件で事前登録8判定はすべて成立し、半径0.9倍以下の5,760条件でpartition回復率1、pair disagreement 0だった。探索域では半径2倍で回復率0.7375、4倍で0.1653へ低下したが、これはtask機能の失敗率ではない。</w:t>
      </w:r>
    </w:p>
    <w:p>
      <w:r>
        <w:rPr>
          <w:rFonts w:ascii="Calibri" w:hAnsi="Calibri" w:eastAsia="Yu Gothic"/>
        </w:rPr>
        <w:t>さらに3+5 nodeの非対称core–reserve RNNへ有界拡散型の空間変調場を導入し、reserve-to-core bridgeだけを局所gateする介入を、同じFrobenius介入energyの一様global recurrent gainと比較した。未使用30 seed、270条件、2,851,200座標遷移で局所場は8必須core orthantを全条件保持した。global対照に対するcore保持差は0.3472 [0.2393, 0.4681]、reserve線形記憶容量差は0.07683 [0.06350, 0.09123]で、certificate違反は0だった。</w:t>
      </w:r>
    </w:p>
    <w:p>
      <w:r>
        <w:rPr>
          <w:rFonts w:ascii="Calibri" w:hAnsi="Calibri" w:eastAsia="Yu Gothic"/>
        </w:rPr>
        <w:t>以上は、有限外乱下で利用可能な記憶状態を評価するにはアトラクタ数だけでなくmargin profileが必要である一方、既知構造で学習した低次元の線形較正を任意の力学系へ普遍化できないことを示す。またraw seed数をtask保存対称性で割り、component別profile、方向別結合負荷、積則残差、移送certificate、分割不確実性とそのentrywise保証半径を保持し、局所介入へ接続する必要がある。本結果は低次元tanh RNN、符号保持と線形記憶、強く分離可能な三module構造、hyperbox十分条件、単純なglobal対照に限定される。</w:t>
      </w:r>
    </w:p>
    <w:p>
      <w:pPr>
        <w:pStyle w:val="Keywords"/>
      </w:pPr>
      <w:r>
        <w:rPr>
          <w:rFonts w:ascii="Calibri" w:hAnsi="Calibri" w:eastAsia="Yu Gothic"/>
        </w:rPr>
        <w:t>キーワード: reservoir computing、multistability、robust invariant set、survivability、attractor repertoire、recurrent neural network</w:t>
      </w:r>
    </w:p>
    <w:p>
      <w:pPr>
        <w:pStyle w:val="Heading1"/>
      </w:pPr>
      <w:r>
        <w:t>1. はじめに</w:t>
      </w:r>
    </w:p>
    <w:p>
      <w:r>
        <w:rPr>
          <w:rFonts w:ascii="Calibri" w:hAnsi="Calibri" w:eastAsia="Yu Gothic"/>
        </w:rPr>
        <w:t>Reservoir Computing Generalizedを含む近年の理論は、計算基材を特定のEcho State Networkへ限定せず、多様な入力駆動力学系とreadoutの組として計算を捉える方向を示している [1,2]。この一般化は、任意の力学系を候補reservoirとして分析し、その構造とダイナミクスをtaskへ適合させる設計問題を重要にする。</w:t>
      </w:r>
    </w:p>
    <w:p>
      <w:r>
        <w:rPr>
          <w:rFonts w:ascii="Calibri" w:hAnsi="Calibri" w:eastAsia="Yu Gothic"/>
        </w:rPr>
        <w:t>多重安定系では、アトラクタ数、吸引域、遷移障壁、条件付き安定性が記憶と状態遷移の自然な記述量になる。しかし、アトラクタが自律系に存在することと、入力または外乱下でその状態を計算資源として安全に利用できることは同じではない。Basin stabilityは摂動後にどのアトラクタへ漸近するかを測り、survivabilityは過渡軌道が望ましい領域を一度も逸脱しない確率を測る [3,4]。また、非正規結合は局所固有値だけでは捉えにくい高速な過渡増幅を生じ得る [5]。したがって、生のアトラクタ数だけで有限外乱下の利用可能性を代表させることには理論的な不足がある。</w:t>
      </w:r>
    </w:p>
    <w:p>
      <w:r>
        <w:rPr>
          <w:rFonts w:ascii="Calibri" w:hAnsi="Calibri" w:eastAsia="Yu Gothic"/>
        </w:rPr>
        <w:t>本研究の問いは次の七点である。第一に、非対角tanh RNNの各符号orthantへ任意方向有界外乱に対する計算可能な安全marginを与えられるか。第二に、raw autonomous attractor countを一致させてもrobust repertoireを分離できるか。第三に、そのmargin profileが未知seedの外乱下記憶性能をraw count、coupling、局所Jacobianよりよく予測するか。第四に、局所marginと方向別結合負荷を保持するcomponent表現が、小さい非対称系から異なるmodule sizeへ外挿できるか。第五に、未知partitionをtask非依存に回復し、多component certificateを全状態列挙なしに合成できるか。第六に、そのpartitionを保つ構造摂動の十分半径を導出できるか。第七に、marginを消費する結合へ局所的に介入すると、同一energyの一様介入より必須アトラクタとreserve記憶を両立できるか。</w:t>
      </w:r>
    </w:p>
    <w:p>
      <w:r>
        <w:rPr>
          <w:rFonts w:ascii="Calibri" w:hAnsi="Calibri" w:eastAsia="Yu Gothic"/>
        </w:rPr>
        <w:t>主な貢献は以下である。</w:t>
      </w:r>
    </w:p>
    <w:p>
      <w:pPr>
        <w:spacing w:before="0" w:after="80" w:line="290" w:lineRule="auto"/>
        <w:numPr>
          <w:ilvl w:val="0"/>
          <w:numId w:val="10"/>
        </w:numPr>
      </w:pPr>
      <w:r>
        <w:rPr>
          <w:rFonts w:ascii="Calibri" w:hAnsi="Calibri" w:eastAsia="Yu Gothic"/>
        </w:rPr>
        <w:t>符号変換したtanh RNNに対し、共通境界orthant hyperboxがロバスト正不変となる一様外乱marginを導出した。</w:t>
      </w:r>
    </w:p>
    <w:p>
      <w:pPr>
        <w:spacing w:before="0" w:after="80" w:line="290" w:lineRule="auto"/>
        <w:numPr>
          <w:ilvl w:val="0"/>
          <w:numId w:val="10"/>
        </w:numPr>
      </w:pPr>
      <w:r>
        <w:rPr>
          <w:rFonts w:ascii="Calibri" w:hAnsi="Calibri" w:eastAsia="Yu Gothic"/>
        </w:rPr>
        <w:t>raw count、認証count、外乱強度別robust repertoire curve、margin分布を分離する分析APIを実装した。</w:t>
      </w:r>
    </w:p>
    <w:p>
      <w:pPr>
        <w:spacing w:before="0" w:after="80" w:line="290" w:lineRule="auto"/>
        <w:numPr>
          <w:ilvl w:val="0"/>
          <w:numId w:val="10"/>
        </w:numPr>
      </w:pPr>
      <w:r>
        <w:rPr>
          <w:rFonts w:ascii="Calibri" w:hAnsi="Calibri" w:eastAsia="Yu Gothic"/>
        </w:rPr>
        <w:t>count-matchedな未使用seed確認と、122,880 challengeからなる4 familyの事前登録task確認を実施した。</w:t>
      </w:r>
    </w:p>
    <w:p>
      <w:pPr>
        <w:spacing w:before="0" w:after="80" w:line="290" w:lineRule="auto"/>
        <w:numPr>
          <w:ilvl w:val="0"/>
          <w:numId w:val="10"/>
        </w:numPr>
      </w:pPr>
      <w:r>
        <w:rPr>
          <w:rFonts w:ascii="Calibri" w:hAnsi="Calibri" w:eastAsia="Yu Gothic"/>
        </w:rPr>
        <w:t>保証下界と経験的点予測を分離し、coupling、局所Jacobian、固定点座標、非正規性を比較baselineとして実装した。</w:t>
      </w:r>
    </w:p>
    <w:p>
      <w:pPr>
        <w:spacing w:before="0" w:after="80" w:line="290" w:lineRule="auto"/>
        <w:numPr>
          <w:ilvl w:val="0"/>
          <w:numId w:val="10"/>
        </w:numPr>
      </w:pPr>
      <w:r>
        <w:rPr>
          <w:rFonts w:ascii="Calibri" w:hAnsi="Calibri" w:eastAsia="Yu Gothic"/>
        </w:rPr>
        <w:t>対象familyのlabelをfitから除外するfamily・seed二重holdoutで、robust repertoire二成分modelの移送性能を事前登録確認した。</w:t>
      </w:r>
    </w:p>
    <w:p>
      <w:pPr>
        <w:spacing w:before="0" w:after="80" w:line="290" w:lineRule="auto"/>
        <w:numPr>
          <w:ilvl w:val="0"/>
          <w:numId w:val="10"/>
        </w:numPr>
      </w:pPr>
      <w:r>
        <w:rPr>
          <w:rFonts w:ascii="Calibri" w:hAnsi="Calibri" w:eastAsia="Yu Gothic"/>
        </w:rPr>
        <w:t>符号座標共役の証人探索とclass監査を実装し、既存600 network条件の実効構造多様性を192 classと算定した。</w:t>
      </w:r>
    </w:p>
    <w:p>
      <w:pPr>
        <w:spacing w:before="0" w:after="80" w:line="290" w:lineRule="auto"/>
        <w:numPr>
          <w:ilvl w:val="0"/>
          <w:numId w:val="10"/>
        </w:numPr>
      </w:pPr>
      <w:r>
        <w:rPr>
          <w:rFonts w:ascii="Calibri" w:hAnsi="Calibri" w:eastAsia="Yu Gothic"/>
        </w:rPr>
        <w:t>符号共役で異なる60個の異質独立module networkで、固定点、component certificate、全corner task保持率の積則を事前登録確認した。</w:t>
      </w:r>
    </w:p>
    <w:p>
      <w:pPr>
        <w:spacing w:before="0" w:after="80" w:line="290" w:lineRule="auto"/>
        <w:numPr>
          <w:ilvl w:val="0"/>
          <w:numId w:val="10"/>
        </w:numPr>
      </w:pPr>
      <w:r>
        <w:rPr>
          <w:rFonts w:ascii="Calibri" w:hAnsi="Calibri" w:eastAsia="Yu Gothic"/>
        </w:rPr>
        <w:t>弱いmodule間結合に対する座標別rectangle保証とnorm損失上界を導出し、raw count一定の未使用30 seedで積則残差のcoupling応答を事前登録確認した。</w:t>
      </w:r>
    </w:p>
    <w:p>
      <w:pPr>
        <w:spacing w:before="0" w:after="80" w:line="290" w:lineRule="auto"/>
        <w:numPr>
          <w:ilvl w:val="0"/>
          <w:numId w:val="10"/>
        </w:numPr>
      </w:pPr>
      <w:r>
        <w:rPr>
          <w:rFonts w:ascii="Calibri" w:hAnsi="Calibri" w:eastAsia="Yu Gothic"/>
        </w:rPr>
        <w:t>方向別component margin・結合負荷・size imbalanceを用いる固定予測器を実装し、2+2・2+3系から3+5系へのMAE外挿優位と、その順位相関上の限界を事前登録確認した。</w:t>
      </w:r>
    </w:p>
    <w:p>
      <w:pPr>
        <w:spacing w:before="0" w:after="80" w:line="290" w:lineRule="auto"/>
        <w:numPr>
          <w:ilvl w:val="0"/>
          <w:numId w:val="10"/>
        </w:numPr>
      </w:pPr>
      <w:r>
        <w:rPr>
          <w:rFonts w:ascii="Calibri" w:hAnsi="Calibri" w:eastAsia="Yu Gothic"/>
        </w:rPr>
        <w:t>task-free affinity-gap分割、任意module数の方向別load行列、因子化certificateを実装し、未知三moduleで局所列挙が全系直積と一致することと固定予測器のMAE移送を事前登録確認した。</w:t>
      </w:r>
    </w:p>
    <w:p>
      <w:pPr>
        <w:spacing w:before="0" w:after="80" w:line="290" w:lineRule="auto"/>
        <w:numPr>
          <w:ilvl w:val="0"/>
          <w:numId w:val="10"/>
        </w:numPr>
      </w:pPr>
      <w:r>
        <w:rPr>
          <w:rFonts w:ascii="Calibri" w:hAnsi="Calibri" w:eastAsia="Yu Gothic"/>
        </w:rPr>
        <w:t>最大affinity gapと次点gapから同じpartitionを保つentrywise十分半径を導出し、固定manifestと未使用seedで半径内の完全不変性を事前登録確認した。</w:t>
      </w:r>
    </w:p>
    <w:p>
      <w:pPr>
        <w:spacing w:before="0" w:after="80" w:line="290" w:lineRule="auto"/>
        <w:numPr>
          <w:ilvl w:val="0"/>
          <w:numId w:val="10"/>
        </w:numPr>
      </w:pPr>
      <w:r>
        <w:rPr>
          <w:rFonts w:ascii="Calibri" w:hAnsi="Calibri" w:eastAsia="Yu Gothic"/>
        </w:rPr>
        <w:t>有界拡散場、時変row gateのcore保護条件、energy-matched global対照を実装し、非対称3+5 core–reserve RNNで局所介入の因果的優位を事前登録確認した。</w:t>
      </w:r>
    </w:p>
    <w:p>
      <w:pPr>
        <w:pStyle w:val="Heading1"/>
      </w:pPr>
      <w:r>
        <w:t>2. 関連研究</w:t>
      </w:r>
    </w:p>
    <w:p>
      <w:pPr>
        <w:pStyle w:val="Heading2"/>
      </w:pPr>
      <w:r>
        <w:t>2.1 Reservoir computingの一般性とtask依存性</w:t>
      </w:r>
    </w:p>
    <w:p>
      <w:r>
        <w:rPr>
          <w:rFonts w:ascii="Calibri" w:hAnsi="Calibri" w:eastAsia="Yu Gothic"/>
        </w:rPr>
        <w:t>Reservoir computingの普遍近似理論は、fading memory filterや確率入力を含む設定で整備されてきた [2,6]。一方、fading memoryを持たないreservoirでも右無限時間operatorを用いることで近似可能性が得られる例が示されている [7]。これらは多重安定な基材をreservoir候補から排除しない理論的背景になるが、個々のアトラクタをtask上どの程度安全に利用できるかは与えない。</w:t>
      </w:r>
    </w:p>
    <w:p>
      <w:r>
        <w:rPr>
          <w:rFonts w:ascii="Calibri" w:hAnsi="Calibri" w:eastAsia="Yu Gothic"/>
        </w:rPr>
        <w:t>Topologyと性能の関係もtask依存である。2026年のrandom reservoir比較では、対称性の効果が予測対象の力学系によって変化した [8]。Photonic reservoirの最新研究でもsmall-world構造の利得が報告された一方、memoryと予測で最適parameterは一致しなかった [9]。従って、一つのtopologyまたは一つの静的指標から普遍的な設計則を結論しないことが重要である。</w:t>
      </w:r>
    </w:p>
    <w:p>
      <w:pPr>
        <w:pStyle w:val="Heading2"/>
      </w:pPr>
      <w:r>
        <w:t>2.2 アトラクタ、有限時間機能、過渡安全性</w:t>
      </w:r>
    </w:p>
    <w:p>
      <w:r>
        <w:rPr>
          <w:rFonts w:ascii="Calibri" w:hAnsi="Calibri" w:eastAsia="Yu Gothic"/>
        </w:rPr>
        <w:t>Basin stabilityは非線形系の大域安定性を初期条件分布に基づき評価する [3]。Survivabilityは安全領域からの過渡逸脱を別に測る [4]。離散時間非線形系のinput-to-state stabilityは、有界入力に対する状態応答を扱う一般枠組みを与える [10]。</w:t>
      </w:r>
    </w:p>
    <w:p>
      <w:r>
        <w:rPr>
          <w:rFonts w:ascii="Calibri" w:hAnsi="Calibri" w:eastAsia="Yu Gothic"/>
        </w:rPr>
        <w:t>固定点の存在と有限時間機能も一致しない。2026年の連想記憶modelでは、平衡論的な記憶状態が消える容量超過後にもslow regionによるtransient retrievalが残り得ることが示された [11]。逆に、本研究が扱う問題は、固定点が存在していても有限外乱に対する安全性が不足し得るという補完的な側面である。</w:t>
      </w:r>
    </w:p>
    <w:p>
      <w:pPr>
        <w:pStyle w:val="Heading2"/>
      </w:pPr>
      <w:r>
        <w:t>2.3 非正規性と神経回路</w:t>
      </w:r>
    </w:p>
    <w:p>
      <w:r>
        <w:rPr>
          <w:rFonts w:ascii="Calibri" w:hAnsi="Calibri" w:eastAsia="Yu Gothic"/>
        </w:rPr>
        <w:t>非正規な再帰結合は、臨界固有値によるdynamical slowingとは異なる高速な過渡増幅を作る [5]。2026年の非相反Wilson–Cowan network研究は、feedforward結合とcyclic結合が過渡reactivityとnoise駆動遷移を異なる形で組織することを報告した [12]。この知見を踏まえ、本研究は対称familyだけでなくasymmetricおよびfeedforward non-normal familyを外的妥当性検証へ含める。</w:t>
      </w:r>
    </w:p>
    <w:p>
      <w:pPr>
        <w:pStyle w:val="Heading2"/>
      </w:pPr>
      <w:r>
        <w:t>2.4 神経系の時空間変調</w:t>
      </w:r>
    </w:p>
    <w:p>
      <w:r>
        <w:rPr>
          <w:rFonts w:ascii="Calibri" w:hAnsi="Calibri" w:eastAsia="Yu Gothic"/>
        </w:rPr>
        <w:t>神経回路の調整信号は空間的に一様とは限らない。局所的で短いGABA・glutamate入力が広く長いastrocyte Ca応答へ統合されること [18]、locus coeruleusが海馬astrocyteの秒単位の求心的統合を調整すること [19]、局所細胞外Caがsubsecondでstriatal cholinergic interneuronとdopamine放出を変えること [20] が報告されている。AstrocyteのNaおよびClも細胞・状態・細胞内位置により不均一である [21,22]。またACh–dopamineの時空間wave [23] と、dopamineがplasticityとexcitabilityを介してlatent behavioral attractorを形成・顕在化させる例 [24] がある。</w:t>
      </w:r>
    </w:p>
    <w:p>
      <w:r>
        <w:rPr>
          <w:rFonts w:ascii="Calibri" w:hAnsi="Calibri" w:eastAsia="Yu Gothic"/>
        </w:rPr>
        <w:t>これらは複数の時定数と局所性を持つ変調の存在を支持するが、本稿のcore–reserve分解、拡散場方程式、局所gateの最適性を直接示すものではない。本稿では生物機構を同定せず、空間選択的な制御が必須アトラクタのmarginとreserve能力を両立し得るかを人工系で検証する。</w:t>
      </w:r>
    </w:p>
    <w:p>
      <w:r>
        <w:rPr>
          <w:rFonts w:ascii="Calibri" w:hAnsi="Calibri" w:eastAsia="Yu Gothic"/>
        </w:rPr>
        <w:t>ヒト構造connectomeでは皮質領域の発生時期が構造中心性と相関し、神経新生時期が近い領域ほど結合確率と結合重みが大きいことが報告された [29]。発生期ヒト皮質では細胞subtype指定に関係する500超のgene co-expression networkとmeta-moduleも同定された [30]。これらは発生programが構造scaffoldへ制約を与えることと整合するが、発生module、構造module、力学的attractor moduleが一致する証拠ではない。</w:t>
      </w:r>
    </w:p>
    <w:p>
      <w:pPr>
        <w:pStyle w:val="Heading2"/>
      </w:pPr>
      <w:r>
        <w:t>2.5 Component合成とdynamical motif</w:t>
      </w:r>
    </w:p>
    <w:p>
      <w:r>
        <w:rPr>
          <w:rFonts w:ascii="Calibri" w:hAnsi="Calibri" w:eastAsia="Yu Gothic"/>
        </w:rPr>
        <w:t>相互結合した非線形subsystemについて、ISS Lyapunov関数と方向別gain operatorから全体系の安定性を構成するsmall-gain理論がある [25]。近年は、小規模subsystemで得たneural certificateを類似構造の大規模networkへ合成する枠組みも提案されている [26]。Attractor networkではmodularityがbasin体積と収束時間を改善し得る一方、最適値は中間的であり、module化を単調な利得とはみなせない [27]。</w:t>
      </w:r>
    </w:p>
    <w:p>
      <w:r>
        <w:rPr>
          <w:rFonts w:ascii="Calibri" w:hAnsi="Calibri" w:eastAsia="Yu Gothic"/>
        </w:rPr>
        <w:t>離散時間相互結合系についても、subsystem単位のISS certificateを規模に依存しにくい形で合成するsISS枠組みが2025年にプレプリントとして提案されている [28]。これは本稿の局所certificate合成と方向性が近いが、本稿のorthant hyperbox、task保持率、未知partition回復を証明するものではない。</w:t>
      </w:r>
    </w:p>
    <w:p>
      <w:r>
        <w:rPr>
          <w:rFonts w:ascii="Calibri" w:hAnsi="Calibri" w:eastAsia="Yu Gothic"/>
        </w:rPr>
        <w:t>Network communityの統計的有意性を小摂動に対するpartitionのrobustnessで測る方法が提案されている [31]。また競合partitionの分布が不均質なとき、単一consensusではdissensusを表現できない [32]。本稿は一般community分布を推定せず、最大affinity-gap推定器に限定して一点partitionが不変な決定論的半径を与える。構造module性だけでは人工RNNの機能specializationを保証せず、環境分離、資源制約、情報流条件が必要だったという結果 [33] も踏まえ、構造保証とtask保証を分離する。ヒトconnectomeの機能結合個体差がwithin-networkからbetween-networkへ系統的に変わり、構造結合変動とも関連した結果 [34] は、個体差を一様noiseではなく構造化摂動として扱う必要性を支持するが、本稿の半径を実測したものではない。</w:t>
      </w:r>
    </w:p>
    <w:p>
      <w:r>
        <w:rPr>
          <w:rFonts w:ascii="Calibri" w:hAnsi="Calibri" w:eastAsia="Yu Gothic"/>
        </w:rPr>
        <w:t>Multi-task RNNでattractor、decision boundary、rotation等のdynamical motifがtask間で再利用されるという結果 [13] は、global scoreをcomponent atlasへ分解する計算論的動機になる。ただし、これらの研究は本稿の符号記憶taskの積則、方向別hyperbox chain、2+2・2+3から3+5への予測外挿を証明しない。本稿はこの限定されたfamilyで、保証合成と経験較正を別々に検証する。</w:t>
      </w:r>
    </w:p>
    <w:p>
      <w:pPr>
        <w:pStyle w:val="Heading1"/>
      </w:pPr>
      <w:r>
        <w:t>3. 理論</w:t>
      </w:r>
    </w:p>
    <w:p>
      <w:pPr>
        <w:pStyle w:val="Heading2"/>
      </w:pPr>
      <w:r>
        <w:t>3.1 対象系</w:t>
      </w:r>
    </w:p>
    <w:p>
      <w:r>
        <w:rPr>
          <w:rFonts w:ascii="Calibri" w:hAnsi="Calibri" w:eastAsia="Yu Gothic"/>
        </w:rPr>
        <w:t>次の離散時間tanh RNNを考える。</w:t>
      </w:r>
    </w:p>
    <w:p>
      <w:pPr>
        <w:pStyle w:val="DisplayEquation"/>
      </w:pPr>
      <w:r>
        <w:rPr>
          <w:rFonts w:ascii="Cambria Math" w:hAnsi="Cambria Math"/>
          <w:sz w:val="21"/>
        </w:rPr>
        <w:t>xₜ₊₁=tanh(Wxₜ+ηₜ), ‖ηₜ‖∞≤ e.</w:t>
      </w:r>
    </w:p>
    <w:p>
      <w:r>
        <w:rPr>
          <w:rFonts w:ascii="Calibri" w:hAnsi="Calibri" w:eastAsia="Yu Gothic"/>
        </w:rPr>
        <w:t xml:space="preserve">ここでtanhは成分ごとに作用する。対象orthantを </w:t>
      </w:r>
      <w:r>
        <w:rPr>
          <w:rFonts w:ascii="Cambria Math" w:hAnsi="Cambria Math" w:eastAsia="Yu Gothic"/>
        </w:rPr>
        <w:t>s∈-1,1ᵈ</w:t>
      </w:r>
      <w:r>
        <w:rPr>
          <w:rFonts w:ascii="Calibri" w:hAnsi="Calibri" w:eastAsia="Yu Gothic"/>
        </w:rPr>
        <w:t xml:space="preserve">、符号行列を </w:t>
      </w:r>
      <w:r>
        <w:rPr>
          <w:rFonts w:ascii="Cambria Math" w:hAnsi="Cambria Math" w:eastAsia="Yu Gothic"/>
        </w:rPr>
        <w:t>Dₛ=diag(s)</w:t>
      </w:r>
      <w:r>
        <w:rPr>
          <w:rFonts w:ascii="Calibri" w:hAnsi="Calibri" w:eastAsia="Yu Gothic"/>
        </w:rPr>
        <w:t xml:space="preserve"> とし、</w:t>
      </w:r>
      <w:r>
        <w:rPr>
          <w:rFonts w:ascii="Cambria Math" w:hAnsi="Cambria Math" w:eastAsia="Yu Gothic"/>
        </w:rPr>
        <w:t>y=Dₛx</w:t>
      </w:r>
      <w:r>
        <w:rPr>
          <w:rFonts w:ascii="Calibri" w:hAnsi="Calibri" w:eastAsia="Yu Gothic"/>
        </w:rPr>
        <w:t>、</w:t>
      </w:r>
      <w:r>
        <w:rPr>
          <w:rFonts w:ascii="Cambria Math" w:hAnsi="Cambria Math" w:eastAsia="Yu Gothic"/>
        </w:rPr>
        <w:t>Wₛ=DₛWDₛ</w:t>
      </w:r>
      <w:r>
        <w:rPr>
          <w:rFonts w:ascii="Calibri" w:hAnsi="Calibri" w:eastAsia="Yu Gothic"/>
        </w:rPr>
        <w:t xml:space="preserve"> と変換する。</w:t>
      </w:r>
    </w:p>
    <w:p>
      <w:pPr>
        <w:pStyle w:val="Heading2"/>
      </w:pPr>
      <w:r>
        <w:t>3.2 共通境界orthant box</w:t>
      </w:r>
    </w:p>
    <w:p>
      <w:r>
        <w:rPr>
          <w:rFonts w:ascii="Calibri" w:hAnsi="Calibri" w:eastAsia="Yu Gothic"/>
        </w:rPr>
        <w:t>変換座標で</w:t>
      </w:r>
    </w:p>
    <w:p>
      <w:pPr>
        <w:pStyle w:val="DisplayEquation"/>
      </w:pPr>
      <w:r>
        <w:rPr>
          <w:rFonts w:ascii="Cambria Math" w:hAnsi="Cambria Math"/>
          <w:sz w:val="21"/>
        </w:rPr>
        <w:t>Bₛ(m)=[m,1]ᵈ, 0&lt;m&lt;1</w:t>
      </w:r>
    </w:p>
    <w:p>
      <w:r>
        <w:rPr>
          <w:rFonts w:ascii="Calibri" w:hAnsi="Calibri" w:eastAsia="Yu Gothic"/>
        </w:rPr>
        <w:t xml:space="preserve">を考える。行 </w:t>
      </w:r>
      <w:r>
        <w:rPr>
          <w:rFonts w:ascii="Cambria Math" w:hAnsi="Cambria Math" w:eastAsia="Yu Gothic"/>
        </w:rPr>
        <w:t>i</w:t>
      </w:r>
      <w:r>
        <w:rPr>
          <w:rFonts w:ascii="Calibri" w:hAnsi="Calibri" w:eastAsia="Yu Gothic"/>
        </w:rPr>
        <w:t xml:space="preserve"> の正・負結合和を</w:t>
      </w:r>
    </w:p>
    <w:p>
      <w:pPr>
        <w:pStyle w:val="DisplayEquation"/>
      </w:pPr>
      <w:r>
        <w:rPr>
          <w:rFonts w:ascii="Cambria Math" w:hAnsi="Cambria Math"/>
          <w:sz w:val="21"/>
        </w:rPr>
        <w:t>Pᵢ=Σⱼₘₐₓ((Wₛ)ᵢⱼ,0), Nᵢ=Σⱼₘᵢₙ((Wₛ)ᵢⱼ,0)</w:t>
      </w:r>
    </w:p>
    <w:p>
      <w:r>
        <w:rPr>
          <w:rFonts w:ascii="Calibri" w:hAnsi="Calibri" w:eastAsia="Yu Gothic"/>
        </w:rPr>
        <w:t xml:space="preserve">とする。任意の </w:t>
      </w:r>
      <w:r>
        <w:rPr>
          <w:rFonts w:ascii="Cambria Math" w:hAnsi="Cambria Math" w:eastAsia="Yu Gothic"/>
        </w:rPr>
        <w:t>y∈[m,1]ᵈ</w:t>
      </w:r>
      <w:r>
        <w:rPr>
          <w:rFonts w:ascii="Calibri" w:hAnsi="Calibri" w:eastAsia="Yu Gothic"/>
        </w:rPr>
        <w:t xml:space="preserve"> と </w:t>
      </w:r>
      <w:r>
        <w:rPr>
          <w:rFonts w:ascii="Cambria Math" w:hAnsi="Cambria Math" w:eastAsia="Yu Gothic"/>
        </w:rPr>
        <w:t>‖η‖∞≤ e</w:t>
      </w:r>
      <w:r>
        <w:rPr>
          <w:rFonts w:ascii="Calibri" w:hAnsi="Calibri" w:eastAsia="Yu Gothic"/>
        </w:rPr>
        <w:t xml:space="preserve"> に対して、成分 </w:t>
      </w:r>
      <w:r>
        <w:rPr>
          <w:rFonts w:ascii="Cambria Math" w:hAnsi="Cambria Math" w:eastAsia="Yu Gothic"/>
        </w:rPr>
        <w:t>i</w:t>
      </w:r>
      <w:r>
        <w:rPr>
          <w:rFonts w:ascii="Calibri" w:hAnsi="Calibri" w:eastAsia="Yu Gothic"/>
        </w:rPr>
        <w:t xml:space="preserve"> のtanh入力の下界は </w:t>
      </w:r>
      <w:r>
        <w:rPr>
          <w:rFonts w:ascii="Cambria Math" w:hAnsi="Cambria Math" w:eastAsia="Yu Gothic"/>
        </w:rPr>
        <w:t>Pᵢ m+Nᵢ-e</w:t>
      </w:r>
      <w:r>
        <w:rPr>
          <w:rFonts w:ascii="Calibri" w:hAnsi="Calibri" w:eastAsia="Yu Gothic"/>
        </w:rPr>
        <w:t xml:space="preserve"> である。従って、</w:t>
      </w:r>
    </w:p>
    <w:p>
      <w:pPr>
        <w:pStyle w:val="DisplayEquation"/>
      </w:pPr>
      <w:r>
        <w:rPr>
          <w:rFonts w:ascii="Cambria Math" w:hAnsi="Cambria Math"/>
          <w:sz w:val="21"/>
        </w:rPr>
        <w:t>Pᵢ m+Nᵢ-e≥ atanh(m)</w:t>
      </w:r>
    </w:p>
    <w:p>
      <w:r>
        <w:rPr>
          <w:rFonts w:ascii="Calibri" w:hAnsi="Calibri" w:eastAsia="Yu Gothic"/>
        </w:rPr>
        <w:t xml:space="preserve">が全成分で成立すれば、単調性により次状態も </w:t>
      </w:r>
      <w:r>
        <w:rPr>
          <w:rFonts w:ascii="Cambria Math" w:hAnsi="Cambria Math" w:eastAsia="Yu Gothic"/>
        </w:rPr>
        <w:t>[m,1]ᵈ</w:t>
      </w:r>
      <w:r>
        <w:rPr>
          <w:rFonts w:ascii="Calibri" w:hAnsi="Calibri" w:eastAsia="Yu Gothic"/>
        </w:rPr>
        <w:t xml:space="preserve"> に含まれる。</w:t>
      </w:r>
    </w:p>
    <w:p>
      <w:pPr>
        <w:pStyle w:val="Heading2"/>
      </w:pPr>
      <w:r>
        <w:t>3.3 最大一様外乱margin</w:t>
      </w:r>
    </w:p>
    <w:p>
      <w:r>
        <w:rPr>
          <w:rFonts w:ascii="Calibri" w:hAnsi="Calibri" w:eastAsia="Yu Gothic"/>
        </w:rPr>
        <w:t xml:space="preserve">上の十分条件からorthant </w:t>
      </w:r>
      <w:r>
        <w:rPr>
          <w:rFonts w:ascii="Cambria Math" w:hAnsi="Cambria Math" w:eastAsia="Yu Gothic"/>
        </w:rPr>
        <w:t>s</w:t>
      </w:r>
      <w:r>
        <w:rPr>
          <w:rFonts w:ascii="Calibri" w:hAnsi="Calibri" w:eastAsia="Yu Gothic"/>
        </w:rPr>
        <w:t xml:space="preserve"> の共通境界box marginを</w:t>
      </w:r>
    </w:p>
    <w:p>
      <w:pPr>
        <w:pStyle w:val="DisplayEquation"/>
      </w:pPr>
      <w:r>
        <w:rPr>
          <w:rFonts w:ascii="Cambria Math" w:hAnsi="Cambria Math"/>
          <w:sz w:val="21"/>
        </w:rPr>
        <w:t>μₛ = max₀&lt;m&lt;1 minᵢ [ Pᵢ m+Nᵢ-atanh(m) ]</w:t>
      </w:r>
    </w:p>
    <w:p>
      <w:r>
        <w:rPr>
          <w:rFonts w:ascii="Calibri" w:hAnsi="Calibri" w:eastAsia="Yu Gothic"/>
        </w:rPr>
        <w:t>と定義する。</w:t>
      </w:r>
      <w:r>
        <w:rPr>
          <w:rFonts w:ascii="Cambria Math" w:hAnsi="Cambria Math" w:eastAsia="Yu Gothic"/>
        </w:rPr>
        <w:t>μₛ≥ e</w:t>
      </w:r>
      <w:r>
        <w:rPr>
          <w:rFonts w:ascii="Calibri" w:hAnsi="Calibri" w:eastAsia="Yu Gothic"/>
        </w:rPr>
        <w:t xml:space="preserve"> なら、</w:t>
      </w:r>
      <w:r>
        <w:rPr>
          <w:rFonts w:ascii="Cambria Math" w:hAnsi="Cambria Math" w:eastAsia="Yu Gothic"/>
        </w:rPr>
        <w:t>Bₛ(m)</w:t>
      </w:r>
      <w:r>
        <w:rPr>
          <w:rFonts w:ascii="Calibri" w:hAnsi="Calibri" w:eastAsia="Yu Gothic"/>
        </w:rPr>
        <w:t xml:space="preserve"> は任意の時変成分別外乱 </w:t>
      </w:r>
      <w:r>
        <w:rPr>
          <w:rFonts w:ascii="Cambria Math" w:hAnsi="Cambria Math" w:eastAsia="Yu Gothic"/>
        </w:rPr>
        <w:t>‖ηₜ‖∞≤ e</w:t>
      </w:r>
      <w:r>
        <w:rPr>
          <w:rFonts w:ascii="Calibri" w:hAnsi="Calibri" w:eastAsia="Yu Gothic"/>
        </w:rPr>
        <w:t xml:space="preserve"> に対してロバスト正不変である。これは十分条件であり、認証不能はアトラクタ不存在またはtask失敗を意味しない。</w:t>
      </w:r>
    </w:p>
    <w:p>
      <w:pPr>
        <w:pStyle w:val="Heading2"/>
      </w:pPr>
      <w:r>
        <w:t>3.4 ロバスト・レパートリー</w:t>
      </w:r>
    </w:p>
    <w:p>
      <w:r>
        <w:rPr>
          <w:rFonts w:ascii="Calibri" w:hAnsi="Calibri" w:eastAsia="Yu Gothic"/>
        </w:rPr>
        <w:t xml:space="preserve">発見された自律アトラクタ集合を </w:t>
      </w:r>
      <w:r>
        <w:rPr>
          <w:rFonts w:ascii="Cambria Math" w:hAnsi="Cambria Math" w:eastAsia="Yu Gothic"/>
        </w:rPr>
        <w:t>A</w:t>
      </w:r>
      <w:r>
        <w:rPr>
          <w:rFonts w:ascii="Calibri" w:hAnsi="Calibri" w:eastAsia="Yu Gothic"/>
        </w:rPr>
        <w:t xml:space="preserve"> とする。外乱budget </w:t>
      </w:r>
      <w:r>
        <w:rPr>
          <w:rFonts w:ascii="Cambria Math" w:hAnsi="Cambria Math" w:eastAsia="Yu Gothic"/>
        </w:rPr>
        <w:t>e</w:t>
      </w:r>
      <w:r>
        <w:rPr>
          <w:rFonts w:ascii="Calibri" w:hAnsi="Calibri" w:eastAsia="Yu Gothic"/>
        </w:rPr>
        <w:t xml:space="preserve"> に対するrobust repertoireを</w:t>
      </w:r>
    </w:p>
    <w:p>
      <w:pPr>
        <w:pStyle w:val="DisplayEquation"/>
      </w:pPr>
      <w:r>
        <w:rPr>
          <w:rFonts w:ascii="Cambria Math" w:hAnsi="Cambria Math"/>
          <w:sz w:val="21"/>
        </w:rPr>
        <w:t>N_rob(e) = Σₖ∈A1[μₖ≥ e]</w:t>
      </w:r>
    </w:p>
    <w:p>
      <w:r>
        <w:rPr>
          <w:rFonts w:ascii="Calibri" w:hAnsi="Calibri" w:eastAsia="Yu Gothic"/>
        </w:rPr>
        <w:t xml:space="preserve">と定義する。初期条件分布に対するbasin probabilityを </w:t>
      </w:r>
      <w:r>
        <w:rPr>
          <w:rFonts w:ascii="Cambria Math" w:hAnsi="Cambria Math" w:eastAsia="Yu Gothic"/>
        </w:rPr>
        <w:t>pₖ</w:t>
      </w:r>
      <w:r>
        <w:rPr>
          <w:rFonts w:ascii="Calibri" w:hAnsi="Calibri" w:eastAsia="Yu Gothic"/>
        </w:rPr>
        <w:t xml:space="preserve"> とすれば、</w:t>
      </w:r>
    </w:p>
    <w:p>
      <w:pPr>
        <w:pStyle w:val="DisplayEquation"/>
      </w:pPr>
      <w:r>
        <w:rPr>
          <w:rFonts w:ascii="Cambria Math" w:hAnsi="Cambria Math"/>
          <w:sz w:val="21"/>
        </w:rPr>
        <w:t>S_rob(e) = Σₖ pₖ₁[μₖ≥ e]</w:t>
      </w:r>
    </w:p>
    <w:p>
      <w:r>
        <w:rPr>
          <w:rFonts w:ascii="Calibri" w:hAnsi="Calibri" w:eastAsia="Yu Gothic"/>
        </w:rPr>
        <w:t>は到達しやすさを含む認証安全質量である。本稿のtaskでは全orthantを等重みでchallengeするため、主要featureとして外乱別robust fractionと</w:t>
      </w:r>
    </w:p>
    <w:p>
      <w:pPr>
        <w:pStyle w:val="DisplayEquation"/>
      </w:pPr>
      <w:r>
        <w:rPr>
          <w:rFonts w:ascii="Cambria Math" w:hAnsi="Cambria Math"/>
          <w:sz w:val="21"/>
        </w:rPr>
        <w:t>μ̄ = (1)/(|A|) Σₖ∈Amax(μₖ,0)</w:t>
      </w:r>
    </w:p>
    <w:p>
      <w:r>
        <w:rPr>
          <w:rFonts w:ascii="Calibri" w:hAnsi="Calibri" w:eastAsia="Yu Gothic"/>
        </w:rPr>
        <w:t>を用いる。</w:t>
      </w:r>
    </w:p>
    <w:p>
      <w:pPr>
        <w:pStyle w:val="Heading2"/>
      </w:pPr>
      <w:r>
        <w:t>3.5 Curveの高さと面積</w:t>
      </w:r>
    </w:p>
    <w:p>
      <w:r>
        <w:rPr>
          <w:rFonts w:ascii="Calibri" w:hAnsi="Calibri" w:eastAsia="Yu Gothic"/>
        </w:rPr>
        <w:t>正規化robust repertoire curveを</w:t>
      </w:r>
    </w:p>
    <w:p>
      <w:pPr>
        <w:pStyle w:val="DisplayEquation"/>
      </w:pPr>
      <w:r>
        <w:rPr>
          <w:rFonts w:ascii="Cambria Math" w:hAnsi="Cambria Math"/>
          <w:sz w:val="21"/>
        </w:rPr>
        <w:t>R(e)=N_rob(e)/|A|</w:t>
      </w:r>
    </w:p>
    <w:p>
      <w:r>
        <w:rPr>
          <w:rFonts w:ascii="Calibri" w:hAnsi="Calibri" w:eastAsia="Yu Gothic"/>
        </w:rPr>
        <w:t>とする。marginが有限なら、非負確率変数のtail積分公式と同じ恒等式により、</w:t>
      </w:r>
    </w:p>
    <w:p>
      <w:pPr>
        <w:pStyle w:val="DisplayEquation"/>
      </w:pPr>
      <w:r>
        <w:rPr>
          <w:rFonts w:ascii="Cambria Math" w:hAnsi="Cambria Math"/>
          <w:sz w:val="21"/>
        </w:rPr>
        <w:t>μ̄=(1/|A|) Σₖ∈ Amax(μₖ,0) =∫₀^∞ R(z) dz</w:t>
      </w:r>
    </w:p>
    <w:p>
      <w:r>
        <w:rPr>
          <w:rFonts w:ascii="Calibri" w:hAnsi="Calibri" w:eastAsia="Yu Gothic"/>
        </w:rPr>
        <w:t xml:space="preserve">である。要求外乱budget </w:t>
      </w:r>
      <w:r>
        <w:rPr>
          <w:rFonts w:ascii="Cambria Math" w:hAnsi="Cambria Math" w:eastAsia="Yu Gothic"/>
        </w:rPr>
        <w:t>e&gt;0</w:t>
      </w:r>
      <w:r>
        <w:rPr>
          <w:rFonts w:ascii="Calibri" w:hAnsi="Calibri" w:eastAsia="Yu Gothic"/>
        </w:rPr>
        <w:t xml:space="preserve"> で無次元化すると、</w:t>
      </w:r>
    </w:p>
    <w:p>
      <w:pPr>
        <w:pStyle w:val="DisplayEquation"/>
      </w:pPr>
      <w:r>
        <w:rPr>
          <w:rFonts w:ascii="Cambria Math" w:hAnsi="Cambria Math"/>
          <w:sz w:val="21"/>
        </w:rPr>
        <w:t>μ̄/e=∫₀^∞ R(eu) du</w:t>
      </w:r>
    </w:p>
    <w:p>
      <w:r>
        <w:rPr>
          <w:rFonts w:ascii="Calibri" w:hAnsi="Calibri" w:eastAsia="Yu Gothic"/>
        </w:rPr>
        <w:t xml:space="preserve">を得る。従って、認証robust fraction </w:t>
      </w:r>
      <w:r>
        <w:rPr>
          <w:rFonts w:ascii="Cambria Math" w:hAnsi="Cambria Math" w:eastAsia="Yu Gothic"/>
        </w:rPr>
        <w:t>R(e)</w:t>
      </w:r>
      <w:r>
        <w:rPr>
          <w:rFonts w:ascii="Calibri" w:hAnsi="Calibri" w:eastAsia="Yu Gothic"/>
        </w:rPr>
        <w:t xml:space="preserve"> は要求点でのcurveの高さ、 normalized mean margin </w:t>
      </w:r>
      <w:r>
        <w:rPr>
          <w:rFonts w:ascii="Cambria Math" w:hAnsi="Cambria Math" w:eastAsia="Yu Gothic"/>
        </w:rPr>
        <w:t>μ̄/e</w:t>
      </w:r>
      <w:r>
        <w:rPr>
          <w:rFonts w:ascii="Calibri" w:hAnsi="Calibri" w:eastAsia="Yu Gothic"/>
        </w:rPr>
        <w:t xml:space="preserve"> は要求scaleで測ったcurveの面積である。 後述のrobust pairは、局所的な閾値通過割合とレパートリー全体の余裕総量を 同時に表す。</w:t>
      </w:r>
    </w:p>
    <w:p>
      <w:pPr>
        <w:pStyle w:val="Heading2"/>
      </w:pPr>
      <w:r>
        <w:t>3.6 弱いmodule間結合と座標別rectangle</w:t>
      </w:r>
    </w:p>
    <w:p>
      <w:r>
        <w:rPr>
          <w:rFonts w:ascii="Calibri" w:hAnsi="Calibri" w:eastAsia="Yu Gothic"/>
        </w:rPr>
        <w:t xml:space="preserve">独立moduleのblock diagonal行列を </w:t>
      </w:r>
      <w:r>
        <w:rPr>
          <w:rFonts w:ascii="Cambria Math" w:hAnsi="Cambria Math" w:eastAsia="Yu Gothic"/>
        </w:rPr>
        <w:t>W₀</w:t>
      </w:r>
      <w:r>
        <w:rPr>
          <w:rFonts w:ascii="Calibri" w:hAnsi="Calibri" w:eastAsia="Yu Gothic"/>
        </w:rPr>
        <w:t xml:space="preserve">、cross-module摂動を </w:t>
      </w:r>
      <w:r>
        <w:rPr>
          <w:rFonts w:ascii="Cambria Math" w:hAnsi="Cambria Math" w:eastAsia="Yu Gothic"/>
        </w:rPr>
        <w:t>E</w:t>
      </w:r>
      <w:r>
        <w:rPr>
          <w:rFonts w:ascii="Calibri" w:hAnsi="Calibri" w:eastAsia="Yu Gothic"/>
        </w:rPr>
        <w:t xml:space="preserve"> とし、 </w:t>
      </w:r>
      <w:r>
        <w:rPr>
          <w:rFonts w:ascii="Cambria Math" w:hAnsi="Cambria Math" w:eastAsia="Yu Gothic"/>
        </w:rPr>
        <w:t>W=W₀+E</w:t>
      </w:r>
      <w:r>
        <w:rPr>
          <w:rFonts w:ascii="Calibri" w:hAnsi="Calibri" w:eastAsia="Yu Gothic"/>
        </w:rPr>
        <w:t xml:space="preserve"> とする。符号変換後の行列を </w:t>
      </w:r>
      <w:r>
        <w:rPr>
          <w:rFonts w:ascii="Cambria Math" w:hAnsi="Cambria Math" w:eastAsia="Yu Gothic"/>
        </w:rPr>
        <w:t>A=D_sWDₛ</w:t>
      </w:r>
      <w:r>
        <w:rPr>
          <w:rFonts w:ascii="Calibri" w:hAnsi="Calibri" w:eastAsia="Yu Gothic"/>
        </w:rPr>
        <w:t xml:space="preserve">、各座標の下側境界を </w:t>
      </w:r>
      <w:r>
        <w:rPr>
          <w:rFonts w:ascii="Cambria Math" w:hAnsi="Cambria Math" w:eastAsia="Yu Gothic"/>
        </w:rPr>
        <w:t>bᵢ</w:t>
      </w:r>
      <w:r>
        <w:rPr>
          <w:rFonts w:ascii="Calibri" w:hAnsi="Calibri" w:eastAsia="Yu Gothic"/>
        </w:rPr>
        <w:t xml:space="preserve"> とすると、rectangleの一様外乱marginは</w:t>
      </w:r>
    </w:p>
    <w:p>
      <w:pPr>
        <w:pStyle w:val="DisplayEquation"/>
      </w:pPr>
      <w:r>
        <w:rPr>
          <w:rFonts w:ascii="Cambria Math" w:hAnsi="Cambria Math"/>
          <w:sz w:val="21"/>
        </w:rPr>
        <w:t>M(b;W,s)=minᵢ Σⱼ[ max(Aᵢⱼ,0)bⱼ+ min(Aᵢⱼ,0) ]-atanh(bᵢ)</w:t>
      </w:r>
    </w:p>
    <w:p>
      <w:r>
        <w:rPr>
          <w:rFonts w:ascii="Calibri" w:hAnsi="Calibri" w:eastAsia="Yu Gothic"/>
        </w:rPr>
        <w:t>である。各cross係数の最悪寄与を絶対値で抑えると、</w:t>
      </w:r>
    </w:p>
    <w:p>
      <w:pPr>
        <w:pStyle w:val="DisplayEquation"/>
      </w:pPr>
      <w:r>
        <w:rPr>
          <w:rFonts w:ascii="Cambria Math" w:hAnsi="Cambria Math"/>
          <w:sz w:val="21"/>
        </w:rPr>
        <w:t>M(b;W₀+E,s)≥ M(b;W₀,s)-‖E‖∞</w:t>
      </w:r>
    </w:p>
    <w:p>
      <w:r>
        <w:rPr>
          <w:rFonts w:ascii="Calibri" w:hAnsi="Calibri" w:eastAsia="Yu Gothic"/>
        </w:rPr>
        <w:t xml:space="preserve">を得る。従ってisolated component rectangleのmarginが </w:t>
      </w:r>
      <w:r>
        <w:rPr>
          <w:rFonts w:ascii="Cambria Math" w:hAnsi="Cambria Math" w:eastAsia="Yu Gothic"/>
        </w:rPr>
        <w:t>e+‖E‖∞</w:t>
      </w:r>
      <w:r>
        <w:rPr>
          <w:rFonts w:ascii="Calibri" w:hAnsi="Calibri" w:eastAsia="Yu Gothic"/>
        </w:rPr>
        <w:t xml:space="preserve"> 以上なら、結合後にも外乱 </w:t>
      </w:r>
      <w:r>
        <w:rPr>
          <w:rFonts w:ascii="Cambria Math" w:hAnsi="Cambria Math" w:eastAsia="Yu Gothic"/>
        </w:rPr>
        <w:t>e</w:t>
      </w:r>
      <w:r>
        <w:rPr>
          <w:rFonts w:ascii="Calibri" w:hAnsi="Calibri" w:eastAsia="Yu Gothic"/>
        </w:rPr>
        <w:t xml:space="preserve"> に対する十分条件を保つ。 実際のcross-edge符号を使ってmarginを再計算するtransported certificateと、 normだけを使うshifted certificateを分離して評価する。</w:t>
      </w:r>
    </w:p>
    <w:p>
      <w:r>
        <w:rPr>
          <w:rFonts w:ascii="Calibri" w:hAnsi="Calibri" w:eastAsia="Yu Gothic"/>
        </w:rPr>
        <w:t xml:space="preserve">結合後の有限時間保持率を </w:t>
      </w:r>
      <w:r>
        <w:rPr>
          <w:rFonts w:ascii="Cambria Math" w:hAnsi="Cambria Math" w:eastAsia="Yu Gothic"/>
        </w:rPr>
        <w:t>T_E(e)</w:t>
      </w:r>
      <w:r>
        <w:rPr>
          <w:rFonts w:ascii="Calibri" w:hAnsi="Calibri" w:eastAsia="Yu Gothic"/>
        </w:rPr>
        <w:t xml:space="preserve"> とし、isolated module積に対する残差を</w:t>
      </w:r>
    </w:p>
    <w:p>
      <w:pPr>
        <w:pStyle w:val="DisplayEquation"/>
      </w:pPr>
      <w:r>
        <w:rPr>
          <w:rFonts w:ascii="Cambria Math" w:hAnsi="Cambria Math"/>
          <w:sz w:val="21"/>
        </w:rPr>
        <w:t>r_T(E,e)=T_E(e)-T₁(e)T₂(e)</w:t>
      </w:r>
    </w:p>
    <w:p>
      <w:r>
        <w:rPr>
          <w:rFonts w:ascii="Calibri" w:hAnsi="Calibri" w:eastAsia="Yu Gothic"/>
        </w:rPr>
        <w:t>と定義する。有限challenge集合では保持率は結合強度に対して階段状になり得る ため、微分係数ではなくsigned残差、絶対残差、非零残差率を用いる。</w:t>
      </w:r>
    </w:p>
    <w:p>
      <w:pPr>
        <w:pStyle w:val="Heading2"/>
      </w:pPr>
      <w:r>
        <w:t>3.7 方向別component結合と合成certificate</w:t>
      </w:r>
    </w:p>
    <w:p>
      <w:r>
        <w:rPr>
          <w:rFonts w:ascii="Calibri" w:hAnsi="Calibri" w:eastAsia="Yu Gothic"/>
        </w:rPr>
        <w:t>非対称な二module系を</w:t>
      </w:r>
    </w:p>
    <w:p>
      <w:pPr>
        <w:pStyle w:val="DisplayEquation"/>
      </w:pPr>
      <w:r>
        <w:rPr>
          <w:rFonts w:ascii="Cambria Math" w:hAnsi="Cambria Math"/>
          <w:sz w:val="21"/>
        </w:rPr>
        <w:t>x⁺=tanh(Ax+By+ηₓ), y⁺=tanh(Cx+Dy+η_y)</w:t>
      </w:r>
    </w:p>
    <w:p>
      <w:r>
        <w:rPr>
          <w:rFonts w:ascii="Calibri" w:hAnsi="Calibri" w:eastAsia="Yu Gothic"/>
        </w:rPr>
        <w:t xml:space="preserve">とする。隔離moduleのrectangle marginを </w:t>
      </w:r>
      <w:r>
        <w:rPr>
          <w:rFonts w:ascii="Cambria Math" w:hAnsi="Cambria Math" w:eastAsia="Yu Gothic"/>
        </w:rPr>
        <w:t>Mₓ,M_y</w:t>
      </w:r>
      <w:r>
        <w:rPr>
          <w:rFonts w:ascii="Calibri" w:hAnsi="Calibri" w:eastAsia="Yu Gothic"/>
        </w:rPr>
        <w:t>、受信方向別のcross loadを</w:t>
      </w:r>
    </w:p>
    <w:p>
      <w:pPr>
        <w:pStyle w:val="DisplayEquation"/>
      </w:pPr>
      <w:r>
        <w:rPr>
          <w:rFonts w:ascii="Cambria Math" w:hAnsi="Cambria Math"/>
          <w:sz w:val="21"/>
        </w:rPr>
        <w:t>Lₓ=‖B‖∞, L_y=‖C‖∞</w:t>
      </w:r>
    </w:p>
    <w:p>
      <w:r>
        <w:rPr>
          <w:rFonts w:ascii="Calibri" w:hAnsi="Calibri" w:eastAsia="Yu Gothic"/>
        </w:rPr>
        <w:t xml:space="preserve">とすれば、tanhの単調性とcross項の三角不等式から結合後marginはそれぞれ </w:t>
      </w:r>
      <w:r>
        <w:rPr>
          <w:rFonts w:ascii="Cambria Math" w:hAnsi="Cambria Math" w:eastAsia="Yu Gothic"/>
        </w:rPr>
        <w:t>Mₓ-Lₓ</w:t>
      </w:r>
      <w:r>
        <w:rPr>
          <w:rFonts w:ascii="Calibri" w:hAnsi="Calibri" w:eastAsia="Yu Gothic"/>
        </w:rPr>
        <w:t>、</w:t>
      </w:r>
      <w:r>
        <w:rPr>
          <w:rFonts w:ascii="Cambria Math" w:hAnsi="Cambria Math" w:eastAsia="Yu Gothic"/>
        </w:rPr>
        <w:t>M_y-L_y</w:t>
      </w:r>
      <w:r>
        <w:rPr>
          <w:rFonts w:ascii="Calibri" w:hAnsi="Calibri" w:eastAsia="Yu Gothic"/>
        </w:rPr>
        <w:t xml:space="preserve"> 以上である。従って外乱budget </w:t>
      </w:r>
      <w:r>
        <w:rPr>
          <w:rFonts w:ascii="Cambria Math" w:hAnsi="Cambria Math" w:eastAsia="Yu Gothic"/>
        </w:rPr>
        <w:t>e</w:t>
      </w:r>
      <w:r>
        <w:rPr>
          <w:rFonts w:ascii="Calibri" w:hAnsi="Calibri" w:eastAsia="Yu Gothic"/>
        </w:rPr>
        <w:t xml:space="preserve"> に対して</w:t>
      </w:r>
    </w:p>
    <w:p>
      <w:pPr>
        <w:pStyle w:val="DisplayEquation"/>
      </w:pPr>
      <w:r>
        <w:rPr>
          <w:rFonts w:ascii="Cambria Math" w:hAnsi="Cambria Math"/>
          <w:sz w:val="21"/>
        </w:rPr>
        <w:t>Mₓ≥ e+Lₓ, M_y≥ e+L_y</w:t>
      </w:r>
    </w:p>
    <w:p>
      <w:r>
        <w:rPr>
          <w:rFonts w:ascii="Calibri" w:hAnsi="Calibri" w:eastAsia="Yu Gothic"/>
        </w:rPr>
        <w:t xml:space="preserve">は方向別十分条件となる。実cross-edgeの符号と各座標境界を用いるtransported rectangle、方向別norm、全cross負荷を一つのglobal normへ潰す条件の認証率を それぞれ </w:t>
      </w:r>
      <w:r>
        <w:rPr>
          <w:rFonts w:ascii="Cambria Math" w:hAnsi="Cambria Math" w:eastAsia="Yu Gothic"/>
        </w:rPr>
        <w:t>R_rect,R_dir,R_global</w:t>
      </w:r>
      <w:r>
        <w:rPr>
          <w:rFonts w:ascii="Calibri" w:hAnsi="Calibri" w:eastAsia="Yu Gothic"/>
        </w:rPr>
        <w:t xml:space="preserve"> とすると、本稿の hyperbox構成では</w:t>
      </w:r>
    </w:p>
    <w:p>
      <w:pPr>
        <w:pStyle w:val="DisplayEquation"/>
      </w:pPr>
      <w:r>
        <w:rPr>
          <w:rFonts w:ascii="Cambria Math" w:hAnsi="Cambria Math"/>
          <w:sz w:val="21"/>
        </w:rPr>
        <w:t>T_coupled≥ R_rect ≥ R_dir≥ R_global</w:t>
      </w:r>
    </w:p>
    <w:p>
      <w:r>
        <w:rPr>
          <w:rFonts w:ascii="Calibri" w:hAnsi="Calibri" w:eastAsia="Yu Gothic"/>
        </w:rPr>
        <w:t>を得る。最初の不等式は経験taskに対する保証照合、残りは情報を捨てる順序に 対応する。このchainは一般の非矩形安全集合に対する必要条件ではない。</w:t>
      </w:r>
    </w:p>
    <w:p>
      <w:r>
        <w:rPr>
          <w:rFonts w:ascii="Calibri" w:hAnsi="Calibri" w:eastAsia="Yu Gothic"/>
        </w:rPr>
        <w:t xml:space="preserve">高次元で全 </w:t>
      </w:r>
      <w:r>
        <w:rPr>
          <w:rFonts w:ascii="Cambria Math" w:hAnsi="Cambria Math" w:eastAsia="Yu Gothic"/>
        </w:rPr>
        <w:t>2ᵈ</w:t>
      </w:r>
      <w:r>
        <w:rPr>
          <w:rFonts w:ascii="Calibri" w:hAnsi="Calibri" w:eastAsia="Yu Gothic"/>
        </w:rPr>
        <w:t xml:space="preserve"> cornerを列挙する代わりに、moduleの符号に相対的な4個の 共有方向code </w:t>
      </w:r>
      <w:r>
        <w:rPr>
          <w:rFonts w:ascii="Cambria Math" w:hAnsi="Cambria Math" w:eastAsia="Yu Gothic"/>
        </w:rPr>
        <w:t>k</w:t>
      </w:r>
      <w:r>
        <w:rPr>
          <w:rFonts w:ascii="Calibri" w:hAnsi="Calibri" w:eastAsia="Yu Gothic"/>
        </w:rPr>
        <w:t xml:space="preserve"> を用いた。零結合時にはcode別成功率 </w:t>
      </w:r>
      <w:r>
        <w:rPr>
          <w:rFonts w:ascii="Cambria Math" w:hAnsi="Cambria Math" w:eastAsia="Yu Gothic"/>
        </w:rPr>
        <w:t>Tₓ,k,T_y,k</w:t>
      </w:r>
      <w:r>
        <w:rPr>
          <w:rFonts w:ascii="Calibri" w:hAnsi="Calibri" w:eastAsia="Yu Gothic"/>
        </w:rPr>
        <w:t xml:space="preserve"> から</w:t>
      </w:r>
    </w:p>
    <w:p>
      <w:pPr>
        <w:pStyle w:val="DisplayEquation"/>
      </w:pPr>
      <w:r>
        <w:rPr>
          <w:rFonts w:ascii="Cambria Math" w:hAnsi="Cambria Math"/>
          <w:sz w:val="21"/>
        </w:rPr>
        <w:t>T₀=(1)/(K)Σₖ₌₁^KTₓ,kT_y,k, K=4</w:t>
      </w:r>
    </w:p>
    <w:p>
      <w:r>
        <w:rPr>
          <w:rFonts w:ascii="Calibri" w:hAnsi="Calibri" w:eastAsia="Yu Gothic"/>
        </w:rPr>
        <w:t>が厳密に成り立つ。これは全方向一様分布の完全列挙ではなく、規模外挿を可能に する固定challenge設計である。</w:t>
      </w:r>
    </w:p>
    <w:p>
      <w:pPr>
        <w:pStyle w:val="Heading2"/>
      </w:pPr>
      <w:r>
        <w:t>3.8 多component合成とtask-free分割</w:t>
      </w:r>
    </w:p>
    <w:p>
      <w:r>
        <w:rPr>
          <w:rFonts w:ascii="Calibri" w:hAnsi="Calibri" w:eastAsia="Yu Gothic"/>
        </w:rPr>
        <w:t xml:space="preserve">partitionを </w:t>
      </w:r>
      <w:r>
        <w:rPr>
          <w:rFonts w:ascii="Cambria Math" w:hAnsi="Cambria Math" w:eastAsia="Yu Gothic"/>
        </w:rPr>
        <w:t>I₁,ldots,Iₘ</w:t>
      </w:r>
      <w:r>
        <w:rPr>
          <w:rFonts w:ascii="Calibri" w:hAnsi="Calibri" w:eastAsia="Yu Gothic"/>
        </w:rPr>
        <w:t xml:space="preserve"> とし、module </w:t>
      </w:r>
      <w:r>
        <w:rPr>
          <w:rFonts w:ascii="Cambria Math" w:hAnsi="Cambria Math" w:eastAsia="Yu Gothic"/>
        </w:rPr>
        <w:t>j</w:t>
      </w:r>
      <w:r>
        <w:rPr>
          <w:rFonts w:ascii="Calibri" w:hAnsi="Calibri" w:eastAsia="Yu Gothic"/>
        </w:rPr>
        <w:t xml:space="preserve"> からmodule </w:t>
      </w:r>
      <w:r>
        <w:rPr>
          <w:rFonts w:ascii="Cambria Math" w:hAnsi="Cambria Math" w:eastAsia="Yu Gothic"/>
        </w:rPr>
        <w:t>i</w:t>
      </w:r>
      <w:r>
        <w:rPr>
          <w:rFonts w:ascii="Calibri" w:hAnsi="Calibri" w:eastAsia="Yu Gothic"/>
        </w:rPr>
        <w:t xml:space="preserve"> への 受信方向別loadを</w:t>
      </w:r>
    </w:p>
    <w:p>
      <w:pPr>
        <w:pStyle w:val="DisplayEquation"/>
      </w:pPr>
      <w:r>
        <w:rPr>
          <w:rFonts w:ascii="Cambria Math" w:hAnsi="Cambria Math"/>
          <w:sz w:val="21"/>
        </w:rPr>
        <w:t>Lᵢⱼ=maxᵣ∈ IᵢΣ_c∈ Iⱼ|W_rc|, ellᵢ=Σⱼₙₑ iLᵢⱼ</w:t>
      </w:r>
    </w:p>
    <w:p>
      <w:r>
        <w:rPr>
          <w:rFonts w:ascii="Calibri" w:hAnsi="Calibri" w:eastAsia="Yu Gothic"/>
        </w:rPr>
        <w:t xml:space="preserve">と定義する。module </w:t>
      </w:r>
      <w:r>
        <w:rPr>
          <w:rFonts w:ascii="Cambria Math" w:hAnsi="Cambria Math" w:eastAsia="Yu Gothic"/>
        </w:rPr>
        <w:t>i</w:t>
      </w:r>
      <w:r>
        <w:rPr>
          <w:rFonts w:ascii="Calibri" w:hAnsi="Calibri" w:eastAsia="Yu Gothic"/>
        </w:rPr>
        <w:t xml:space="preserve"> のisolated marginが外乱 </w:t>
      </w:r>
      <w:r>
        <w:rPr>
          <w:rFonts w:ascii="Cambria Math" w:hAnsi="Cambria Math" w:eastAsia="Yu Gothic"/>
        </w:rPr>
        <w:t>e+ellᵢ</w:t>
      </w:r>
      <w:r>
        <w:rPr>
          <w:rFonts w:ascii="Calibri" w:hAnsi="Calibri" w:eastAsia="Yu Gothic"/>
        </w:rPr>
        <w:t xml:space="preserve"> 以上である orthant割合を </w:t>
      </w:r>
      <w:r>
        <w:rPr>
          <w:rFonts w:ascii="Cambria Math" w:hAnsi="Cambria Math" w:eastAsia="Yu Gothic"/>
        </w:rPr>
        <w:t>rᵢ(e+ellᵢ)</w:t>
      </w:r>
      <w:r>
        <w:rPr>
          <w:rFonts w:ascii="Calibri" w:hAnsi="Calibri" w:eastAsia="Yu Gothic"/>
        </w:rPr>
        <w:t xml:space="preserve"> とすれば、三角不等式により</w:t>
      </w:r>
    </w:p>
    <w:p>
      <w:pPr>
        <w:pStyle w:val="DisplayEquation"/>
      </w:pPr>
      <w:r>
        <w:rPr>
          <w:rFonts w:ascii="Cambria Math" w:hAnsi="Cambria Math"/>
          <w:sz w:val="21"/>
        </w:rPr>
        <w:t>R_dir(e)=prodᵢ₌₁^mrᵢ(e+ellᵢ)</w:t>
      </w:r>
    </w:p>
    <w:p>
      <w:r>
        <w:rPr>
          <w:rFonts w:ascii="Calibri" w:hAnsi="Calibri" w:eastAsia="Yu Gothic"/>
        </w:rPr>
        <w:t xml:space="preserve">は全moduleが同時に符号安全集合へ残る方向別十分条件となる。平均・最小slackも 局所marginのsurvival積から計算でき、Cartesian productの明示列挙を要しない。 局所次元を </w:t>
      </w:r>
      <w:r>
        <w:rPr>
          <w:rFonts w:ascii="Cambria Math" w:hAnsi="Cambria Math" w:eastAsia="Yu Gothic"/>
        </w:rPr>
        <w:t>dᵢ</w:t>
      </w:r>
      <w:r>
        <w:rPr>
          <w:rFonts w:ascii="Calibri" w:hAnsi="Calibri" w:eastAsia="Yu Gothic"/>
        </w:rPr>
        <w:t xml:space="preserve">、最大値を </w:t>
      </w:r>
      <w:r>
        <w:rPr>
          <w:rFonts w:ascii="Cambria Math" w:hAnsi="Cambria Math" w:eastAsia="Yu Gothic"/>
        </w:rPr>
        <w:t>b</w:t>
      </w:r>
      <w:r>
        <w:rPr>
          <w:rFonts w:ascii="Calibri" w:hAnsi="Calibri" w:eastAsia="Yu Gothic"/>
        </w:rPr>
        <w:t xml:space="preserve"> とすれば、全系 </w:t>
      </w:r>
      <w:r>
        <w:rPr>
          <w:rFonts w:ascii="Cambria Math" w:hAnsi="Cambria Math" w:eastAsia="Yu Gothic"/>
        </w:rPr>
        <w:t>2^Σᵢ dᵢ</w:t>
      </w:r>
      <w:r>
        <w:rPr>
          <w:rFonts w:ascii="Calibri" w:hAnsi="Calibri" w:eastAsia="Yu Gothic"/>
        </w:rPr>
        <w:t xml:space="preserve"> orthantに 対し局所列挙量は</w:t>
      </w:r>
    </w:p>
    <w:p>
      <w:pPr>
        <w:pStyle w:val="DisplayEquation"/>
      </w:pPr>
      <w:r>
        <w:rPr>
          <w:rFonts w:ascii="Cambria Math" w:hAnsi="Cambria Math"/>
          <w:sz w:val="21"/>
        </w:rPr>
        <w:t>Σᵢ₌₁^m2ᵈᵢ≤ m2^b</w:t>
      </w:r>
    </w:p>
    <w:p>
      <w:r>
        <w:rPr>
          <w:rFonts w:ascii="Calibri" w:hAnsi="Calibri" w:eastAsia="Yu Gothic"/>
        </w:rPr>
        <w:t xml:space="preserve">である。従って </w:t>
      </w:r>
      <w:r>
        <w:rPr>
          <w:rFonts w:ascii="Cambria Math" w:hAnsi="Cambria Math" w:eastAsia="Yu Gothic"/>
        </w:rPr>
        <w:t>b</w:t>
      </w:r>
      <w:r>
        <w:rPr>
          <w:rFonts w:ascii="Calibri" w:hAnsi="Calibri" w:eastAsia="Yu Gothic"/>
        </w:rPr>
        <w:t xml:space="preserve"> が規模に依存せず、各moduleへの総流入 </w:t>
      </w:r>
      <w:r>
        <w:rPr>
          <w:rFonts w:ascii="Cambria Math" w:hAnsi="Cambria Math" w:eastAsia="Yu Gothic"/>
        </w:rPr>
        <w:t>ellᵢ</w:t>
      </w:r>
      <w:r>
        <w:rPr>
          <w:rFonts w:ascii="Calibri" w:hAnsi="Calibri" w:eastAsia="Yu Gothic"/>
        </w:rPr>
        <w:t xml:space="preserve"> が発散 しない場合、certificate抽出はmodule数に対して線形に保てる。ただし局所次元には 指数的であり、module分割の同定誤差も含まない。</w:t>
      </w:r>
    </w:p>
    <w:p>
      <w:r>
        <w:rPr>
          <w:rFonts w:ascii="Calibri" w:hAnsi="Calibri" w:eastAsia="Yu Gothic"/>
        </w:rPr>
        <w:t xml:space="preserve">未知partitionには対称affinity </w:t>
      </w:r>
      <w:r>
        <w:rPr>
          <w:rFonts w:ascii="Cambria Math" w:hAnsi="Cambria Math" w:eastAsia="Yu Gothic"/>
        </w:rPr>
        <w:t>Aᵤᵥ=max(|Wᵤᵥ|,|Wᵥᵤ|)</w:t>
      </w:r>
      <w:r>
        <w:rPr>
          <w:rFonts w:ascii="Calibri" w:hAnsi="Calibri" w:eastAsia="Yu Gothic"/>
        </w:rPr>
        <w:t xml:space="preserve"> を用いた。最小module内affinityが最大module間 affinityより大きく、その境界gapが全affinity隣接gapの中で一意に最大なら、最大gap 中点でthresholdした無向graphの連結成分は真のpartitionを回復する。これは強い 十分条件であり、一般のcommunity detection consistencyではない。</w:t>
      </w:r>
    </w:p>
    <w:p>
      <w:r>
        <w:rPr>
          <w:rFonts w:ascii="Calibri" w:hAnsi="Calibri" w:eastAsia="Yu Gothic"/>
        </w:rPr>
        <w:t xml:space="preserve">全pair affinityを重複を残して昇順に並べ、最大隣接gapを </w:t>
      </w:r>
      <w:r>
        <w:rPr>
          <w:rFonts w:ascii="Cambria Math" w:hAnsi="Cambria Math" w:eastAsia="Yu Gothic"/>
        </w:rPr>
        <w:t>g₁</w:t>
      </w:r>
      <w:r>
        <w:rPr>
          <w:rFonts w:ascii="Calibri" w:hAnsi="Calibri" w:eastAsia="Yu Gothic"/>
        </w:rPr>
        <w:t xml:space="preserve">、二番目を </w:t>
      </w:r>
      <w:r>
        <w:rPr>
          <w:rFonts w:ascii="Cambria Math" w:hAnsi="Cambria Math" w:eastAsia="Yu Gothic"/>
        </w:rPr>
        <w:t>g₂</w:t>
      </w:r>
      <w:r>
        <w:rPr>
          <w:rFonts w:ascii="Calibri" w:hAnsi="Calibri" w:eastAsia="Yu Gothic"/>
        </w:rPr>
        <w:t xml:space="preserve"> とする。重み摂動 </w:t>
      </w:r>
      <w:r>
        <w:rPr>
          <w:rFonts w:ascii="Cambria Math" w:hAnsi="Cambria Math" w:eastAsia="Yu Gothic"/>
        </w:rPr>
        <w:t>Delta W</w:t>
      </w:r>
      <w:r>
        <w:rPr>
          <w:rFonts w:ascii="Calibri" w:hAnsi="Calibri" w:eastAsia="Yu Gothic"/>
        </w:rPr>
        <w:t xml:space="preserve"> に対し各pair affinityの変化は </w:t>
      </w:r>
      <w:r>
        <w:rPr>
          <w:rFonts w:ascii="Cambria Math" w:hAnsi="Cambria Math" w:eastAsia="Yu Gothic"/>
        </w:rPr>
        <w:t>‖Delta W‖ₘₐₓ</w:t>
      </w:r>
      <w:r>
        <w:rPr>
          <w:rFonts w:ascii="Calibri" w:hAnsi="Calibri" w:eastAsia="Yu Gothic"/>
        </w:rPr>
        <w:t xml:space="preserve"> 以下である。順序統計量も同じ上限で変化するため、各隣接gapの変化はその2倍以下である。従って</w:t>
      </w:r>
    </w:p>
    <w:p>
      <w:pPr>
        <w:pStyle w:val="DisplayEquation"/>
      </w:pPr>
      <w:r>
        <w:rPr>
          <w:rFonts w:ascii="Cambria Math" w:hAnsi="Cambria Math"/>
          <w:sz w:val="21"/>
        </w:rPr>
        <w:t>r_edge=g₁/2, r_select=(g₁-g₂)/4,</w:t>
      </w:r>
    </w:p>
    <w:p>
      <w:pPr>
        <w:pStyle w:val="DisplayEquation"/>
      </w:pPr>
      <w:r>
        <w:rPr>
          <w:rFonts w:ascii="Cambria Math" w:hAnsi="Cambria Math"/>
          <w:sz w:val="21"/>
        </w:rPr>
        <w:t>rₚₐᵣₜ=min(r_edge,r_select)</w:t>
      </w:r>
    </w:p>
    <w:p>
      <w:r>
        <w:rPr>
          <w:rFonts w:ascii="Calibri" w:hAnsi="Calibri" w:eastAsia="Yu Gothic"/>
        </w:rPr>
        <w:t>とすれば、</w:t>
      </w:r>
      <w:r>
        <w:rPr>
          <w:rFonts w:ascii="Cambria Math" w:hAnsi="Cambria Math" w:eastAsia="Yu Gothic"/>
        </w:rPr>
        <w:t>‖Delta W‖ₘₐₓ&lt;rₚₐᵣₜ</w:t>
      </w:r>
      <w:r>
        <w:rPr>
          <w:rFonts w:ascii="Calibri" w:hAnsi="Calibri" w:eastAsia="Yu Gothic"/>
        </w:rPr>
        <w:t xml:space="preserve"> のときthreshold前後のedge集合と最大gapの選択が同時に保たれ、連結成分partitionは不変である。等号ではtieが生じ得るため保証しない。二partition間の差は、全unordered node pairの共所属判定が異なる割合 </w:t>
      </w:r>
      <w:r>
        <w:rPr>
          <w:rFonts w:ascii="Cambria Math" w:hAnsi="Cambria Math" w:eastAsia="Yu Gothic"/>
        </w:rPr>
        <w:t>dₚₐᵢᵣ</w:t>
      </w:r>
      <w:r>
        <w:rPr>
          <w:rFonts w:ascii="Calibri" w:hAnsi="Calibri" w:eastAsia="Yu Gothic"/>
        </w:rPr>
        <w:t xml:space="preserve"> でlabel-freeに測る。この半径は十分条件であり、半径外でpartitionが必ず変わることを意味しない。</w:t>
      </w:r>
    </w:p>
    <w:p>
      <w:pPr>
        <w:pStyle w:val="Heading2"/>
      </w:pPr>
      <w:r>
        <w:t>3.9 有界空間変調場と局所gate</w:t>
      </w:r>
    </w:p>
    <w:p>
      <w:r>
        <w:rPr>
          <w:rFonts w:ascii="Calibri" w:hAnsi="Calibri" w:eastAsia="Yu Gothic"/>
        </w:rPr>
        <w:t xml:space="preserve">nodeごとの変調状態を </w:t>
      </w:r>
      <w:r>
        <w:rPr>
          <w:rFonts w:ascii="Cambria Math" w:hAnsi="Cambria Math" w:eastAsia="Yu Gothic"/>
        </w:rPr>
        <w:t>zₜ∈[0,1]ⁿ</w:t>
      </w:r>
      <w:r>
        <w:rPr>
          <w:rFonts w:ascii="Calibri" w:hAnsi="Calibri" w:eastAsia="Yu Gothic"/>
        </w:rPr>
        <w:t xml:space="preserve">、sourceを </w:t>
      </w:r>
      <w:r>
        <w:rPr>
          <w:rFonts w:ascii="Cambria Math" w:hAnsi="Cambria Math" w:eastAsia="Yu Gothic"/>
        </w:rPr>
        <w:t>sₜ∈[0,1]ⁿ</w:t>
      </w:r>
      <w:r>
        <w:rPr>
          <w:rFonts w:ascii="Calibri" w:hAnsi="Calibri" w:eastAsia="Yu Gothic"/>
        </w:rPr>
        <w:t xml:space="preserve"> とし、</w:t>
      </w:r>
    </w:p>
    <w:p>
      <w:pPr>
        <w:pStyle w:val="DisplayEquation"/>
      </w:pPr>
      <w:r>
        <w:rPr>
          <w:rFonts w:ascii="Cambria Math" w:hAnsi="Cambria Math"/>
          <w:sz w:val="21"/>
        </w:rPr>
        <w:t>zₜ₊₁=(1-alpha-beta)zₜ+alpha Pzₜ+beta sₜ</w:t>
      </w:r>
    </w:p>
    <w:p>
      <w:r>
        <w:rPr>
          <w:rFonts w:ascii="Calibri" w:hAnsi="Calibri" w:eastAsia="Yu Gothic"/>
        </w:rPr>
        <w:t>とする。</w:t>
      </w:r>
      <w:r>
        <w:rPr>
          <w:rFonts w:ascii="Cambria Math" w:hAnsi="Cambria Math" w:eastAsia="Yu Gothic"/>
        </w:rPr>
        <w:t>P</w:t>
      </w:r>
      <w:r>
        <w:rPr>
          <w:rFonts w:ascii="Calibri" w:hAnsi="Calibri" w:eastAsia="Yu Gothic"/>
        </w:rPr>
        <w:t xml:space="preserve"> が非負row-stochastic、</w:t>
      </w:r>
      <w:r>
        <w:rPr>
          <w:rFonts w:ascii="Cambria Math" w:hAnsi="Cambria Math" w:eastAsia="Yu Gothic"/>
        </w:rPr>
        <w:t>alpha,beta≥0</w:t>
      </w:r>
      <w:r>
        <w:rPr>
          <w:rFonts w:ascii="Calibri" w:hAnsi="Calibri" w:eastAsia="Yu Gothic"/>
        </w:rPr>
        <w:t xml:space="preserve">、 </w:t>
      </w:r>
      <w:r>
        <w:rPr>
          <w:rFonts w:ascii="Cambria Math" w:hAnsi="Cambria Math" w:eastAsia="Yu Gothic"/>
        </w:rPr>
        <w:t>alpha+beta≤1</w:t>
      </w:r>
      <w:r>
        <w:rPr>
          <w:rFonts w:ascii="Calibri" w:hAnsi="Calibri" w:eastAsia="Yu Gothic"/>
        </w:rPr>
        <w:t xml:space="preserve"> なら右辺はhypercube内の点の凸結合であり、 </w:t>
      </w:r>
      <w:r>
        <w:rPr>
          <w:rFonts w:ascii="Cambria Math" w:hAnsi="Cambria Math" w:eastAsia="Yu Gothic"/>
        </w:rPr>
        <w:t>zₜ∈[0,1]ⁿ</w:t>
      </w:r>
      <w:r>
        <w:rPr>
          <w:rFonts w:ascii="Calibri" w:hAnsi="Calibri" w:eastAsia="Yu Gothic"/>
        </w:rPr>
        <w:t xml:space="preserve"> は正不変である。局所gateを </w:t>
      </w:r>
      <w:r>
        <w:rPr>
          <w:rFonts w:ascii="Cambria Math" w:hAnsi="Cambria Math" w:eastAsia="Yu Gothic"/>
        </w:rPr>
        <w:t>gₜ=1-zₜ</w:t>
      </w:r>
      <w:r>
        <w:rPr>
          <w:rFonts w:ascii="Calibri" w:hAnsi="Calibri" w:eastAsia="Yu Gothic"/>
        </w:rPr>
        <w:t xml:space="preserve"> とし、 reserve-to-core行列 </w:t>
      </w:r>
      <w:r>
        <w:rPr>
          <w:rFonts w:ascii="Cambria Math" w:hAnsi="Cambria Math" w:eastAsia="Yu Gothic"/>
        </w:rPr>
        <w:t>G</w:t>
      </w:r>
      <w:r>
        <w:rPr>
          <w:rFonts w:ascii="Calibri" w:hAnsi="Calibri" w:eastAsia="Yu Gothic"/>
        </w:rPr>
        <w:t xml:space="preserve"> の受信行だけを </w:t>
      </w:r>
      <w:r>
        <w:rPr>
          <w:rFonts w:ascii="Cambria Math" w:hAnsi="Cambria Math" w:eastAsia="Yu Gothic"/>
        </w:rPr>
        <w:t>D(gₜ)G</w:t>
      </w:r>
      <w:r>
        <w:rPr>
          <w:rFonts w:ascii="Calibri" w:hAnsi="Calibri" w:eastAsia="Yu Gothic"/>
        </w:rPr>
        <w:t xml:space="preserve"> に置き換える。</w:t>
      </w:r>
    </w:p>
    <w:p>
      <w:r>
        <w:rPr>
          <w:rFonts w:ascii="Calibri" w:hAnsi="Calibri" w:eastAsia="Yu Gothic"/>
        </w:rPr>
        <w:t xml:space="preserve">各core座標の双安定安全marginを </w:t>
      </w:r>
      <w:r>
        <w:rPr>
          <w:rFonts w:ascii="Cambria Math" w:hAnsi="Cambria Math" w:eastAsia="Yu Gothic"/>
        </w:rPr>
        <w:t>μᵢ</w:t>
      </w:r>
      <w:r>
        <w:rPr>
          <w:rFonts w:ascii="Calibri" w:hAnsi="Calibri" w:eastAsia="Yu Gothic"/>
        </w:rPr>
        <w:t xml:space="preserve">、unmodeled load上界を </w:t>
      </w:r>
      <w:r>
        <w:rPr>
          <w:rFonts w:ascii="Cambria Math" w:hAnsi="Cambria Math" w:eastAsia="Yu Gothic"/>
        </w:rPr>
        <w:t>eᵢ</w:t>
      </w:r>
      <w:r>
        <w:rPr>
          <w:rFonts w:ascii="Calibri" w:hAnsi="Calibri" w:eastAsia="Yu Gothic"/>
        </w:rPr>
        <w:t xml:space="preserve"> と すれば、</w:t>
      </w:r>
    </w:p>
    <w:p>
      <w:pPr>
        <w:pStyle w:val="DisplayEquation"/>
      </w:pPr>
      <w:r>
        <w:rPr>
          <w:rFonts w:ascii="Cambria Math" w:hAnsi="Cambria Math"/>
          <w:sz w:val="21"/>
        </w:rPr>
        <w:t>supₜ( |[D(gₜ)G rₜ]ᵢ|+eᵢ )≤μᵢ</w:t>
      </w:r>
    </w:p>
    <w:p>
      <w:r>
        <w:rPr>
          <w:rFonts w:ascii="Calibri" w:hAnsi="Calibri" w:eastAsia="Yu Gothic"/>
        </w:rPr>
        <w:t xml:space="preserve">は、その座標の符号安全集合を保つ十分条件である。比較するglobal制御は </w:t>
      </w:r>
      <w:r>
        <w:rPr>
          <w:rFonts w:ascii="Cambria Math" w:hAnsi="Cambria Math" w:eastAsia="Yu Gothic"/>
        </w:rPr>
        <w:t>qW</w:t>
      </w:r>
      <w:r>
        <w:rPr>
          <w:rFonts w:ascii="Calibri" w:hAnsi="Calibri" w:eastAsia="Yu Gothic"/>
        </w:rPr>
        <w:t xml:space="preserve"> とし、局所介入との差のFrobenius二乗energy </w:t>
      </w:r>
      <w:r>
        <w:rPr>
          <w:rFonts w:ascii="Cambria Math" w:hAnsi="Cambria Math" w:eastAsia="Yu Gothic"/>
        </w:rPr>
        <w:t>‖W-D(gₜ)W‖_F²</w:t>
      </w:r>
      <w:r>
        <w:rPr>
          <w:rFonts w:ascii="Calibri" w:hAnsi="Calibri" w:eastAsia="Yu Gothic"/>
        </w:rPr>
        <w:t xml:space="preserve"> と </w:t>
      </w:r>
      <w:r>
        <w:rPr>
          <w:rFonts w:ascii="Cambria Math" w:hAnsi="Cambria Math" w:eastAsia="Yu Gothic"/>
        </w:rPr>
        <w:t>‖W-qW‖_F²</w:t>
      </w:r>
      <w:r>
        <w:rPr>
          <w:rFonts w:ascii="Calibri" w:hAnsi="Calibri" w:eastAsia="Yu Gothic"/>
        </w:rPr>
        <w:t xml:space="preserve"> を一致させる。これにより局所性の効果を、単なる介入量の差から 分離する。ただしこのglobal対照は一様scalarであり、最適制御ではない。</w:t>
      </w:r>
    </w:p>
    <w:p>
      <w:pPr>
        <w:pStyle w:val="Heading1"/>
      </w:pPr>
      <w:r>
        <w:t>4. 方法</w:t>
      </w:r>
    </w:p>
    <w:p>
      <w:pPr>
        <w:pStyle w:val="Heading2"/>
      </w:pPr>
      <w:r>
        <w:t>4.1 段階的検証</w:t>
      </w:r>
    </w:p>
    <w:p>
      <w:r>
        <w:rPr>
          <w:rFonts w:ascii="Calibri" w:hAnsi="Calibri" w:eastAsia="Yu Gothic"/>
        </w:rPr>
        <w:t>研究は探索と確認を分離した。EXP-2026-007ではcoupling 0.04と0.08を比較したが、raw countも平均2.1333低下し、count-matched判定は不成立だった。この陰性結果を保持し、事後探索でraw countを保つ0.07を選んだ。</w:t>
      </w:r>
    </w:p>
    <w:p>
      <w:r>
        <w:rPr>
          <w:rFonts w:ascii="Calibri" w:hAnsi="Calibri" w:eastAsia="Yu Gothic"/>
        </w:rPr>
        <w:t>EXP-2026-008では未使用seed 501–530を用い、coupling 0.04と0.07の両群で全seedのraw countを16に一致させた。EXP-2026-009ではdiscovery seed 401–430で外乱強度とfeatureを選び、未使用seed 601–630で符号記憶予測を確認した。EXP-2026-010ではpilot seed 801–808でfamily別条件を選び、discovery seed 801–830でpredictorをfitし、未使用seed 901–930で4 familyを確認した。</w:t>
      </w:r>
    </w:p>
    <w:p>
      <w:r>
        <w:rPr>
          <w:rFonts w:ascii="Calibri" w:hAnsi="Calibri" w:eastAsia="Yu Gothic"/>
        </w:rPr>
        <w:t>EXP-2026-011のpilotは観測済みseed 801–830をfit、901–930をtestに用い、6 candidateからpooled leave-one-family-out MAE最小のrobust pairを選択した。その後、penalty、feature、baseline、閾値を固定し、他3 familyの既観測60 seedでfitしたmodelをheld-out familyの未使用seed 1201–1230へ適用した。</w:t>
      </w:r>
    </w:p>
    <w:p>
      <w:r>
        <w:rPr>
          <w:rFonts w:ascii="Calibri" w:hAnsi="Calibri" w:eastAsia="Yu Gothic"/>
        </w:rPr>
        <w:t xml:space="preserve">EXP-2026-012では、EXP-2026-011で固定したfeature、penalty、baseline、閾値を変更せず、既知4 familyの既観測seed 801–830と901–930、計960条件でfitした。候補選択にもparameter調整にも使用していない </w:t>
      </w:r>
      <w:r>
        <w:rPr>
          <w:rFonts w:ascii="Consolas" w:hAnsi="Consolas" w:eastAsia="Yu Gothic"/>
          <w:sz w:val="19"/>
        </w:rPr>
        <w:t>modular_paired</w:t>
      </w:r>
      <w:r>
        <w:rPr>
          <w:rFonts w:ascii="Calibri" w:hAnsi="Calibri" w:eastAsia="Yu Gothic"/>
        </w:rPr>
        <w:t xml:space="preserve"> familyの未使用seed 1301–1330、計120条件を一度だけ評価した。</w:t>
      </w:r>
    </w:p>
    <w:p>
      <w:r>
        <w:rPr>
          <w:rFonts w:ascii="Calibri" w:hAnsi="Calibri" w:eastAsia="Yu Gothic"/>
        </w:rPr>
        <w:t xml:space="preserve">AUDIT-2026-001では性能taskを再実行せず、EXP-2026-011/012の重み600条件を符号対角共役 </w:t>
      </w:r>
      <w:r>
        <w:rPr>
          <w:rFonts w:ascii="Cambria Math" w:hAnsi="Cambria Math" w:eastAsia="Yu Gothic"/>
        </w:rPr>
        <w:t>W'=DWD</w:t>
      </w:r>
      <w:r>
        <w:rPr>
          <w:rFonts w:ascii="Calibri" w:hAnsi="Calibri" w:eastAsia="Yu Gothic"/>
        </w:rPr>
        <w:t xml:space="preserve"> でclass分割した。EXP-2026-013ではtask前に各gain30 classを確認した </w:t>
      </w:r>
      <w:r>
        <w:rPr>
          <w:rFonts w:ascii="Consolas" w:hAnsi="Consolas" w:eastAsia="Yu Gothic"/>
          <w:sz w:val="19"/>
        </w:rPr>
        <w:t>modular_heterogeneous</w:t>
      </w:r>
      <w:r>
        <w:rPr>
          <w:rFonts w:ascii="Calibri" w:hAnsi="Calibri" w:eastAsia="Yu Gothic"/>
        </w:rPr>
        <w:t xml:space="preserve"> のseed 1401–1430を用い、2 global gain、4外乱の240条件を一度だけ評価した。</w:t>
      </w:r>
    </w:p>
    <w:p>
      <w:r>
        <w:rPr>
          <w:rFonts w:ascii="Calibri" w:hAnsi="Calibri" w:eastAsia="Yu Gothic"/>
        </w:rPr>
        <w:t>EXP-2026-014ではseed 1501–1510のpilotでcross strength 0–0.04のgridを評価し、結果観測後、未使用confirmation seedには触れずに平均絶対残差0.05、非零残差率0.5、集約曲線単調非減少の3経験判定を固定した。seed 1601–1630の構造gateで各internal gain・strengthの30 networkが30符号共役classになることを確認してから、同じgridのconfirmationを一度だけ評価した。</w:t>
      </w:r>
    </w:p>
    <w:p>
      <w:r>
        <w:rPr>
          <w:rFonts w:ascii="Calibri" w:hAnsi="Calibri" w:eastAsia="Yu Gothic"/>
        </w:rPr>
        <w:t>EXP-2026-015では開発専用seedでfeedback gainとnoise gridを較正した後、pilot seed 1801–1810を一度評価し、確認効果量閾値を固定した。確認taskの前にseed 1901–1930、3 feedback gainの各群が30絶対値構造classを持ち、3+5 module size、非対称性、双方向bridgeを満たすことを監査した。その後、未使用30 seed、3 feedback gain、3 noiseの270条件を一度だけ評価した。</w:t>
      </w:r>
    </w:p>
    <w:p>
      <w:r>
        <w:rPr>
          <w:rFonts w:ascii="Calibri" w:hAnsi="Calibri" w:eastAsia="Yu Gothic"/>
        </w:rPr>
        <w:t>EXP-2026-016では、pilot seed 2001–2010の2+2・2+3 moduleを用いて3予測器をfitし、係数・標準化統計・ridge penaltyをartifactへ固定した。pilot結果観測後、confirmation MAE 0.03以下、Spearman 0.75以上、global minus componentおよびproduct-only minus component MAEのbootstrap区間下限0.01、0.002以上を固定した。確認task前にseed 2101–2130の3+5 moduleについて、各internal gain・cross strength群が30絶対値構造class、非対称、双方向かつ正cross normであることを監査した。その後は再fitせず、未使用30 seedの960点を一度だけ評価した。</w:t>
      </w:r>
    </w:p>
    <w:p>
      <w:r>
        <w:rPr>
          <w:rFonts w:ascii="Calibri" w:hAnsi="Calibri" w:eastAsia="Yu Gothic"/>
        </w:rPr>
        <w:t>EXP-2026-017では、TDD中にtask値へ触れた2201–2230をdevelopment専用へ降格し、判定観測前にconfirmation集合を2301–2330へ置換した。確認familyは座標順をseed依存に並べ替えた2+2+3 moduleである。task前の構造gateで全240 networkの一意affinity gap、真のpartitionとの完全一致、絶対値構造重複なし、非対称内部block、全module pairの双方向bridgeを確認した。EXP-2026-016の固定model、family、grid、12判定を変更せず、960点を一度だけ評価した。</w:t>
      </w:r>
    </w:p>
    <w:p>
      <w:pPr>
        <w:pStyle w:val="Reproducibility"/>
        <w:jc w:val="left"/>
      </w:pPr>
      <w:r>
        <w:rPr>
          <w:rFonts w:ascii="Calibri" w:hAnsi="Calibri" w:eastAsia="Yu Gothic"/>
        </w:rPr>
        <w:t>EXP-2026-018は分割曖昧性だけを扱い、task、方向別load不均衡、module数、readoutを同時に変えなかった。Development seed 2401–2430で実装と識別性を確認後、source/test manifestを固定し、未使用confirmation seed 2501–2530を一度だけ評価した。各phaseは180 base network、8個の固定摂動方向、相対振幅0、0.25、0.50、0.90、1.10、2.0、4.0の10,080構造条件からなる。</w:t>
      </w:r>
    </w:p>
    <w:p>
      <w:pPr>
        <w:pStyle w:val="Heading2"/>
      </w:pPr>
      <w:r>
        <w:t>4.2 Network family</w:t>
      </w:r>
    </w:p>
    <w:p>
      <w:r>
        <w:rPr>
          <w:rFonts w:ascii="Calibri" w:hAnsi="Calibri" w:eastAsia="Yu Gothic"/>
        </w:rPr>
        <w:t>全networkは4次元、対角自己結合1.5のtanh RNNである。</w:t>
      </w:r>
    </w:p>
    <w:tbl>
      <w:tblPr>
        <w:tblW w:type="dxa" w:w="9360"/>
        <w:tblLayout w:type="fixed"/>
        <w:tblLook w:firstColumn="1" w:firstRow="1" w:lastColumn="0" w:lastRow="0" w:noHBand="0" w:noVBand="1" w:val="04A0"/>
        <w:tblInd w:w="120" w:type="dxa"/>
        <w:tblLayout w:type="fixed"/>
        <w:tblBorders>
          <w:top w:val="single" w:sz="4" w:color="CBD2DA"/>
          <w:left w:val="single" w:sz="4" w:color="CBD2DA"/>
          <w:bottom w:val="single" w:sz="4" w:color="CBD2DA"/>
          <w:right w:val="single" w:sz="4" w:color="CBD2DA"/>
          <w:insideH w:val="single" w:sz="4" w:color="CBD2DA"/>
          <w:insideV w:val="single" w:sz="4" w:color="CBD2DA"/>
        </w:tblBorders>
        <w:tblCellMar>
          <w:top w:w="80" w:type="dxa"/>
          <w:bottom w:w="80" w:type="dxa"/>
          <w:start w:w="120" w:type="dxa"/>
          <w:end w:w="120" w:type="dxa"/>
        </w:tblCellMar>
      </w:tblPr>
      <w:tblGrid>
        <w:gridCol w:w="2350"/>
        <w:gridCol w:w="2850"/>
        <w:gridCol w:w="2100"/>
        <w:gridCol w:w="2060"/>
      </w:tblGrid>
      <w:tr>
        <w:trPr>
          <w:tblHeader w:val="true"/>
        </w:trPr>
        <w:tc>
          <w:tcPr>
            <w:tcW w:type="dxa" w:w="2350"/>
            <w:vAlign w:val="center"/>
            <w:shd w:fill="F4F6F9"/>
          </w:tcPr>
          <w:p>
            <w:pPr>
              <w:pStyle w:val="ScientificTableText"/>
              <w:jc w:val="left"/>
            </w:pPr>
            <w:r>
              <w:rPr>
                <w:rFonts w:ascii="Calibri" w:hAnsi="Calibri" w:eastAsia="Yu Gothic"/>
                <w:b/>
              </w:rPr>
              <w:t>Family</w:t>
            </w:r>
          </w:p>
        </w:tc>
        <w:tc>
          <w:tcPr>
            <w:tcW w:type="dxa" w:w="2850"/>
            <w:vAlign w:val="center"/>
            <w:shd w:fill="F4F6F9"/>
          </w:tcPr>
          <w:p>
            <w:pPr>
              <w:pStyle w:val="ScientificTableText"/>
              <w:jc w:val="center"/>
            </w:pPr>
            <w:r>
              <w:rPr>
                <w:rFonts w:ascii="Calibri" w:hAnsi="Calibri" w:eastAsia="Yu Gothic"/>
                <w:b/>
              </w:rPr>
              <w:t>非対角構造</w:t>
            </w:r>
          </w:p>
        </w:tc>
        <w:tc>
          <w:tcPr>
            <w:tcW w:type="dxa" w:w="2100"/>
            <w:vAlign w:val="center"/>
            <w:shd w:fill="F4F6F9"/>
          </w:tcPr>
          <w:p>
            <w:pPr>
              <w:pStyle w:val="ScientificTableText"/>
              <w:jc w:val="center"/>
            </w:pPr>
            <w:r>
              <w:rPr>
                <w:rFonts w:ascii="Calibri" w:hAnsi="Calibri" w:eastAsia="Yu Gothic"/>
                <w:b/>
              </w:rPr>
              <w:t>Coupling gain</w:t>
            </w:r>
          </w:p>
        </w:tc>
        <w:tc>
          <w:tcPr>
            <w:tcW w:type="dxa" w:w="2060"/>
            <w:vAlign w:val="center"/>
            <w:shd w:fill="F4F6F9"/>
          </w:tcPr>
          <w:p>
            <w:pPr>
              <w:pStyle w:val="ScientificTableText"/>
              <w:jc w:val="center"/>
            </w:pPr>
            <w:r>
              <w:rPr>
                <w:rFonts w:ascii="Calibri" w:hAnsi="Calibri" w:eastAsia="Yu Gothic"/>
                <w:b/>
              </w:rPr>
              <w:t>外乱budget</w:t>
            </w:r>
          </w:p>
        </w:tc>
      </w:tr>
      <w:tr>
        <w:tc>
          <w:tcPr>
            <w:tcW w:type="dxa" w:w="2350"/>
            <w:vAlign w:val="center"/>
          </w:tcPr>
          <w:p>
            <w:pPr>
              <w:pStyle w:val="ScientificTableText"/>
              <w:jc w:val="left"/>
            </w:pPr>
            <w:r>
              <w:rPr>
                <w:rFonts w:ascii="Calibri" w:hAnsi="Calibri" w:eastAsia="Yu Gothic"/>
              </w:rPr>
              <w:t>Dense symmetric</w:t>
            </w:r>
          </w:p>
        </w:tc>
        <w:tc>
          <w:tcPr>
            <w:tcW w:type="dxa" w:w="2850"/>
            <w:vAlign w:val="center"/>
          </w:tcPr>
          <w:p>
            <w:pPr>
              <w:pStyle w:val="ScientificTableText"/>
              <w:jc w:val="center"/>
            </w:pPr>
            <w:r>
              <w:rPr>
                <w:rFonts w:ascii="Calibri" w:hAnsi="Calibri" w:eastAsia="Yu Gothic"/>
              </w:rPr>
              <w:t>全無向edge、seed別符号</w:t>
            </w:r>
          </w:p>
        </w:tc>
        <w:tc>
          <w:tcPr>
            <w:tcW w:type="dxa" w:w="2100"/>
            <w:vAlign w:val="center"/>
          </w:tcPr>
          <w:p>
            <w:pPr>
              <w:pStyle w:val="ScientificTableText"/>
              <w:jc w:val="center"/>
            </w:pPr>
            <w:r>
              <w:rPr>
                <w:rFonts w:ascii="Calibri" w:hAnsi="Calibri" w:eastAsia="Yu Gothic"/>
              </w:rPr>
              <w:t>0.04, 0.05, 0.06, 0.07</w:t>
            </w:r>
          </w:p>
        </w:tc>
        <w:tc>
          <w:tcPr>
            <w:tcW w:type="dxa" w:w="2060"/>
            <w:vAlign w:val="center"/>
          </w:tcPr>
          <w:p>
            <w:pPr>
              <w:pStyle w:val="ScientificTableText"/>
              <w:jc w:val="center"/>
            </w:pPr>
            <w:r>
              <w:rPr>
                <w:rFonts w:ascii="Calibri" w:hAnsi="Calibri" w:eastAsia="Yu Gothic"/>
              </w:rPr>
              <w:t>0.16</w:t>
            </w:r>
          </w:p>
        </w:tc>
      </w:tr>
      <w:tr>
        <w:tc>
          <w:tcPr>
            <w:tcW w:type="dxa" w:w="2350"/>
            <w:vAlign w:val="center"/>
          </w:tcPr>
          <w:p>
            <w:pPr>
              <w:pStyle w:val="ScientificTableText"/>
              <w:jc w:val="left"/>
            </w:pPr>
            <w:r>
              <w:rPr>
                <w:rFonts w:ascii="Calibri" w:hAnsi="Calibri" w:eastAsia="Yu Gothic"/>
              </w:rPr>
              <w:t>Sparse symmetric</w:t>
            </w:r>
          </w:p>
        </w:tc>
        <w:tc>
          <w:tcPr>
            <w:tcW w:type="dxa" w:w="2850"/>
            <w:vAlign w:val="center"/>
          </w:tcPr>
          <w:p>
            <w:pPr>
              <w:pStyle w:val="ScientificTableText"/>
              <w:jc w:val="center"/>
            </w:pPr>
            <w:r>
              <w:rPr>
                <w:rFonts w:ascii="Calibri" w:hAnsi="Calibri" w:eastAsia="Yu Gothic"/>
              </w:rPr>
              <w:t>次数2の無向ring、seed別符号</w:t>
            </w:r>
          </w:p>
        </w:tc>
        <w:tc>
          <w:tcPr>
            <w:tcW w:type="dxa" w:w="2100"/>
            <w:vAlign w:val="center"/>
          </w:tcPr>
          <w:p>
            <w:pPr>
              <w:pStyle w:val="ScientificTableText"/>
              <w:jc w:val="center"/>
            </w:pPr>
            <w:r>
              <w:rPr>
                <w:rFonts w:ascii="Calibri" w:hAnsi="Calibri" w:eastAsia="Yu Gothic"/>
              </w:rPr>
              <w:t>0.04, 0.06, 0.08, 0.10</w:t>
            </w:r>
          </w:p>
        </w:tc>
        <w:tc>
          <w:tcPr>
            <w:tcW w:type="dxa" w:w="2060"/>
            <w:vAlign w:val="center"/>
          </w:tcPr>
          <w:p>
            <w:pPr>
              <w:pStyle w:val="ScientificTableText"/>
              <w:jc w:val="center"/>
            </w:pPr>
            <w:r>
              <w:rPr>
                <w:rFonts w:ascii="Calibri" w:hAnsi="Calibri" w:eastAsia="Yu Gothic"/>
              </w:rPr>
              <w:t>0.12</w:t>
            </w:r>
          </w:p>
        </w:tc>
      </w:tr>
      <w:tr>
        <w:tc>
          <w:tcPr>
            <w:tcW w:type="dxa" w:w="2350"/>
            <w:vAlign w:val="center"/>
          </w:tcPr>
          <w:p>
            <w:pPr>
              <w:pStyle w:val="ScientificTableText"/>
              <w:jc w:val="left"/>
            </w:pPr>
            <w:r>
              <w:rPr>
                <w:rFonts w:ascii="Calibri" w:hAnsi="Calibri" w:eastAsia="Yu Gothic"/>
              </w:rPr>
              <w:t>Asymmetric dense</w:t>
            </w:r>
          </w:p>
        </w:tc>
        <w:tc>
          <w:tcPr>
            <w:tcW w:type="dxa" w:w="2850"/>
            <w:vAlign w:val="center"/>
          </w:tcPr>
          <w:p>
            <w:pPr>
              <w:pStyle w:val="ScientificTableText"/>
              <w:jc w:val="center"/>
            </w:pPr>
            <w:r>
              <w:rPr>
                <w:rFonts w:ascii="Calibri" w:hAnsi="Calibri" w:eastAsia="Yu Gothic"/>
              </w:rPr>
              <w:t>全有向edge、方向別seed符号</w:t>
            </w:r>
          </w:p>
        </w:tc>
        <w:tc>
          <w:tcPr>
            <w:tcW w:type="dxa" w:w="2100"/>
            <w:vAlign w:val="center"/>
          </w:tcPr>
          <w:p>
            <w:pPr>
              <w:pStyle w:val="ScientificTableText"/>
              <w:jc w:val="center"/>
            </w:pPr>
            <w:r>
              <w:rPr>
                <w:rFonts w:ascii="Calibri" w:hAnsi="Calibri" w:eastAsia="Yu Gothic"/>
              </w:rPr>
              <w:t>0.04, 0.05, 0.06, 0.07</w:t>
            </w:r>
          </w:p>
        </w:tc>
        <w:tc>
          <w:tcPr>
            <w:tcW w:type="dxa" w:w="2060"/>
            <w:vAlign w:val="center"/>
          </w:tcPr>
          <w:p>
            <w:pPr>
              <w:pStyle w:val="ScientificTableText"/>
              <w:jc w:val="center"/>
            </w:pPr>
            <w:r>
              <w:rPr>
                <w:rFonts w:ascii="Calibri" w:hAnsi="Calibri" w:eastAsia="Yu Gothic"/>
              </w:rPr>
              <w:t>0.16</w:t>
            </w:r>
          </w:p>
        </w:tc>
      </w:tr>
      <w:tr>
        <w:tc>
          <w:tcPr>
            <w:tcW w:type="dxa" w:w="2350"/>
            <w:vAlign w:val="center"/>
          </w:tcPr>
          <w:p>
            <w:pPr>
              <w:pStyle w:val="ScientificTableText"/>
              <w:jc w:val="left"/>
            </w:pPr>
            <w:r>
              <w:rPr>
                <w:rFonts w:ascii="Calibri" w:hAnsi="Calibri" w:eastAsia="Yu Gothic"/>
              </w:rPr>
              <w:t>Feedforward non-normal</w:t>
            </w:r>
          </w:p>
        </w:tc>
        <w:tc>
          <w:tcPr>
            <w:tcW w:type="dxa" w:w="2850"/>
            <w:vAlign w:val="center"/>
          </w:tcPr>
          <w:p>
            <w:pPr>
              <w:pStyle w:val="ScientificTableText"/>
              <w:jc w:val="center"/>
            </w:pPr>
            <w:r>
              <w:rPr>
                <w:rFonts w:ascii="Calibri" w:hAnsi="Calibri" w:eastAsia="Yu Gothic"/>
              </w:rPr>
              <w:t>上三角有向edge、seed別符号</w:t>
            </w:r>
          </w:p>
        </w:tc>
        <w:tc>
          <w:tcPr>
            <w:tcW w:type="dxa" w:w="2100"/>
            <w:vAlign w:val="center"/>
          </w:tcPr>
          <w:p>
            <w:pPr>
              <w:pStyle w:val="ScientificTableText"/>
              <w:jc w:val="center"/>
            </w:pPr>
            <w:r>
              <w:rPr>
                <w:rFonts w:ascii="Calibri" w:hAnsi="Calibri" w:eastAsia="Yu Gothic"/>
              </w:rPr>
              <w:t>0.04, 0.05, 0.06, 0.07</w:t>
            </w:r>
          </w:p>
        </w:tc>
        <w:tc>
          <w:tcPr>
            <w:tcW w:type="dxa" w:w="2060"/>
            <w:vAlign w:val="center"/>
          </w:tcPr>
          <w:p>
            <w:pPr>
              <w:pStyle w:val="ScientificTableText"/>
              <w:jc w:val="center"/>
            </w:pPr>
            <w:r>
              <w:rPr>
                <w:rFonts w:ascii="Calibri" w:hAnsi="Calibri" w:eastAsia="Yu Gothic"/>
              </w:rPr>
              <w:t>0.16</w:t>
            </w:r>
          </w:p>
        </w:tc>
      </w:tr>
      <w:tr>
        <w:tc>
          <w:tcPr>
            <w:tcW w:type="dxa" w:w="2350"/>
            <w:vAlign w:val="center"/>
          </w:tcPr>
          <w:p>
            <w:pPr>
              <w:pStyle w:val="ScientificTableText"/>
              <w:jc w:val="left"/>
            </w:pPr>
            <w:r>
              <w:rPr>
                <w:rFonts w:ascii="Calibri" w:hAnsi="Calibri" w:eastAsia="Yu Gothic"/>
              </w:rPr>
              <w:t>Modular paired</w:t>
            </w:r>
          </w:p>
        </w:tc>
        <w:tc>
          <w:tcPr>
            <w:tcW w:type="dxa" w:w="2850"/>
            <w:vAlign w:val="center"/>
          </w:tcPr>
          <w:p>
            <w:pPr>
              <w:pStyle w:val="ScientificTableText"/>
              <w:jc w:val="center"/>
            </w:pPr>
            <w:r>
              <w:rPr>
                <w:rFonts w:ascii="Calibri" w:hAnsi="Calibri" w:eastAsia="Yu Gothic"/>
              </w:rPr>
              <w:t>独立2-node対称pair二個、pair別seed符号</w:t>
            </w:r>
          </w:p>
        </w:tc>
        <w:tc>
          <w:tcPr>
            <w:tcW w:type="dxa" w:w="2100"/>
            <w:vAlign w:val="center"/>
          </w:tcPr>
          <w:p>
            <w:pPr>
              <w:pStyle w:val="ScientificTableText"/>
              <w:jc w:val="center"/>
            </w:pPr>
            <w:r>
              <w:rPr>
                <w:rFonts w:ascii="Calibri" w:hAnsi="Calibri" w:eastAsia="Yu Gothic"/>
              </w:rPr>
              <w:t>0.04, 0.05, 0.06, 0.07</w:t>
            </w:r>
          </w:p>
        </w:tc>
        <w:tc>
          <w:tcPr>
            <w:tcW w:type="dxa" w:w="2060"/>
            <w:vAlign w:val="center"/>
          </w:tcPr>
          <w:p>
            <w:pPr>
              <w:pStyle w:val="ScientificTableText"/>
              <w:jc w:val="center"/>
            </w:pPr>
            <w:r>
              <w:rPr>
                <w:rFonts w:ascii="Calibri" w:hAnsi="Calibri" w:eastAsia="Yu Gothic"/>
              </w:rPr>
              <w:t>0.16</w:t>
            </w:r>
          </w:p>
        </w:tc>
      </w:tr>
      <w:tr>
        <w:tc>
          <w:tcPr>
            <w:tcW w:type="dxa" w:w="2350"/>
            <w:vAlign w:val="center"/>
          </w:tcPr>
          <w:p>
            <w:pPr>
              <w:pStyle w:val="ScientificTableText"/>
              <w:jc w:val="left"/>
            </w:pPr>
            <w:r>
              <w:rPr>
                <w:rFonts w:ascii="Calibri" w:hAnsi="Calibri" w:eastAsia="Yu Gothic"/>
              </w:rPr>
              <w:t>Modular heterogeneous</w:t>
            </w:r>
          </w:p>
        </w:tc>
        <w:tc>
          <w:tcPr>
            <w:tcW w:type="dxa" w:w="2850"/>
            <w:vAlign w:val="center"/>
          </w:tcPr>
          <w:p>
            <w:pPr>
              <w:pStyle w:val="ScientificTableText"/>
              <w:jc w:val="center"/>
            </w:pPr>
            <w:r>
              <w:rPr>
                <w:rFonts w:ascii="Calibri" w:hAnsi="Calibri" w:eastAsia="Yu Gothic"/>
              </w:rPr>
              <w:t>独立2-node対称pair二個、pair別絶対値と符号</w:t>
            </w:r>
          </w:p>
        </w:tc>
        <w:tc>
          <w:tcPr>
            <w:tcW w:type="dxa" w:w="2100"/>
            <w:vAlign w:val="center"/>
          </w:tcPr>
          <w:p>
            <w:pPr>
              <w:pStyle w:val="ScientificTableText"/>
              <w:jc w:val="center"/>
            </w:pPr>
            <w:r>
              <w:rPr>
                <w:rFonts w:ascii="Calibri" w:hAnsi="Calibri" w:eastAsia="Yu Gothic"/>
              </w:rPr>
              <w:t>0.05, 0.07</w:t>
            </w:r>
          </w:p>
        </w:tc>
        <w:tc>
          <w:tcPr>
            <w:tcW w:type="dxa" w:w="2060"/>
            <w:vAlign w:val="center"/>
          </w:tcPr>
          <w:p>
            <w:pPr>
              <w:pStyle w:val="ScientificTableText"/>
              <w:jc w:val="center"/>
            </w:pPr>
            <w:r>
              <w:rPr>
                <w:rFonts w:ascii="Calibri" w:hAnsi="Calibri" w:eastAsia="Yu Gothic"/>
              </w:rPr>
              <w:t>0.08, 0.12, 0.16, 0.20</w:t>
            </w:r>
          </w:p>
        </w:tc>
      </w:tr>
      <w:tr>
        <w:tc>
          <w:tcPr>
            <w:tcW w:type="dxa" w:w="2350"/>
            <w:vAlign w:val="center"/>
          </w:tcPr>
          <w:p>
            <w:pPr>
              <w:pStyle w:val="ScientificTableText"/>
              <w:jc w:val="left"/>
            </w:pPr>
            <w:r>
              <w:rPr>
                <w:rFonts w:ascii="Calibri" w:hAnsi="Calibri" w:eastAsia="Yu Gothic"/>
              </w:rPr>
              <w:t>Weakly coupled modular</w:t>
            </w:r>
          </w:p>
        </w:tc>
        <w:tc>
          <w:tcPr>
            <w:tcW w:type="dxa" w:w="2850"/>
            <w:vAlign w:val="center"/>
          </w:tcPr>
          <w:p>
            <w:pPr>
              <w:pStyle w:val="ScientificTableText"/>
              <w:jc w:val="center"/>
            </w:pPr>
            <w:r>
              <w:rPr>
                <w:rFonts w:ascii="Calibri" w:hAnsi="Calibri" w:eastAsia="Yu Gothic"/>
              </w:rPr>
              <w:t>上記二moduleと二つの対称cross bridge</w:t>
            </w:r>
          </w:p>
        </w:tc>
        <w:tc>
          <w:tcPr>
            <w:tcW w:type="dxa" w:w="2100"/>
            <w:vAlign w:val="center"/>
          </w:tcPr>
          <w:p>
            <w:pPr>
              <w:pStyle w:val="ScientificTableText"/>
              <w:jc w:val="center"/>
            </w:pPr>
            <w:r>
              <w:rPr>
                <w:rFonts w:ascii="Calibri" w:hAnsi="Calibri" w:eastAsia="Yu Gothic"/>
              </w:rPr>
              <w:t>internal 0.05, 0.07; cross 0–0.04</w:t>
            </w:r>
          </w:p>
        </w:tc>
        <w:tc>
          <w:tcPr>
            <w:tcW w:type="dxa" w:w="2060"/>
            <w:vAlign w:val="center"/>
          </w:tcPr>
          <w:p>
            <w:pPr>
              <w:pStyle w:val="ScientificTableText"/>
              <w:jc w:val="center"/>
            </w:pPr>
            <w:r>
              <w:rPr>
                <w:rFonts w:ascii="Calibri" w:hAnsi="Calibri" w:eastAsia="Yu Gothic"/>
              </w:rPr>
              <w:t>0.08, 0.12, 0.16, 0.20</w:t>
            </w:r>
          </w:p>
        </w:tc>
      </w:tr>
    </w:tbl>
    <w:p>
      <w:pPr>
        <w:spacing w:before="0" w:after="40"/>
      </w:pPr>
    </w:p>
    <w:p>
      <w:r>
        <w:rPr>
          <w:rFonts w:ascii="Calibri" w:hAnsi="Calibri" w:eastAsia="Yu Gothic"/>
        </w:rPr>
        <w:t>Sparse familyでは共通条件に天井効果または固定点消失が生じたため、pilotで異なるcoupling gridと外乱budgetを固定した。従ってfamily間の絶対保持率をtopologyの因果効果として比較しない。</w:t>
      </w:r>
    </w:p>
    <w:p>
      <w:r>
        <w:rPr>
          <w:rFonts w:ascii="Calibri" w:hAnsi="Calibri" w:eastAsia="Yu Gothic"/>
        </w:rPr>
        <w:t xml:space="preserve">Modular paired familyの重みは </w:t>
      </w:r>
      <w:r>
        <w:rPr>
          <w:rFonts w:ascii="Cambria Math" w:hAnsi="Cambria Math" w:eastAsia="Yu Gothic"/>
        </w:rPr>
        <w:t>aI₄</w:t>
      </w:r>
      <w:r>
        <w:rPr>
          <w:rFonts w:ascii="Calibri" w:hAnsi="Calibri" w:eastAsia="Yu Gothic"/>
        </w:rPr>
        <w:t xml:space="preserve"> と二つの独立2次元blockからなる。module間結合は0であり、全系は二つの部分系の直積へ厳密に分解する。</w:t>
      </w:r>
    </w:p>
    <w:p>
      <w:r>
        <w:rPr>
          <w:rFonts w:ascii="Calibri" w:hAnsi="Calibri" w:eastAsia="Yu Gothic"/>
        </w:rPr>
        <w:t>Modular heterogeneousでは各pairの結合絶対値をglobal gainの0.75–1.25倍からseed別に生成した。task実行前監査で各gain30 networkが30符号共役classとなり、unorderedな二module絶対値pairにも重複がないことを確認した。</w:t>
      </w:r>
    </w:p>
    <w:p>
      <w:r>
        <w:rPr>
          <w:rFonts w:ascii="Calibri" w:hAnsi="Calibri" w:eastAsia="Yu Gothic"/>
        </w:rPr>
        <w:t>Weakly coupled modularではnode 0–2と1–3へseed別符号の対称bridgeを置いた。各行に一つのcross edgeしかないため、block diagonal基準との差のinfinity normはcross strengthに厳密に一致する。strength 0では二component、正strengthでは全4 nodeが一componentになる。</w:t>
      </w:r>
    </w:p>
    <w:p>
      <w:r>
        <w:rPr>
          <w:rFonts w:ascii="Calibri" w:hAnsi="Calibri" w:eastAsia="Yu Gothic"/>
        </w:rPr>
        <w:t>EXP-2026-015は別familyとして、自己結合1.5の3-node双安定coreと5-node収縮reserveを非対称かつ双方向bridgeで接続した。局所政策はreserve-to-core受信行だけを空間場でgateし、ungated政策は同じnetworkを無制御で用いた。Global政策は各時刻に局所政策と同じFrobenius介入energyを持つ一様recurrent gainを用いた。</w:t>
      </w:r>
    </w:p>
    <w:p>
      <w:r>
        <w:rPr>
          <w:rFonts w:ascii="Calibri" w:hAnsi="Calibri" w:eastAsia="Yu Gothic"/>
        </w:rPr>
        <w:t xml:space="preserve">EXP-2026-016の </w:t>
      </w:r>
      <w:r>
        <w:rPr>
          <w:rFonts w:ascii="Consolas" w:hAnsi="Consolas" w:eastAsia="Yu Gothic"/>
          <w:sz w:val="19"/>
        </w:rPr>
        <w:t>asymmetric_modular</w:t>
      </w:r>
      <w:r>
        <w:rPr>
          <w:rFonts w:ascii="Calibri" w:hAnsi="Calibri" w:eastAsia="Yu Gothic"/>
        </w:rPr>
        <w:t xml:space="preserve"> familyは、各module内部に符号付き非対称edgeを持ち、二方向bridge </w:t>
      </w:r>
      <w:r>
        <w:rPr>
          <w:rFonts w:ascii="Cambria Math" w:hAnsi="Cambria Math" w:eastAsia="Yu Gothic"/>
        </w:rPr>
        <w:t>B,C</w:t>
      </w:r>
      <w:r>
        <w:rPr>
          <w:rFonts w:ascii="Calibri" w:hAnsi="Calibri" w:eastAsia="Yu Gothic"/>
        </w:rPr>
        <w:t xml:space="preserve"> を独立に生成した。Pilotは2+2と2+3、confirmationは3+5 nodeであり、internal gain 0.025、0.05、cross strength 0、0.01、0.02、0.04、外乱budget 0.08、0.12、0.16、0.20を用いた。Module分割は既知として評価器へ渡した。</w:t>
      </w:r>
    </w:p>
    <w:p>
      <w:r>
        <w:rPr>
          <w:rFonts w:ascii="Calibri" w:hAnsi="Calibri" w:eastAsia="Yu Gothic"/>
        </w:rPr>
        <w:t xml:space="preserve">EXP-2026-017の </w:t>
      </w:r>
      <w:r>
        <w:rPr>
          <w:rFonts w:ascii="Consolas" w:hAnsi="Consolas" w:eastAsia="Yu Gothic"/>
          <w:sz w:val="19"/>
        </w:rPr>
        <w:t>multicomponent_modular</w:t>
      </w:r>
      <w:r>
        <w:rPr>
          <w:rFonts w:ascii="Calibri" w:hAnsi="Calibri" w:eastAsia="Yu Gothic"/>
        </w:rPr>
        <w:t xml:space="preserve"> familyは2+2+3 nodeで、同じinternal gain、最大総流入bridge strength、外乱budgetを用いた。全module内部を非対称、全正strengthのmodule pairを双方向かつ非転置とし、観測前に全座標をpermutationした。Generatorはmodule内最小affinityがmodule間最大affinityを上回る一意gapを明示的に持つ。真のpartitionは構造gateだけに用い、profile抽出器には渡さなかった。</w:t>
      </w:r>
    </w:p>
    <w:p>
      <w:r>
        <w:rPr>
          <w:rFonts w:ascii="Calibri" w:hAnsi="Calibri" w:eastAsia="Yu Gothic"/>
        </w:rPr>
        <w:t>EXP-2026-018は同じ2+2+3 generatorのbridge strength 0.01、0.02、0.04を用いた。Base重みごとに保証半径を計算し、対角を保った独立一様な非対角entry方向をseedで固定したうえで振幅だけを半径倍率に従って変えた。同じbase・方向では摂動方向を共通化した。生成時partitionは構造監査だけに用いた。</w:t>
      </w:r>
    </w:p>
    <w:p>
      <w:pPr>
        <w:pStyle w:val="Heading2"/>
      </w:pPr>
      <w:r>
        <w:t>4.3 固定点探索と符号記憶task</w:t>
      </w:r>
    </w:p>
    <w:p>
      <w:r>
        <w:rPr>
          <w:rFonts w:ascii="Calibri" w:hAnsi="Calibri" w:eastAsia="Yu Gothic"/>
        </w:rPr>
        <w:t xml:space="preserve">全16 orthantについて初期状態 </w:t>
      </w:r>
      <w:r>
        <w:rPr>
          <w:rFonts w:ascii="Cambria Math" w:hAnsi="Cambria Math" w:eastAsia="Yu Gothic"/>
        </w:rPr>
        <w:t>0.9s</w:t>
      </w:r>
      <w:r>
        <w:rPr>
          <w:rFonts w:ascii="Calibri" w:hAnsi="Calibri" w:eastAsia="Yu Gothic"/>
        </w:rPr>
        <w:t xml:space="preserve"> から自律系を500 step発展させ、最終残差 </w:t>
      </w:r>
      <w:r>
        <w:rPr>
          <w:rFonts w:ascii="Cambria Math" w:hAnsi="Cambria Math" w:eastAsia="Yu Gothic"/>
        </w:rPr>
        <w:t>10⁻⁹</w:t>
      </w:r>
      <w:r>
        <w:rPr>
          <w:rFonts w:ascii="Calibri" w:hAnsi="Calibri" w:eastAsia="Yu Gothic"/>
        </w:rPr>
        <w:t xml:space="preserve"> 以下かつ全時刻で符号を保つ場合に固定点を発見したとした。各固定点を4-bit符号記憶とみなした。</w:t>
      </w:r>
    </w:p>
    <w:p>
      <w:r>
        <w:rPr>
          <w:rFonts w:ascii="Calibri" w:hAnsi="Calibri" w:eastAsia="Yu Gothic"/>
        </w:rPr>
        <w:t xml:space="preserve">外乱方向 </w:t>
      </w:r>
      <w:r>
        <w:rPr>
          <w:rFonts w:ascii="Cambria Math" w:hAnsi="Cambria Math" w:eastAsia="Yu Gothic"/>
        </w:rPr>
        <w:t>d∈-1,1⁴</w:t>
      </w:r>
      <w:r>
        <w:rPr>
          <w:rFonts w:ascii="Calibri" w:hAnsi="Calibri" w:eastAsia="Yu Gothic"/>
        </w:rPr>
        <w:t xml:space="preserve"> の全16 cornerを列挙し、</w:t>
      </w:r>
      <w:r>
        <w:rPr>
          <w:rFonts w:ascii="Cambria Math" w:hAnsi="Cambria Math" w:eastAsia="Yu Gothic"/>
        </w:rPr>
        <w:t>η=ed</w:t>
      </w:r>
      <w:r>
        <w:rPr>
          <w:rFonts w:ascii="Calibri" w:hAnsi="Calibri" w:eastAsia="Yu Gothic"/>
        </w:rPr>
        <w:t xml:space="preserve"> を100 step一定に印加した。全時刻で元のorthant符号を保てば成功とした。一network・一外乱強度あたり256 challengeであり、EXP-2026-010とEXP-2026-011の各confirmation総数は122,880、EXP-2026-012は30,720、EXP-2026-014は368,640だった。</w:t>
      </w:r>
    </w:p>
    <w:p>
      <w:r>
        <w:rPr>
          <w:rFonts w:ascii="Calibri" w:hAnsi="Calibri" w:eastAsia="Yu Gothic"/>
        </w:rPr>
        <w:t xml:space="preserve">EXP-2026-016はdimensionに依存しない4個の符号相対方向codeを80 step印加した。各moduleの全符号orthantから500 stepで固定点を求め、結合系の同時符号保持を成功とした。Confirmationは960点、983,040 challengeである。これは全 </w:t>
      </w:r>
      <w:r>
        <w:rPr>
          <w:rFonts w:ascii="Cambria Math" w:hAnsi="Cambria Math" w:eastAsia="Yu Gothic"/>
        </w:rPr>
        <w:t>2ᵈ</w:t>
      </w:r>
      <w:r>
        <w:rPr>
          <w:rFonts w:ascii="Calibri" w:hAnsi="Calibri" w:eastAsia="Yu Gothic"/>
        </w:rPr>
        <w:t xml:space="preserve"> corner分布ではなく、零結合時のcode別積則を厳密に保つ整列taskである。</w:t>
      </w:r>
    </w:p>
    <w:p>
      <w:r>
        <w:rPr>
          <w:rFonts w:ascii="Calibri" w:hAnsi="Calibri" w:eastAsia="Yu Gothic"/>
        </w:rPr>
        <w:t>EXP-2026-017も同じ4 codeと80 stepを用い、非連続な推定座標indexごとに局所taskを評価した。Confirmationは960点、491,520 challengeである。Certificate監査では全128 orthantを列挙したが、因子化profileは各moduleの4、4、8 orthant、合計16だけから計算した。</w:t>
      </w:r>
    </w:p>
    <w:p>
      <w:pPr>
        <w:pStyle w:val="Heading2"/>
      </w:pPr>
      <w:r>
        <w:t>4.4 Predictorとbaseline</w:t>
      </w:r>
    </w:p>
    <w:p>
      <w:r>
        <w:rPr>
          <w:rFonts w:ascii="Calibri" w:hAnsi="Calibri" w:eastAsia="Yu Gothic"/>
        </w:rPr>
        <w:t xml:space="preserve">EXP-2026-010ではfamilyごとにdiscovery 120条件で切片付き単回帰をfitし、confirmation 120条件へ係数を固定して適用した。主要featureは平均margin </w:t>
      </w:r>
      <w:r>
        <w:rPr>
          <w:rFonts w:ascii="Cambria Math" w:hAnsi="Cambria Math" w:eastAsia="Yu Gothic"/>
        </w:rPr>
        <w:t>μ̄</w:t>
      </w:r>
      <w:r>
        <w:rPr>
          <w:rFonts w:ascii="Calibri" w:hAnsi="Calibri" w:eastAsia="Yu Gothic"/>
        </w:rPr>
        <w:t xml:space="preserve"> である。Baselineはraw attractor count、coupling gain、off-diagonal infinity norm、全固定点にわたるworst local Jacobian infinity norm、minimum signed fixed-point coordinate、nonnormality commutator normとした。</w:t>
      </w:r>
    </w:p>
    <w:p>
      <w:r>
        <w:rPr>
          <w:rFonts w:ascii="Calibri" w:hAnsi="Calibri" w:eastAsia="Yu Gothic"/>
        </w:rPr>
        <w:t xml:space="preserve">EXP-2026-011ではfamily名をfeatureへ入れず、held-out familyのtask保持率をfitから 完全に除外した。各featureを学習fold内で標準化し、切片を罰しないridge回帰 （penalty </w:t>
      </w:r>
      <w:r>
        <w:rPr>
          <w:rFonts w:ascii="Cambria Math" w:hAnsi="Cambria Math" w:eastAsia="Yu Gothic"/>
        </w:rPr>
        <w:t>10⁻³</w:t>
      </w:r>
      <w:r>
        <w:rPr>
          <w:rFonts w:ascii="Calibri" w:hAnsi="Calibri" w:eastAsia="Yu Gothic"/>
        </w:rPr>
        <w:t xml:space="preserve">）をfitした。選択modelのfeatureは </w:t>
      </w:r>
      <w:r>
        <w:rPr>
          <w:rFonts w:ascii="Cambria Math" w:hAnsi="Cambria Math" w:eastAsia="Yu Gothic"/>
        </w:rPr>
        <w:t>μ̄/e</w:t>
      </w:r>
      <w:r>
        <w:rPr>
          <w:rFonts w:ascii="Calibri" w:hAnsi="Calibri" w:eastAsia="Yu Gothic"/>
        </w:rPr>
        <w:t xml:space="preserve"> とcertified robust fractionである。Primary baselineはraw countと、 normalized coupling、normalized off-diagonal norm、local Jacobian、minimum coordinate、nonnormalityからなる5-feature structural modelとした。 Normalized margin単独はsecondary baselineである。全予測を保持率の定義域 </w:t>
      </w:r>
      <w:r>
        <w:rPr>
          <w:rFonts w:ascii="Cambria Math" w:hAnsi="Cambria Math" w:eastAsia="Yu Gothic"/>
        </w:rPr>
        <w:t>[0,1]</w:t>
      </w:r>
      <w:r>
        <w:rPr>
          <w:rFonts w:ascii="Calibri" w:hAnsi="Calibri" w:eastAsia="Yu Gothic"/>
        </w:rPr>
        <w:t xml:space="preserve"> へclipした。</w:t>
      </w:r>
    </w:p>
    <w:p>
      <w:r>
        <w:rPr>
          <w:rFonts w:ascii="Calibri" w:hAnsi="Calibri" w:eastAsia="Yu Gothic"/>
        </w:rPr>
        <w:t>EXP-2026-012ではrobust pairを既知4 familyの全60 seedでfitし、外部familyへ適用した。学習family集合と評価family集合、学習seed集合と評価seed集合がそれぞれ交わらないことを評価器で検査した。Baselineとclip規約はEXP-2026-011から変更していない。</w:t>
      </w:r>
    </w:p>
    <w:p>
      <w:r>
        <w:rPr>
          <w:rFonts w:ascii="Calibri" w:hAnsi="Calibri" w:eastAsia="Yu Gothic"/>
        </w:rPr>
        <w:t xml:space="preserve">EXP-2026-016のglobal modelはdimension、raw attractor fraction、global certificate fraction、mean margin、全非対角infinity norm、normalized nonnormality、最大bridge normの7 featureを用いた。Component-aware modelはこれにisolated task積、component certificate積、directionalおよびtransported certificate率、方向別slackの平均・最小、load imbalance、size imbalanceの8 featureを加えた。Product-only modelはisolated task積だけを用いた。全modelは標準化ridge（penalty </w:t>
      </w:r>
      <w:r>
        <w:rPr>
          <w:rFonts w:ascii="Cambria Math" w:hAnsi="Cambria Math" w:eastAsia="Yu Gothic"/>
        </w:rPr>
        <w:t>10⁻³</w:t>
      </w:r>
      <w:r>
        <w:rPr>
          <w:rFonts w:ascii="Calibri" w:hAnsi="Calibri" w:eastAsia="Yu Gothic"/>
        </w:rPr>
        <w:t>）で、pilot後の係数をconfirmationへ固定した。</w:t>
      </w:r>
    </w:p>
    <w:p>
      <w:r>
        <w:rPr>
          <w:rFonts w:ascii="Calibri" w:hAnsi="Calibri" w:eastAsia="Yu Gothic"/>
        </w:rPr>
        <w:t>EXP-2026-017は上記三modelの係数、標準化統計、feature名を変更しなかった。三module値はisolated task/certificateの積、最大総流入load、loadとsizeの対称imbalance、survival積による平均・最小slackとして集約した。Oracle partitionは保証監査だけに用い、推定partitionとのfeature・予測一致を検査した。</w:t>
      </w:r>
    </w:p>
    <w:p>
      <w:pPr>
        <w:pStyle w:val="Heading2"/>
      </w:pPr>
      <w:r>
        <w:t>4.5 統計と事前判定</w:t>
      </w:r>
    </w:p>
    <w:p>
      <w:r>
        <w:rPr>
          <w:rFonts w:ascii="Calibri" w:hAnsi="Calibri" w:eastAsia="Yu Gothic"/>
        </w:rPr>
        <w:t>Family別にSpearman順位相関とMAEを算出した。誤差差は同じseedの4 family・各4 gainを平均して一標本とし、30 seedを2,000回percentile bootstrapして95%区間を求めた。</w:t>
      </w:r>
    </w:p>
    <w:p>
      <w:r>
        <w:rPr>
          <w:rFonts w:ascii="Calibri" w:hAnsi="Calibri" w:eastAsia="Yu Gothic"/>
        </w:rPr>
        <w:t>EXP-2026-010の事前判定は、confirmation全480 networkでraw count 16、certificate下界違反0、4 familyすべてでmean marginとtask retentionのSpearmanが0.75超、pooled raw-count MAE minus margin MAEの95%区間下限が0超、の4項目である。Couplingとlocal Jacobianに対する誤差差はsecondary endpointとして事前に固定した。</w:t>
      </w:r>
    </w:p>
    <w:p>
      <w:pPr>
        <w:pStyle w:val="Reproducibility"/>
        <w:jc w:val="left"/>
      </w:pPr>
      <w:r>
        <w:rPr>
          <w:rFonts w:ascii="Calibri" w:hAnsi="Calibri" w:eastAsia="Yu Gothic"/>
        </w:rPr>
        <w:t>実験EXP-2026-011では各confirmation seedの4 family・4 gainを平均して一標本とした paired誤差差を用いた。事前判定は、raw count 16、certificate違反0、全familyで robust-pair予測とのSpearman 0.75超、raw-count MAE minus robust-pair MAEの 95%区間下限0超、structural MAE minus robust-pair MAEの区間下限0超、の5項目 である。確認seedを観測する前にsource/test manifestを固定した。</w:t>
      </w:r>
    </w:p>
    <w:p>
      <w:pPr>
        <w:pStyle w:val="Reproducibility"/>
        <w:jc w:val="left"/>
      </w:pPr>
      <w:r>
        <w:rPr>
          <w:rFonts w:ascii="Calibri" w:hAnsi="Calibri" w:eastAsia="Yu Gothic"/>
        </w:rPr>
        <w:t xml:space="preserve">EXP-2026-012も同じ5判定を用いたが、family別ではなく第五family全120点のSpearmanを用いた。各seedの4 gainを一標本とする2,000回paired bootstrapを事前登録した。Source/test manifest SHA-256は </w:t>
      </w:r>
      <w:r>
        <w:rPr>
          <w:rFonts w:ascii="Consolas" w:hAnsi="Consolas" w:eastAsia="Yu Gothic"/>
          <w:sz w:val="19"/>
        </w:rPr>
        <w:t>30f1f7a11953dc6d8a5d1a7415ba8e12c311e718691475976883aa477295187d</w:t>
      </w:r>
      <w:r>
        <w:rPr>
          <w:rFonts w:ascii="Calibri" w:hAnsi="Calibri" w:eastAsia="Yu Gothic"/>
        </w:rPr>
        <w:t xml:space="preserve"> である。</w:t>
      </w:r>
    </w:p>
    <w:p>
      <w:pPr>
        <w:pStyle w:val="Reproducibility"/>
        <w:jc w:val="left"/>
      </w:pPr>
      <w:r>
        <w:rPr>
          <w:rFonts w:ascii="Calibri" w:hAnsi="Calibri" w:eastAsia="Yu Gothic"/>
        </w:rPr>
        <w:t xml:space="preserve">実験EXP-2026-013は予測modelをfitせず、構造gate、固定点数の積、component box不変性、global common-boundary certificateの保守性、全corner task保持率の積、component certificate下界の6判定をtolerance </w:t>
      </w:r>
      <w:r>
        <w:rPr>
          <w:rFonts w:ascii="Cambria Math" w:hAnsi="Cambria Math" w:eastAsia="Yu Gothic"/>
        </w:rPr>
        <w:t>10⁻¹²</w:t>
      </w:r>
      <w:r>
        <w:rPr>
          <w:rFonts w:ascii="Calibri" w:hAnsi="Calibri" w:eastAsia="Yu Gothic"/>
        </w:rPr>
        <w:t xml:space="preserve"> で固定した。Source/test manifest SHA-256は </w:t>
      </w:r>
      <w:r>
        <w:rPr>
          <w:rFonts w:ascii="Consolas" w:hAnsi="Consolas" w:eastAsia="Yu Gothic"/>
          <w:sz w:val="19"/>
        </w:rPr>
        <w:t>85fb1caea1ebfb68db4e4f1ffd722534a9d6265a9db800e82d14df40739555fa</w:t>
      </w:r>
      <w:r>
        <w:rPr>
          <w:rFonts w:ascii="Calibri" w:hAnsi="Calibri" w:eastAsia="Yu Gothic"/>
        </w:rPr>
        <w:t xml:space="preserve"> である。</w:t>
      </w:r>
    </w:p>
    <w:p>
      <w:pPr>
        <w:pStyle w:val="Reproducibility"/>
        <w:jc w:val="left"/>
      </w:pPr>
      <w:r>
        <w:rPr>
          <w:rFonts w:ascii="Calibri" w:hAnsi="Calibri" w:eastAsia="Yu Gothic"/>
        </w:rPr>
        <w:t xml:space="preserve">EXP-2026-014は零結合積則、transported certificate下界、norm-shifted certificate下界、前者の後者に対する支配をpilot前に固定した。pilot後、最大strengthの平均絶対残差0.05以上、非零残差率0.5以上、strength別平均絶対残差の単調非減少を追加固定した。Confirmation source/test manifest SHA-256は </w:t>
      </w:r>
      <w:r>
        <w:rPr>
          <w:rFonts w:ascii="Consolas" w:hAnsi="Consolas" w:eastAsia="Yu Gothic"/>
          <w:sz w:val="19"/>
        </w:rPr>
        <w:t>a64556683a20ab733581ad6fe71ddc37dfb27cb3138b6dde50faaf6a02efe538</w:t>
      </w:r>
      <w:r>
        <w:rPr>
          <w:rFonts w:ascii="Calibri" w:hAnsi="Calibri" w:eastAsia="Yu Gothic"/>
        </w:rPr>
        <w:t xml:space="preserve"> である。</w:t>
      </w:r>
    </w:p>
    <w:p>
      <w:pPr>
        <w:pStyle w:val="Reproducibility"/>
        <w:jc w:val="left"/>
      </w:pPr>
      <w:r>
        <w:rPr>
          <w:rFonts w:ascii="Calibri" w:hAnsi="Calibri" w:eastAsia="Yu Gothic"/>
        </w:rPr>
        <w:t xml:space="preserve">EXP-2026-015の主要判定は、場のhypercube不変性、energy一致、certificate違反0、構造class重複なし、非対称性、双方向bridge、局所政策の全core保持、最大feedbackでのungated優位差0.05以上、globalに対するcore保持差とreserve容量差のbootstrap区間下限がそれぞれ0.05と0.02以上、の10項目である。Coreは8 orthantすべてをchallengeし、reserveは同一確率入力に対する最大delay 6の線形記憶容量で評価した。Confirmation manifestは </w:t>
      </w:r>
      <w:r>
        <w:rPr>
          <w:rFonts w:ascii="Consolas" w:hAnsi="Consolas" w:eastAsia="Yu Gothic"/>
          <w:sz w:val="19"/>
        </w:rPr>
        <w:t>823dc31303ae8d3c8c7b7610e8b6f8fcf8a297f5db240bd3a8c518989a3efca8</w:t>
      </w:r>
      <w:r>
        <w:rPr>
          <w:rFonts w:ascii="Calibri" w:hAnsi="Calibri" w:eastAsia="Yu Gothic"/>
        </w:rPr>
        <w:t xml:space="preserve"> である。</w:t>
      </w:r>
    </w:p>
    <w:p>
      <w:pPr>
        <w:pStyle w:val="Reproducibility"/>
        <w:jc w:val="left"/>
      </w:pPr>
      <w:r>
        <w:rPr>
          <w:rFonts w:ascii="Calibri" w:hAnsi="Calibri" w:eastAsia="Yu Gothic"/>
        </w:rPr>
        <w:t xml:space="preserve">EXP-2026-016は、零結合task積則、transported certificateのtask下界、transported–directional–global chain、feature有限性、component MAE 0.03以下、Spearman 0.75以上、global minus componentおよびproduct-only minus component MAEのseed bootstrap区間下限0.01、0.002以上、という8実質判定と、それらのaggregateを固定した。構造gate通過と固定model hash一致もtask実行前提とし、順位相関のbaseline優位は登録していない。Confirmation manifestは </w:t>
      </w:r>
      <w:r>
        <w:rPr>
          <w:rFonts w:ascii="Consolas" w:hAnsi="Consolas" w:eastAsia="Yu Gothic"/>
          <w:sz w:val="19"/>
        </w:rPr>
        <w:t>f013d7f40c2e2dd146fce6d61ea5d95288b3b8b0892b4413ea8c381817ebc170</w:t>
      </w:r>
      <w:r>
        <w:rPr>
          <w:rFonts w:ascii="Calibri" w:hAnsi="Calibri" w:eastAsia="Yu Gothic"/>
        </w:rPr>
        <w:t xml:space="preserve">、固定model SHA-256は </w:t>
      </w:r>
      <w:r>
        <w:rPr>
          <w:rFonts w:ascii="Consolas" w:hAnsi="Consolas" w:eastAsia="Yu Gothic"/>
          <w:sz w:val="19"/>
        </w:rPr>
        <w:t>db0b50a648fb085ca687922a531fab5482af2a134bd01eefc3efe3dd85675a01</w:t>
      </w:r>
      <w:r>
        <w:rPr>
          <w:rFonts w:ascii="Calibri" w:hAnsi="Calibri" w:eastAsia="Yu Gothic"/>
        </w:rPr>
        <w:t xml:space="preserve"> である。</w:t>
      </w:r>
    </w:p>
    <w:p>
      <w:r>
        <w:rPr>
          <w:rFonts w:ascii="Calibri" w:hAnsi="Calibri" w:eastAsia="Yu Gothic"/>
        </w:rPr>
        <w:t>EXP-2026-017は分割回復、oracle–inferred同値、零結合task積則、因子化certificateの直積列挙一致、transported下界、certificate chain、feature有限性、局所16対全系128の計算量削減を8理論・構造判定とした。経験判定はcomponent MAE 0.05以下、Spearman 0.60以上、global minus componentおよびproduct-only minus component MAEのseed bootstrap 10,000回区間下限0.005、0以上である。</w:t>
      </w:r>
    </w:p>
    <w:p>
      <w:r>
        <w:rPr>
          <w:rFonts w:ascii="Calibri" w:hAnsi="Calibri" w:eastAsia="Yu Gothic"/>
        </w:rPr>
        <w:t xml:space="preserve">Manifestは </w:t>
      </w:r>
      <w:r>
        <w:rPr>
          <w:rFonts w:ascii="Consolas" w:hAnsi="Consolas" w:eastAsia="Yu Gothic"/>
          <w:sz w:val="19"/>
        </w:rPr>
        <w:t>ee21b3bb6962dc3c483f194d8684217a6177d6e86fbea00343e14582543329a0</w:t>
      </w:r>
      <w:r>
        <w:rPr>
          <w:rFonts w:ascii="Calibri" w:hAnsi="Calibri" w:eastAsia="Yu Gothic"/>
        </w:rPr>
        <w:t>、固定model hashはEXP-2026-016と同一である。</w:t>
      </w:r>
    </w:p>
    <w:p>
      <w:pPr>
        <w:pStyle w:val="Reproducibility"/>
        <w:jc w:val="left"/>
      </w:pPr>
      <w:r>
        <w:rPr>
          <w:rFonts w:ascii="Calibri" w:hAnsi="Calibri" w:eastAsia="Yu Gothic"/>
        </w:rPr>
        <w:t xml:space="preserve">EXP-2026-018はbase分割回復、正の有限半径、pair-affinityのLipschitz上限、半径未満の完全回復、pair disagreement 0、等号を保証へ含めないstrict boundary、task-free、構造class重複なしの8判定を固定した。半径外の回復率にはdevelopment後も閾値を追加しなかった。Confirmation manifestは </w:t>
      </w:r>
      <w:r>
        <w:rPr>
          <w:rFonts w:ascii="Consolas" w:hAnsi="Consolas" w:eastAsia="Yu Gothic"/>
          <w:sz w:val="19"/>
        </w:rPr>
        <w:t>7583c4c5e500b60d504462b263c8e056139254eec18f1d474fd890fcac3b7110</w:t>
      </w:r>
      <w:r>
        <w:rPr>
          <w:rFonts w:ascii="Calibri" w:hAnsi="Calibri" w:eastAsia="Yu Gothic"/>
        </w:rPr>
        <w:t xml:space="preserve"> である。</w:t>
      </w:r>
    </w:p>
    <w:p>
      <w:pPr>
        <w:pStyle w:val="Heading1"/>
      </w:pPr>
      <w:r>
        <w:t>5. 結果</w:t>
      </w:r>
    </w:p>
    <w:p>
      <w:pPr>
        <w:pStyle w:val="Heading2"/>
      </w:pPr>
      <w:r>
        <w:t>5.1 Raw countとrobust repertoireの分離</w:t>
      </w:r>
    </w:p>
    <w:p>
      <w:r>
        <w:rPr>
          <w:rFonts w:ascii="Calibri" w:hAnsi="Calibri" w:eastAsia="Yu Gothic"/>
        </w:rPr>
        <w:t>EXP-2026-008では、未使用30 seedの両群でraw autonomous countが16だった。一方、認証robust countはcoupling 0.04で16.0、coupling 0.07で10.2となり、対応差は5.8、95%区間は[5.2667, 6.2667]だった。全認証boxのsafe外乱保持率と1.1倍boundary witness escape率は1だった。</w:t>
      </w:r>
    </w:p>
    <w:p>
      <w:pPr>
        <w:pStyle w:val="Heading2"/>
      </w:pPr>
      <w:r>
        <w:t>5.2 単一familyでのtask接続</w:t>
      </w:r>
    </w:p>
    <w:p>
      <w:r>
        <w:rPr>
          <w:rFonts w:ascii="Calibri" w:hAnsi="Calibri" w:eastAsia="Yu Gothic"/>
        </w:rPr>
        <w:t>EXP-2026-009では全confirmation条件のraw countが16だった。外乱0.08でcertified robust fractionとtask retentionのSpearmanは0.8823、未知seed MAEは0.0456だった。Raw-count baseline MAEは0.1010で、raw minus robustの誤差差は0.0554 [0.0474, 0.0647]だった。</w:t>
      </w:r>
    </w:p>
    <w:p>
      <w:r>
        <w:rPr>
          <w:rFonts w:ascii="Calibri" w:hAnsi="Calibri" w:eastAsia="Yu Gothic"/>
        </w:rPr>
        <w:t>外乱0.16ではmean marginとtask retentionのSpearmanは0.9347、未知seed MAEは0.0368だった。Raw-count baseline MAEは0.1214で、誤差差は0.0846 [0.0742, 0.0955]だった。全61,440 challengeでcertificate下界違反はなかった。</w:t>
      </w:r>
    </w:p>
    <w:p>
      <w:pPr>
        <w:pStyle w:val="Heading2"/>
      </w:pPr>
      <w:r>
        <w:t>5.3 4 familyでの外的妥当性</w:t>
      </w:r>
    </w:p>
    <w:p>
      <w:r>
        <w:rPr>
          <w:rFonts w:ascii="Calibri" w:hAnsi="Calibri" w:eastAsia="Yu Gothic"/>
        </w:rPr>
        <w:t>EXP-2026-010の事前登録4判定はすべて成立した。全480 network条件でraw countは16、全122,880 challengeでcertificate下界違反は0だった。</w:t>
      </w:r>
    </w:p>
    <w:tbl>
      <w:tblPr>
        <w:tblW w:type="dxa" w:w="9360"/>
        <w:tblLayout w:type="fixed"/>
        <w:tblLook w:firstColumn="1" w:firstRow="1" w:lastColumn="0" w:lastRow="0" w:noHBand="0" w:noVBand="1" w:val="04A0"/>
        <w:tblInd w:w="120" w:type="dxa"/>
        <w:tblLayout w:type="fixed"/>
        <w:tblBorders>
          <w:top w:val="single" w:sz="4" w:color="CBD2DA"/>
          <w:left w:val="single" w:sz="4" w:color="CBD2DA"/>
          <w:bottom w:val="single" w:sz="4" w:color="CBD2DA"/>
          <w:right w:val="single" w:sz="4" w:color="CBD2DA"/>
          <w:insideH w:val="single" w:sz="4" w:color="CBD2DA"/>
          <w:insideV w:val="single" w:sz="4" w:color="CBD2DA"/>
        </w:tblBorders>
        <w:tblCellMar>
          <w:top w:w="80" w:type="dxa"/>
          <w:bottom w:w="80" w:type="dxa"/>
          <w:start w:w="120" w:type="dxa"/>
          <w:end w:w="120" w:type="dxa"/>
        </w:tblCellMar>
      </w:tblPr>
      <w:tblGrid>
        <w:gridCol w:w="2800"/>
        <w:gridCol w:w="1640"/>
        <w:gridCol w:w="1640"/>
        <w:gridCol w:w="1640"/>
        <w:gridCol w:w="1640"/>
      </w:tblGrid>
      <w:tr>
        <w:trPr>
          <w:tblHeader w:val="true"/>
        </w:trPr>
        <w:tc>
          <w:tcPr>
            <w:tcW w:type="dxa" w:w="2800"/>
            <w:vAlign w:val="center"/>
            <w:shd w:fill="F4F6F9"/>
          </w:tcPr>
          <w:p>
            <w:pPr>
              <w:pStyle w:val="ScientificTableText"/>
              <w:jc w:val="left"/>
            </w:pPr>
            <w:r>
              <w:rPr>
                <w:rFonts w:ascii="Calibri" w:hAnsi="Calibri" w:eastAsia="Yu Gothic"/>
                <w:b/>
              </w:rPr>
              <w:t>Family</w:t>
            </w:r>
          </w:p>
        </w:tc>
        <w:tc>
          <w:tcPr>
            <w:tcW w:type="dxa" w:w="1640"/>
            <w:vAlign w:val="center"/>
            <w:shd w:fill="F4F6F9"/>
          </w:tcPr>
          <w:p>
            <w:pPr>
              <w:pStyle w:val="ScientificTableText"/>
              <w:jc w:val="center"/>
            </w:pPr>
            <w:r>
              <w:rPr>
                <w:rFonts w:ascii="Calibri" w:hAnsi="Calibri" w:eastAsia="Yu Gothic"/>
                <w:b/>
              </w:rPr>
              <w:t>Mean-margin Spearman</w:t>
            </w:r>
          </w:p>
        </w:tc>
        <w:tc>
          <w:tcPr>
            <w:tcW w:type="dxa" w:w="1640"/>
            <w:vAlign w:val="center"/>
            <w:shd w:fill="F4F6F9"/>
          </w:tcPr>
          <w:p>
            <w:pPr>
              <w:pStyle w:val="ScientificTableText"/>
              <w:jc w:val="center"/>
            </w:pPr>
            <w:r>
              <w:rPr>
                <w:rFonts w:ascii="Calibri" w:hAnsi="Calibri" w:eastAsia="Yu Gothic"/>
                <w:b/>
              </w:rPr>
              <w:t>Margin MAE</w:t>
            </w:r>
          </w:p>
        </w:tc>
        <w:tc>
          <w:tcPr>
            <w:tcW w:type="dxa" w:w="1640"/>
            <w:vAlign w:val="center"/>
            <w:shd w:fill="F4F6F9"/>
          </w:tcPr>
          <w:p>
            <w:pPr>
              <w:pStyle w:val="ScientificTableText"/>
              <w:jc w:val="center"/>
            </w:pPr>
            <w:r>
              <w:rPr>
                <w:rFonts w:ascii="Calibri" w:hAnsi="Calibri" w:eastAsia="Yu Gothic"/>
                <w:b/>
              </w:rPr>
              <w:t>Coupling MAE</w:t>
            </w:r>
          </w:p>
        </w:tc>
        <w:tc>
          <w:tcPr>
            <w:tcW w:type="dxa" w:w="1640"/>
            <w:vAlign w:val="center"/>
            <w:shd w:fill="F4F6F9"/>
          </w:tcPr>
          <w:p>
            <w:pPr>
              <w:pStyle w:val="ScientificTableText"/>
              <w:jc w:val="center"/>
            </w:pPr>
            <w:r>
              <w:rPr>
                <w:rFonts w:ascii="Calibri" w:hAnsi="Calibri" w:eastAsia="Yu Gothic"/>
                <w:b/>
              </w:rPr>
              <w:t>Raw-count MAE</w:t>
            </w:r>
          </w:p>
        </w:tc>
      </w:tr>
      <w:tr>
        <w:tc>
          <w:tcPr>
            <w:tcW w:type="dxa" w:w="2800"/>
            <w:vAlign w:val="center"/>
          </w:tcPr>
          <w:p>
            <w:pPr>
              <w:pStyle w:val="ScientificTableText"/>
              <w:jc w:val="left"/>
            </w:pPr>
            <w:r>
              <w:rPr>
                <w:rFonts w:ascii="Calibri" w:hAnsi="Calibri" w:eastAsia="Yu Gothic"/>
              </w:rPr>
              <w:t>Dense symmetric</w:t>
            </w:r>
          </w:p>
        </w:tc>
        <w:tc>
          <w:tcPr>
            <w:tcW w:type="dxa" w:w="1640"/>
            <w:vAlign w:val="center"/>
          </w:tcPr>
          <w:p>
            <w:pPr>
              <w:pStyle w:val="ScientificTableText"/>
              <w:jc w:val="center"/>
            </w:pPr>
            <w:r>
              <w:rPr>
                <w:rFonts w:ascii="Calibri" w:hAnsi="Calibri" w:eastAsia="Yu Gothic"/>
              </w:rPr>
              <w:t>0.8933</w:t>
            </w:r>
          </w:p>
        </w:tc>
        <w:tc>
          <w:tcPr>
            <w:tcW w:type="dxa" w:w="1640"/>
            <w:vAlign w:val="center"/>
          </w:tcPr>
          <w:p>
            <w:pPr>
              <w:pStyle w:val="ScientificTableText"/>
              <w:jc w:val="center"/>
            </w:pPr>
            <w:r>
              <w:rPr>
                <w:rFonts w:ascii="Calibri" w:hAnsi="Calibri" w:eastAsia="Yu Gothic"/>
              </w:rPr>
              <w:t>0.0424</w:t>
            </w:r>
          </w:p>
        </w:tc>
        <w:tc>
          <w:tcPr>
            <w:tcW w:type="dxa" w:w="1640"/>
            <w:vAlign w:val="center"/>
          </w:tcPr>
          <w:p>
            <w:pPr>
              <w:pStyle w:val="ScientificTableText"/>
              <w:jc w:val="center"/>
            </w:pPr>
            <w:r>
              <w:rPr>
                <w:rFonts w:ascii="Calibri" w:hAnsi="Calibri" w:eastAsia="Yu Gothic"/>
              </w:rPr>
              <w:t>0.0728</w:t>
            </w:r>
          </w:p>
        </w:tc>
        <w:tc>
          <w:tcPr>
            <w:tcW w:type="dxa" w:w="1640"/>
            <w:vAlign w:val="center"/>
          </w:tcPr>
          <w:p>
            <w:pPr>
              <w:pStyle w:val="ScientificTableText"/>
              <w:jc w:val="center"/>
            </w:pPr>
            <w:r>
              <w:rPr>
                <w:rFonts w:ascii="Calibri" w:hAnsi="Calibri" w:eastAsia="Yu Gothic"/>
              </w:rPr>
              <w:t>0.1311</w:t>
            </w:r>
          </w:p>
        </w:tc>
      </w:tr>
      <w:tr>
        <w:tc>
          <w:tcPr>
            <w:tcW w:type="dxa" w:w="2800"/>
            <w:vAlign w:val="center"/>
          </w:tcPr>
          <w:p>
            <w:pPr>
              <w:pStyle w:val="ScientificTableText"/>
              <w:jc w:val="left"/>
            </w:pPr>
            <w:r>
              <w:rPr>
                <w:rFonts w:ascii="Calibri" w:hAnsi="Calibri" w:eastAsia="Yu Gothic"/>
              </w:rPr>
              <w:t>Sparse symmetric</w:t>
            </w:r>
          </w:p>
        </w:tc>
        <w:tc>
          <w:tcPr>
            <w:tcW w:type="dxa" w:w="1640"/>
            <w:vAlign w:val="center"/>
          </w:tcPr>
          <w:p>
            <w:pPr>
              <w:pStyle w:val="ScientificTableText"/>
              <w:jc w:val="center"/>
            </w:pPr>
            <w:r>
              <w:rPr>
                <w:rFonts w:ascii="Calibri" w:hAnsi="Calibri" w:eastAsia="Yu Gothic"/>
              </w:rPr>
              <w:t>0.9244</w:t>
            </w:r>
          </w:p>
        </w:tc>
        <w:tc>
          <w:tcPr>
            <w:tcW w:type="dxa" w:w="1640"/>
            <w:vAlign w:val="center"/>
          </w:tcPr>
          <w:p>
            <w:pPr>
              <w:pStyle w:val="ScientificTableText"/>
              <w:jc w:val="center"/>
            </w:pPr>
            <w:r>
              <w:rPr>
                <w:rFonts w:ascii="Calibri" w:hAnsi="Calibri" w:eastAsia="Yu Gothic"/>
              </w:rPr>
              <w:t>0.0788</w:t>
            </w:r>
          </w:p>
        </w:tc>
        <w:tc>
          <w:tcPr>
            <w:tcW w:type="dxa" w:w="1640"/>
            <w:vAlign w:val="center"/>
          </w:tcPr>
          <w:p>
            <w:pPr>
              <w:pStyle w:val="ScientificTableText"/>
              <w:jc w:val="center"/>
            </w:pPr>
            <w:r>
              <w:rPr>
                <w:rFonts w:ascii="Calibri" w:hAnsi="Calibri" w:eastAsia="Yu Gothic"/>
              </w:rPr>
              <w:t>0.0790</w:t>
            </w:r>
          </w:p>
        </w:tc>
        <w:tc>
          <w:tcPr>
            <w:tcW w:type="dxa" w:w="1640"/>
            <w:vAlign w:val="center"/>
          </w:tcPr>
          <w:p>
            <w:pPr>
              <w:pStyle w:val="ScientificTableText"/>
              <w:jc w:val="center"/>
            </w:pPr>
            <w:r>
              <w:rPr>
                <w:rFonts w:ascii="Calibri" w:hAnsi="Calibri" w:eastAsia="Yu Gothic"/>
              </w:rPr>
              <w:t>0.1325</w:t>
            </w:r>
          </w:p>
        </w:tc>
      </w:tr>
      <w:tr>
        <w:tc>
          <w:tcPr>
            <w:tcW w:type="dxa" w:w="2800"/>
            <w:vAlign w:val="center"/>
          </w:tcPr>
          <w:p>
            <w:pPr>
              <w:pStyle w:val="ScientificTableText"/>
              <w:jc w:val="left"/>
            </w:pPr>
            <w:r>
              <w:rPr>
                <w:rFonts w:ascii="Calibri" w:hAnsi="Calibri" w:eastAsia="Yu Gothic"/>
              </w:rPr>
              <w:t>Asymmetric dense</w:t>
            </w:r>
          </w:p>
        </w:tc>
        <w:tc>
          <w:tcPr>
            <w:tcW w:type="dxa" w:w="1640"/>
            <w:vAlign w:val="center"/>
          </w:tcPr>
          <w:p>
            <w:pPr>
              <w:pStyle w:val="ScientificTableText"/>
              <w:jc w:val="center"/>
            </w:pPr>
            <w:r>
              <w:rPr>
                <w:rFonts w:ascii="Calibri" w:hAnsi="Calibri" w:eastAsia="Yu Gothic"/>
              </w:rPr>
              <w:t>0.9557</w:t>
            </w:r>
          </w:p>
        </w:tc>
        <w:tc>
          <w:tcPr>
            <w:tcW w:type="dxa" w:w="1640"/>
            <w:vAlign w:val="center"/>
          </w:tcPr>
          <w:p>
            <w:pPr>
              <w:pStyle w:val="ScientificTableText"/>
              <w:jc w:val="center"/>
            </w:pPr>
            <w:r>
              <w:rPr>
                <w:rFonts w:ascii="Calibri" w:hAnsi="Calibri" w:eastAsia="Yu Gothic"/>
              </w:rPr>
              <w:t>0.0399</w:t>
            </w:r>
          </w:p>
        </w:tc>
        <w:tc>
          <w:tcPr>
            <w:tcW w:type="dxa" w:w="1640"/>
            <w:vAlign w:val="center"/>
          </w:tcPr>
          <w:p>
            <w:pPr>
              <w:pStyle w:val="ScientificTableText"/>
              <w:jc w:val="center"/>
            </w:pPr>
            <w:r>
              <w:rPr>
                <w:rFonts w:ascii="Calibri" w:hAnsi="Calibri" w:eastAsia="Yu Gothic"/>
              </w:rPr>
              <w:t>0.0398</w:t>
            </w:r>
          </w:p>
        </w:tc>
        <w:tc>
          <w:tcPr>
            <w:tcW w:type="dxa" w:w="1640"/>
            <w:vAlign w:val="center"/>
          </w:tcPr>
          <w:p>
            <w:pPr>
              <w:pStyle w:val="ScientificTableText"/>
              <w:jc w:val="center"/>
            </w:pPr>
            <w:r>
              <w:rPr>
                <w:rFonts w:ascii="Calibri" w:hAnsi="Calibri" w:eastAsia="Yu Gothic"/>
              </w:rPr>
              <w:t>0.1522</w:t>
            </w:r>
          </w:p>
        </w:tc>
      </w:tr>
      <w:tr>
        <w:tc>
          <w:tcPr>
            <w:tcW w:type="dxa" w:w="2800"/>
            <w:vAlign w:val="center"/>
          </w:tcPr>
          <w:p>
            <w:pPr>
              <w:pStyle w:val="ScientificTableText"/>
              <w:jc w:val="left"/>
            </w:pPr>
            <w:r>
              <w:rPr>
                <w:rFonts w:ascii="Calibri" w:hAnsi="Calibri" w:eastAsia="Yu Gothic"/>
              </w:rPr>
              <w:t>Feedforward non-normal</w:t>
            </w:r>
          </w:p>
        </w:tc>
        <w:tc>
          <w:tcPr>
            <w:tcW w:type="dxa" w:w="1640"/>
            <w:vAlign w:val="center"/>
          </w:tcPr>
          <w:p>
            <w:pPr>
              <w:pStyle w:val="ScientificTableText"/>
              <w:jc w:val="center"/>
            </w:pPr>
            <w:r>
              <w:rPr>
                <w:rFonts w:ascii="Calibri" w:hAnsi="Calibri" w:eastAsia="Yu Gothic"/>
              </w:rPr>
              <w:t>0.9771</w:t>
            </w:r>
          </w:p>
        </w:tc>
        <w:tc>
          <w:tcPr>
            <w:tcW w:type="dxa" w:w="1640"/>
            <w:vAlign w:val="center"/>
          </w:tcPr>
          <w:p>
            <w:pPr>
              <w:pStyle w:val="ScientificTableText"/>
              <w:jc w:val="center"/>
            </w:pPr>
            <w:r>
              <w:rPr>
                <w:rFonts w:ascii="Calibri" w:hAnsi="Calibri" w:eastAsia="Yu Gothic"/>
              </w:rPr>
              <w:t>0.0285</w:t>
            </w:r>
          </w:p>
        </w:tc>
        <w:tc>
          <w:tcPr>
            <w:tcW w:type="dxa" w:w="1640"/>
            <w:vAlign w:val="center"/>
          </w:tcPr>
          <w:p>
            <w:pPr>
              <w:pStyle w:val="ScientificTableText"/>
              <w:jc w:val="center"/>
            </w:pPr>
            <w:r>
              <w:rPr>
                <w:rFonts w:ascii="Calibri" w:hAnsi="Calibri" w:eastAsia="Yu Gothic"/>
              </w:rPr>
              <w:t>0.0299</w:t>
            </w:r>
          </w:p>
        </w:tc>
        <w:tc>
          <w:tcPr>
            <w:tcW w:type="dxa" w:w="1640"/>
            <w:vAlign w:val="center"/>
          </w:tcPr>
          <w:p>
            <w:pPr>
              <w:pStyle w:val="ScientificTableText"/>
              <w:jc w:val="center"/>
            </w:pPr>
            <w:r>
              <w:rPr>
                <w:rFonts w:ascii="Calibri" w:hAnsi="Calibri" w:eastAsia="Yu Gothic"/>
              </w:rPr>
              <w:t>0.1143</w:t>
            </w:r>
          </w:p>
        </w:tc>
      </w:tr>
    </w:tbl>
    <w:p>
      <w:pPr>
        <w:spacing w:before="0" w:after="40"/>
      </w:pPr>
    </w:p>
    <w:p>
      <w:r>
        <w:rPr>
          <w:rFonts w:ascii="Calibri" w:hAnsi="Calibri" w:eastAsia="Yu Gothic"/>
        </w:rPr>
        <w:t>Family別相関は0.8933–0.9771であり、事前閾値0.75をすべて上回った。Seed単位pooled誤差差を次に示す。</w:t>
      </w:r>
    </w:p>
    <w:tbl>
      <w:tblPr>
        <w:tblW w:type="dxa" w:w="9360"/>
        <w:tblLayout w:type="fixed"/>
        <w:tblLook w:firstColumn="1" w:firstRow="1" w:lastColumn="0" w:lastRow="0" w:noHBand="0" w:noVBand="1" w:val="04A0"/>
        <w:tblInd w:w="120" w:type="dxa"/>
        <w:tblLayout w:type="fixed"/>
        <w:tblBorders>
          <w:top w:val="single" w:sz="4" w:color="CBD2DA"/>
          <w:left w:val="single" w:sz="4" w:color="CBD2DA"/>
          <w:bottom w:val="single" w:sz="4" w:color="CBD2DA"/>
          <w:right w:val="single" w:sz="4" w:color="CBD2DA"/>
          <w:insideH w:val="single" w:sz="4" w:color="CBD2DA"/>
          <w:insideV w:val="single" w:sz="4" w:color="CBD2DA"/>
        </w:tblBorders>
        <w:tblCellMar>
          <w:top w:w="80" w:type="dxa"/>
          <w:bottom w:w="80" w:type="dxa"/>
          <w:start w:w="120" w:type="dxa"/>
          <w:end w:w="120" w:type="dxa"/>
        </w:tblCellMar>
      </w:tblPr>
      <w:tblGrid>
        <w:gridCol w:w="2350"/>
        <w:gridCol w:w="2850"/>
        <w:gridCol w:w="2100"/>
        <w:gridCol w:w="2060"/>
      </w:tblGrid>
      <w:tr>
        <w:trPr>
          <w:tblHeader w:val="true"/>
        </w:trPr>
        <w:tc>
          <w:tcPr>
            <w:tcW w:type="dxa" w:w="2350"/>
            <w:vAlign w:val="center"/>
            <w:shd w:fill="F4F6F9"/>
          </w:tcPr>
          <w:p>
            <w:pPr>
              <w:pStyle w:val="ScientificTableText"/>
              <w:jc w:val="left"/>
            </w:pPr>
            <w:r>
              <w:rPr>
                <w:rFonts w:ascii="Calibri" w:hAnsi="Calibri" w:eastAsia="Yu Gothic"/>
                <w:b/>
              </w:rPr>
              <w:t>比較</w:t>
            </w:r>
          </w:p>
        </w:tc>
        <w:tc>
          <w:tcPr>
            <w:tcW w:type="dxa" w:w="2850"/>
            <w:vAlign w:val="center"/>
            <w:shd w:fill="F4F6F9"/>
          </w:tcPr>
          <w:p>
            <w:pPr>
              <w:pStyle w:val="ScientificTableText"/>
              <w:jc w:val="center"/>
            </w:pPr>
            <w:r>
              <w:rPr>
                <w:rFonts w:ascii="Calibri" w:hAnsi="Calibri" w:eastAsia="Yu Gothic"/>
                <w:b/>
              </w:rPr>
              <w:t>MAE差</w:t>
            </w:r>
          </w:p>
        </w:tc>
        <w:tc>
          <w:tcPr>
            <w:tcW w:type="dxa" w:w="2100"/>
            <w:vAlign w:val="center"/>
            <w:shd w:fill="F4F6F9"/>
          </w:tcPr>
          <w:p>
            <w:pPr>
              <w:pStyle w:val="ScientificTableText"/>
              <w:jc w:val="center"/>
            </w:pPr>
            <w:r>
              <w:rPr>
                <w:rFonts w:ascii="Calibri" w:hAnsi="Calibri" w:eastAsia="Yu Gothic"/>
                <w:b/>
              </w:rPr>
              <w:t>95%区間</w:t>
            </w:r>
          </w:p>
        </w:tc>
        <w:tc>
          <w:tcPr>
            <w:tcW w:type="dxa" w:w="2060"/>
            <w:vAlign w:val="center"/>
            <w:shd w:fill="F4F6F9"/>
          </w:tcPr>
          <w:p>
            <w:pPr>
              <w:pStyle w:val="ScientificTableText"/>
              <w:jc w:val="center"/>
            </w:pPr>
            <w:r>
              <w:rPr>
                <w:rFonts w:ascii="Calibri" w:hAnsi="Calibri" w:eastAsia="Yu Gothic"/>
                <w:b/>
              </w:rPr>
              <w:t>登録上の位置付け</w:t>
            </w:r>
          </w:p>
        </w:tc>
      </w:tr>
      <w:tr>
        <w:tc>
          <w:tcPr>
            <w:tcW w:type="dxa" w:w="2350"/>
            <w:vAlign w:val="center"/>
          </w:tcPr>
          <w:p>
            <w:pPr>
              <w:pStyle w:val="ScientificTableText"/>
              <w:jc w:val="left"/>
            </w:pPr>
            <w:r>
              <w:rPr>
                <w:rFonts w:ascii="Calibri" w:hAnsi="Calibri" w:eastAsia="Yu Gothic"/>
              </w:rPr>
              <w:t>Raw count minus margin</w:t>
            </w:r>
          </w:p>
        </w:tc>
        <w:tc>
          <w:tcPr>
            <w:tcW w:type="dxa" w:w="2850"/>
            <w:vAlign w:val="center"/>
          </w:tcPr>
          <w:p>
            <w:pPr>
              <w:pStyle w:val="ScientificTableText"/>
              <w:jc w:val="center"/>
            </w:pPr>
            <w:r>
              <w:rPr>
                <w:rFonts w:ascii="Calibri" w:hAnsi="Calibri" w:eastAsia="Yu Gothic"/>
              </w:rPr>
              <w:t>0.0851</w:t>
            </w:r>
          </w:p>
        </w:tc>
        <w:tc>
          <w:tcPr>
            <w:tcW w:type="dxa" w:w="2100"/>
            <w:vAlign w:val="center"/>
          </w:tcPr>
          <w:p>
            <w:pPr>
              <w:pStyle w:val="ScientificTableText"/>
              <w:jc w:val="center"/>
            </w:pPr>
            <w:r>
              <w:rPr>
                <w:rFonts w:ascii="Calibri" w:hAnsi="Calibri" w:eastAsia="Yu Gothic"/>
              </w:rPr>
              <w:t>[0.0828, 0.0873]</w:t>
            </w:r>
          </w:p>
        </w:tc>
        <w:tc>
          <w:tcPr>
            <w:tcW w:type="dxa" w:w="2060"/>
            <w:vAlign w:val="center"/>
          </w:tcPr>
          <w:p>
            <w:pPr>
              <w:pStyle w:val="ScientificTableText"/>
              <w:jc w:val="center"/>
            </w:pPr>
            <w:r>
              <w:rPr>
                <w:rFonts w:ascii="Calibri" w:hAnsi="Calibri" w:eastAsia="Yu Gothic"/>
              </w:rPr>
              <w:t>Primary</w:t>
            </w:r>
          </w:p>
        </w:tc>
      </w:tr>
      <w:tr>
        <w:tc>
          <w:tcPr>
            <w:tcW w:type="dxa" w:w="2350"/>
            <w:vAlign w:val="center"/>
          </w:tcPr>
          <w:p>
            <w:pPr>
              <w:pStyle w:val="ScientificTableText"/>
              <w:jc w:val="left"/>
            </w:pPr>
            <w:r>
              <w:rPr>
                <w:rFonts w:ascii="Calibri" w:hAnsi="Calibri" w:eastAsia="Yu Gothic"/>
              </w:rPr>
              <w:t>Coupling minus margin</w:t>
            </w:r>
          </w:p>
        </w:tc>
        <w:tc>
          <w:tcPr>
            <w:tcW w:type="dxa" w:w="2850"/>
            <w:vAlign w:val="center"/>
          </w:tcPr>
          <w:p>
            <w:pPr>
              <w:pStyle w:val="ScientificTableText"/>
              <w:jc w:val="center"/>
            </w:pPr>
            <w:r>
              <w:rPr>
                <w:rFonts w:ascii="Calibri" w:hAnsi="Calibri" w:eastAsia="Yu Gothic"/>
              </w:rPr>
              <w:t>0.0080</w:t>
            </w:r>
          </w:p>
        </w:tc>
        <w:tc>
          <w:tcPr>
            <w:tcW w:type="dxa" w:w="2100"/>
            <w:vAlign w:val="center"/>
          </w:tcPr>
          <w:p>
            <w:pPr>
              <w:pStyle w:val="ScientificTableText"/>
              <w:jc w:val="center"/>
            </w:pPr>
            <w:r>
              <w:rPr>
                <w:rFonts w:ascii="Calibri" w:hAnsi="Calibri" w:eastAsia="Yu Gothic"/>
              </w:rPr>
              <w:t>[0.0030, 0.0133]</w:t>
            </w:r>
          </w:p>
        </w:tc>
        <w:tc>
          <w:tcPr>
            <w:tcW w:type="dxa" w:w="2060"/>
            <w:vAlign w:val="center"/>
          </w:tcPr>
          <w:p>
            <w:pPr>
              <w:pStyle w:val="ScientificTableText"/>
              <w:jc w:val="center"/>
            </w:pPr>
            <w:r>
              <w:rPr>
                <w:rFonts w:ascii="Calibri" w:hAnsi="Calibri" w:eastAsia="Yu Gothic"/>
              </w:rPr>
              <w:t>Secondary</w:t>
            </w:r>
          </w:p>
        </w:tc>
      </w:tr>
      <w:tr>
        <w:tc>
          <w:tcPr>
            <w:tcW w:type="dxa" w:w="2350"/>
            <w:vAlign w:val="center"/>
          </w:tcPr>
          <w:p>
            <w:pPr>
              <w:pStyle w:val="ScientificTableText"/>
              <w:jc w:val="left"/>
            </w:pPr>
            <w:r>
              <w:rPr>
                <w:rFonts w:ascii="Calibri" w:hAnsi="Calibri" w:eastAsia="Yu Gothic"/>
              </w:rPr>
              <w:t>Local Jacobian minus margin</w:t>
            </w:r>
          </w:p>
        </w:tc>
        <w:tc>
          <w:tcPr>
            <w:tcW w:type="dxa" w:w="2850"/>
            <w:vAlign w:val="center"/>
          </w:tcPr>
          <w:p>
            <w:pPr>
              <w:pStyle w:val="ScientificTableText"/>
              <w:jc w:val="center"/>
            </w:pPr>
            <w:r>
              <w:rPr>
                <w:rFonts w:ascii="Calibri" w:hAnsi="Calibri" w:eastAsia="Yu Gothic"/>
              </w:rPr>
              <w:t>0.0051</w:t>
            </w:r>
          </w:p>
        </w:tc>
        <w:tc>
          <w:tcPr>
            <w:tcW w:type="dxa" w:w="2100"/>
            <w:vAlign w:val="center"/>
          </w:tcPr>
          <w:p>
            <w:pPr>
              <w:pStyle w:val="ScientificTableText"/>
              <w:jc w:val="center"/>
            </w:pPr>
            <w:r>
              <w:rPr>
                <w:rFonts w:ascii="Calibri" w:hAnsi="Calibri" w:eastAsia="Yu Gothic"/>
              </w:rPr>
              <w:t>[0.0020, 0.0085]</w:t>
            </w:r>
          </w:p>
        </w:tc>
        <w:tc>
          <w:tcPr>
            <w:tcW w:type="dxa" w:w="2060"/>
            <w:vAlign w:val="center"/>
          </w:tcPr>
          <w:p>
            <w:pPr>
              <w:pStyle w:val="ScientificTableText"/>
              <w:jc w:val="center"/>
            </w:pPr>
            <w:r>
              <w:rPr>
                <w:rFonts w:ascii="Calibri" w:hAnsi="Calibri" w:eastAsia="Yu Gothic"/>
              </w:rPr>
              <w:t>Secondary</w:t>
            </w:r>
          </w:p>
        </w:tc>
      </w:tr>
    </w:tbl>
    <w:p>
      <w:pPr>
        <w:spacing w:before="0" w:after="40"/>
      </w:pPr>
    </w:p>
    <w:p>
      <w:r>
        <w:rPr>
          <w:rFonts w:ascii="Calibri" w:hAnsi="Calibri" w:eastAsia="Yu Gothic"/>
        </w:rPr>
        <w:t>Poolした平均ではmargin predictorが三baselineを上回った。一方、feedforward non-normal family内ではlocal Jacobian MAE 0.0223とminimum coordinate MAE 0.0228がmargin MAE 0.0285より小さかった。従ってmarginが全familyで全baselineを支配したとはいえない。</w:t>
      </w:r>
    </w:p>
    <w:p>
      <w:pPr>
        <w:pStyle w:val="Heading2"/>
      </w:pPr>
      <w:r>
        <w:t>5.4 Family・seed二重holdout</w:t>
      </w:r>
    </w:p>
    <w:p>
      <w:r>
        <w:rPr>
          <w:rFonts w:ascii="Calibri" w:hAnsi="Calibri" w:eastAsia="Yu Gothic"/>
        </w:rPr>
        <w:t>EXP-2026-011の事前登録5判定はすべて成立した。全480 confirmation条件でraw countは16、全122,880 challengeでcertificate下界違反は0だった。Robust pairの pooled MAEは0.0822、pooled Spearmanは0.7975だった。</w:t>
      </w:r>
    </w:p>
    <w:tbl>
      <w:tblPr>
        <w:tblW w:type="dxa" w:w="9360"/>
        <w:tblLayout w:type="fixed"/>
        <w:tblLook w:firstColumn="1" w:firstRow="1" w:lastColumn="0" w:lastRow="0" w:noHBand="0" w:noVBand="1" w:val="04A0"/>
        <w:tblInd w:w="120" w:type="dxa"/>
        <w:tblLayout w:type="fixed"/>
        <w:tblBorders>
          <w:top w:val="single" w:sz="4" w:color="CBD2DA"/>
          <w:left w:val="single" w:sz="4" w:color="CBD2DA"/>
          <w:bottom w:val="single" w:sz="4" w:color="CBD2DA"/>
          <w:right w:val="single" w:sz="4" w:color="CBD2DA"/>
          <w:insideH w:val="single" w:sz="4" w:color="CBD2DA"/>
          <w:insideV w:val="single" w:sz="4" w:color="CBD2DA"/>
        </w:tblBorders>
        <w:tblCellMar>
          <w:top w:w="80" w:type="dxa"/>
          <w:bottom w:w="80" w:type="dxa"/>
          <w:start w:w="120" w:type="dxa"/>
          <w:end w:w="120" w:type="dxa"/>
        </w:tblCellMar>
      </w:tblPr>
      <w:tblGrid>
        <w:gridCol w:w="4000"/>
        <w:gridCol w:w="1800"/>
        <w:gridCol w:w="3560"/>
      </w:tblGrid>
      <w:tr>
        <w:trPr>
          <w:tblHeader w:val="true"/>
        </w:trPr>
        <w:tc>
          <w:tcPr>
            <w:tcW w:type="dxa" w:w="4000"/>
            <w:vAlign w:val="center"/>
            <w:shd w:fill="F4F6F9"/>
          </w:tcPr>
          <w:p>
            <w:pPr>
              <w:pStyle w:val="ScientificTableText"/>
              <w:jc w:val="left"/>
            </w:pPr>
            <w:r>
              <w:rPr>
                <w:rFonts w:ascii="Calibri" w:hAnsi="Calibri" w:eastAsia="Yu Gothic"/>
                <w:b/>
              </w:rPr>
              <w:t>Held-out family</w:t>
            </w:r>
          </w:p>
        </w:tc>
        <w:tc>
          <w:tcPr>
            <w:tcW w:type="dxa" w:w="1800"/>
            <w:vAlign w:val="center"/>
            <w:shd w:fill="F4F6F9"/>
          </w:tcPr>
          <w:p>
            <w:pPr>
              <w:pStyle w:val="ScientificTableText"/>
              <w:jc w:val="center"/>
            </w:pPr>
            <w:r>
              <w:rPr>
                <w:rFonts w:ascii="Calibri" w:hAnsi="Calibri" w:eastAsia="Yu Gothic"/>
                <w:b/>
              </w:rPr>
              <w:t>Robust-pair Spearman</w:t>
            </w:r>
          </w:p>
        </w:tc>
        <w:tc>
          <w:tcPr>
            <w:tcW w:type="dxa" w:w="3560"/>
            <w:vAlign w:val="center"/>
            <w:shd w:fill="F4F6F9"/>
          </w:tcPr>
          <w:p>
            <w:pPr>
              <w:pStyle w:val="ScientificTableText"/>
              <w:jc w:val="center"/>
            </w:pPr>
            <w:r>
              <w:rPr>
                <w:rFonts w:ascii="Calibri" w:hAnsi="Calibri" w:eastAsia="Yu Gothic"/>
                <w:b/>
              </w:rPr>
              <w:t>Robust-pair MAE</w:t>
            </w:r>
          </w:p>
        </w:tc>
      </w:tr>
      <w:tr>
        <w:tc>
          <w:tcPr>
            <w:tcW w:type="dxa" w:w="4000"/>
            <w:vAlign w:val="center"/>
          </w:tcPr>
          <w:p>
            <w:pPr>
              <w:pStyle w:val="ScientificTableText"/>
              <w:jc w:val="left"/>
            </w:pPr>
            <w:r>
              <w:rPr>
                <w:rFonts w:ascii="Calibri" w:hAnsi="Calibri" w:eastAsia="Yu Gothic"/>
              </w:rPr>
              <w:t>Dense symmetric</w:t>
            </w:r>
          </w:p>
        </w:tc>
        <w:tc>
          <w:tcPr>
            <w:tcW w:type="dxa" w:w="1800"/>
            <w:vAlign w:val="center"/>
          </w:tcPr>
          <w:p>
            <w:pPr>
              <w:pStyle w:val="ScientificTableText"/>
              <w:jc w:val="center"/>
            </w:pPr>
            <w:r>
              <w:rPr>
                <w:rFonts w:ascii="Calibri" w:hAnsi="Calibri" w:eastAsia="Yu Gothic"/>
              </w:rPr>
              <w:t>0.9572</w:t>
            </w:r>
          </w:p>
        </w:tc>
        <w:tc>
          <w:tcPr>
            <w:tcW w:type="dxa" w:w="3560"/>
            <w:vAlign w:val="center"/>
          </w:tcPr>
          <w:p>
            <w:pPr>
              <w:pStyle w:val="ScientificTableText"/>
              <w:jc w:val="center"/>
            </w:pPr>
            <w:r>
              <w:rPr>
                <w:rFonts w:ascii="Calibri" w:hAnsi="Calibri" w:eastAsia="Yu Gothic"/>
              </w:rPr>
              <w:t>0.0537</w:t>
            </w:r>
          </w:p>
        </w:tc>
      </w:tr>
      <w:tr>
        <w:tc>
          <w:tcPr>
            <w:tcW w:type="dxa" w:w="4000"/>
            <w:vAlign w:val="center"/>
          </w:tcPr>
          <w:p>
            <w:pPr>
              <w:pStyle w:val="ScientificTableText"/>
              <w:jc w:val="left"/>
            </w:pPr>
            <w:r>
              <w:rPr>
                <w:rFonts w:ascii="Calibri" w:hAnsi="Calibri" w:eastAsia="Yu Gothic"/>
              </w:rPr>
              <w:t>Sparse symmetric</w:t>
            </w:r>
          </w:p>
        </w:tc>
        <w:tc>
          <w:tcPr>
            <w:tcW w:type="dxa" w:w="1800"/>
            <w:vAlign w:val="center"/>
          </w:tcPr>
          <w:p>
            <w:pPr>
              <w:pStyle w:val="ScientificTableText"/>
              <w:jc w:val="center"/>
            </w:pPr>
            <w:r>
              <w:rPr>
                <w:rFonts w:ascii="Calibri" w:hAnsi="Calibri" w:eastAsia="Yu Gothic"/>
              </w:rPr>
              <w:t>0.8225</w:t>
            </w:r>
          </w:p>
        </w:tc>
        <w:tc>
          <w:tcPr>
            <w:tcW w:type="dxa" w:w="3560"/>
            <w:vAlign w:val="center"/>
          </w:tcPr>
          <w:p>
            <w:pPr>
              <w:pStyle w:val="ScientificTableText"/>
              <w:jc w:val="center"/>
            </w:pPr>
            <w:r>
              <w:rPr>
                <w:rFonts w:ascii="Calibri" w:hAnsi="Calibri" w:eastAsia="Yu Gothic"/>
              </w:rPr>
              <w:t>0.1289</w:t>
            </w:r>
          </w:p>
        </w:tc>
      </w:tr>
      <w:tr>
        <w:tc>
          <w:tcPr>
            <w:tcW w:type="dxa" w:w="4000"/>
            <w:vAlign w:val="center"/>
          </w:tcPr>
          <w:p>
            <w:pPr>
              <w:pStyle w:val="ScientificTableText"/>
              <w:jc w:val="left"/>
            </w:pPr>
            <w:r>
              <w:rPr>
                <w:rFonts w:ascii="Calibri" w:hAnsi="Calibri" w:eastAsia="Yu Gothic"/>
              </w:rPr>
              <w:t>Asymmetric dense</w:t>
            </w:r>
          </w:p>
        </w:tc>
        <w:tc>
          <w:tcPr>
            <w:tcW w:type="dxa" w:w="1800"/>
            <w:vAlign w:val="center"/>
          </w:tcPr>
          <w:p>
            <w:pPr>
              <w:pStyle w:val="ScientificTableText"/>
              <w:jc w:val="center"/>
            </w:pPr>
            <w:r>
              <w:rPr>
                <w:rFonts w:ascii="Calibri" w:hAnsi="Calibri" w:eastAsia="Yu Gothic"/>
              </w:rPr>
              <w:t>0.9534</w:t>
            </w:r>
          </w:p>
        </w:tc>
        <w:tc>
          <w:tcPr>
            <w:tcW w:type="dxa" w:w="3560"/>
            <w:vAlign w:val="center"/>
          </w:tcPr>
          <w:p>
            <w:pPr>
              <w:pStyle w:val="ScientificTableText"/>
              <w:jc w:val="center"/>
            </w:pPr>
            <w:r>
              <w:rPr>
                <w:rFonts w:ascii="Calibri" w:hAnsi="Calibri" w:eastAsia="Yu Gothic"/>
              </w:rPr>
              <w:t>0.0777</w:t>
            </w:r>
          </w:p>
        </w:tc>
      </w:tr>
      <w:tr>
        <w:tc>
          <w:tcPr>
            <w:tcW w:type="dxa" w:w="4000"/>
            <w:vAlign w:val="center"/>
          </w:tcPr>
          <w:p>
            <w:pPr>
              <w:pStyle w:val="ScientificTableText"/>
              <w:jc w:val="left"/>
            </w:pPr>
            <w:r>
              <w:rPr>
                <w:rFonts w:ascii="Calibri" w:hAnsi="Calibri" w:eastAsia="Yu Gothic"/>
              </w:rPr>
              <w:t>Feedforward non-normal</w:t>
            </w:r>
          </w:p>
        </w:tc>
        <w:tc>
          <w:tcPr>
            <w:tcW w:type="dxa" w:w="1800"/>
            <w:vAlign w:val="center"/>
          </w:tcPr>
          <w:p>
            <w:pPr>
              <w:pStyle w:val="ScientificTableText"/>
              <w:jc w:val="center"/>
            </w:pPr>
            <w:r>
              <w:rPr>
                <w:rFonts w:ascii="Calibri" w:hAnsi="Calibri" w:eastAsia="Yu Gothic"/>
              </w:rPr>
              <w:t>0.9469</w:t>
            </w:r>
          </w:p>
        </w:tc>
        <w:tc>
          <w:tcPr>
            <w:tcW w:type="dxa" w:w="3560"/>
            <w:vAlign w:val="center"/>
          </w:tcPr>
          <w:p>
            <w:pPr>
              <w:pStyle w:val="ScientificTableText"/>
              <w:jc w:val="center"/>
            </w:pPr>
            <w:r>
              <w:rPr>
                <w:rFonts w:ascii="Calibri" w:hAnsi="Calibri" w:eastAsia="Yu Gothic"/>
              </w:rPr>
              <w:t>0.0684</w:t>
            </w:r>
          </w:p>
        </w:tc>
      </w:tr>
    </w:tbl>
    <w:p>
      <w:pPr>
        <w:spacing w:before="0" w:after="40"/>
      </w:pPr>
    </w:p>
    <w:p>
      <w:r>
        <w:rPr>
          <w:rFonts w:ascii="Calibri" w:hAnsi="Calibri" w:eastAsia="Yu Gothic"/>
        </w:rPr>
        <w:t>Pilotで最大誤差だったsparse symmetricを除外せず、全familyで事前閾値0.75を 上回った。Pooled baselineとseed単位paired誤差差を次に示す。</w:t>
      </w:r>
    </w:p>
    <w:tbl>
      <w:tblPr>
        <w:tblW w:type="dxa" w:w="9360"/>
        <w:tblLayout w:type="fixed"/>
        <w:tblLook w:firstColumn="1" w:firstRow="1" w:lastColumn="0" w:lastRow="0" w:noHBand="0" w:noVBand="1" w:val="04A0"/>
        <w:tblInd w:w="120" w:type="dxa"/>
        <w:tblLayout w:type="fixed"/>
        <w:tblBorders>
          <w:top w:val="single" w:sz="4" w:color="CBD2DA"/>
          <w:left w:val="single" w:sz="4" w:color="CBD2DA"/>
          <w:bottom w:val="single" w:sz="4" w:color="CBD2DA"/>
          <w:right w:val="single" w:sz="4" w:color="CBD2DA"/>
          <w:insideH w:val="single" w:sz="4" w:color="CBD2DA"/>
          <w:insideV w:val="single" w:sz="4" w:color="CBD2DA"/>
        </w:tblBorders>
        <w:tblCellMar>
          <w:top w:w="80" w:type="dxa"/>
          <w:bottom w:w="80" w:type="dxa"/>
          <w:start w:w="120" w:type="dxa"/>
          <w:end w:w="120" w:type="dxa"/>
        </w:tblCellMar>
      </w:tblPr>
      <w:tblGrid>
        <w:gridCol w:w="2350"/>
        <w:gridCol w:w="2850"/>
        <w:gridCol w:w="2100"/>
        <w:gridCol w:w="2060"/>
      </w:tblGrid>
      <w:tr>
        <w:trPr>
          <w:tblHeader w:val="true"/>
        </w:trPr>
        <w:tc>
          <w:tcPr>
            <w:tcW w:type="dxa" w:w="2350"/>
            <w:vAlign w:val="center"/>
            <w:shd w:fill="F4F6F9"/>
          </w:tcPr>
          <w:p>
            <w:pPr>
              <w:pStyle w:val="ScientificTableText"/>
              <w:jc w:val="left"/>
            </w:pPr>
            <w:r>
              <w:rPr>
                <w:rFonts w:ascii="Calibri" w:hAnsi="Calibri" w:eastAsia="Yu Gothic"/>
                <w:b/>
              </w:rPr>
              <w:t>Baseline</w:t>
            </w:r>
          </w:p>
        </w:tc>
        <w:tc>
          <w:tcPr>
            <w:tcW w:type="dxa" w:w="2850"/>
            <w:vAlign w:val="center"/>
            <w:shd w:fill="F4F6F9"/>
          </w:tcPr>
          <w:p>
            <w:pPr>
              <w:pStyle w:val="ScientificTableText"/>
              <w:jc w:val="center"/>
            </w:pPr>
            <w:r>
              <w:rPr>
                <w:rFonts w:ascii="Calibri" w:hAnsi="Calibri" w:eastAsia="Yu Gothic"/>
                <w:b/>
              </w:rPr>
              <w:t>Baseline MAE</w:t>
            </w:r>
          </w:p>
        </w:tc>
        <w:tc>
          <w:tcPr>
            <w:tcW w:type="dxa" w:w="2100"/>
            <w:vAlign w:val="center"/>
            <w:shd w:fill="F4F6F9"/>
          </w:tcPr>
          <w:p>
            <w:pPr>
              <w:pStyle w:val="ScientificTableText"/>
              <w:jc w:val="center"/>
            </w:pPr>
            <w:r>
              <w:rPr>
                <w:rFonts w:ascii="Calibri" w:hAnsi="Calibri" w:eastAsia="Yu Gothic"/>
                <w:b/>
              </w:rPr>
              <w:t>Baseline minus robust-pair MAE</w:t>
            </w:r>
          </w:p>
        </w:tc>
        <w:tc>
          <w:tcPr>
            <w:tcW w:type="dxa" w:w="2060"/>
            <w:vAlign w:val="center"/>
            <w:shd w:fill="F4F6F9"/>
          </w:tcPr>
          <w:p>
            <w:pPr>
              <w:pStyle w:val="ScientificTableText"/>
              <w:jc w:val="center"/>
            </w:pPr>
            <w:r>
              <w:rPr>
                <w:rFonts w:ascii="Calibri" w:hAnsi="Calibri" w:eastAsia="Yu Gothic"/>
                <w:b/>
              </w:rPr>
              <w:t>95%区間</w:t>
            </w:r>
          </w:p>
        </w:tc>
      </w:tr>
      <w:tr>
        <w:tc>
          <w:tcPr>
            <w:tcW w:type="dxa" w:w="2350"/>
            <w:vAlign w:val="center"/>
          </w:tcPr>
          <w:p>
            <w:pPr>
              <w:pStyle w:val="ScientificTableText"/>
              <w:jc w:val="left"/>
            </w:pPr>
            <w:r>
              <w:rPr>
                <w:rFonts w:ascii="Calibri" w:hAnsi="Calibri" w:eastAsia="Yu Gothic"/>
              </w:rPr>
              <w:t>Raw count</w:t>
            </w:r>
          </w:p>
        </w:tc>
        <w:tc>
          <w:tcPr>
            <w:tcW w:type="dxa" w:w="2850"/>
            <w:vAlign w:val="center"/>
          </w:tcPr>
          <w:p>
            <w:pPr>
              <w:pStyle w:val="ScientificTableText"/>
              <w:jc w:val="center"/>
            </w:pPr>
            <w:r>
              <w:rPr>
                <w:rFonts w:ascii="Calibri" w:hAnsi="Calibri" w:eastAsia="Yu Gothic"/>
              </w:rPr>
              <w:t>0.1308</w:t>
            </w:r>
          </w:p>
        </w:tc>
        <w:tc>
          <w:tcPr>
            <w:tcW w:type="dxa" w:w="2100"/>
            <w:vAlign w:val="center"/>
          </w:tcPr>
          <w:p>
            <w:pPr>
              <w:pStyle w:val="ScientificTableText"/>
              <w:jc w:val="center"/>
            </w:pPr>
            <w:r>
              <w:rPr>
                <w:rFonts w:ascii="Calibri" w:hAnsi="Calibri" w:eastAsia="Yu Gothic"/>
              </w:rPr>
              <w:t>0.0486</w:t>
            </w:r>
          </w:p>
        </w:tc>
        <w:tc>
          <w:tcPr>
            <w:tcW w:type="dxa" w:w="2060"/>
            <w:vAlign w:val="center"/>
          </w:tcPr>
          <w:p>
            <w:pPr>
              <w:pStyle w:val="ScientificTableText"/>
              <w:jc w:val="center"/>
            </w:pPr>
            <w:r>
              <w:rPr>
                <w:rFonts w:ascii="Calibri" w:hAnsi="Calibri" w:eastAsia="Yu Gothic"/>
              </w:rPr>
              <w:t>[0.0468, 0.0505]</w:t>
            </w:r>
          </w:p>
        </w:tc>
      </w:tr>
      <w:tr>
        <w:tc>
          <w:tcPr>
            <w:tcW w:type="dxa" w:w="2350"/>
            <w:vAlign w:val="center"/>
          </w:tcPr>
          <w:p>
            <w:pPr>
              <w:pStyle w:val="ScientificTableText"/>
              <w:jc w:val="left"/>
            </w:pPr>
            <w:r>
              <w:rPr>
                <w:rFonts w:ascii="Calibri" w:hAnsi="Calibri" w:eastAsia="Yu Gothic"/>
              </w:rPr>
              <w:t>Normalized margin</w:t>
            </w:r>
          </w:p>
        </w:tc>
        <w:tc>
          <w:tcPr>
            <w:tcW w:type="dxa" w:w="2850"/>
            <w:vAlign w:val="center"/>
          </w:tcPr>
          <w:p>
            <w:pPr>
              <w:pStyle w:val="ScientificTableText"/>
              <w:jc w:val="center"/>
            </w:pPr>
            <w:r>
              <w:rPr>
                <w:rFonts w:ascii="Calibri" w:hAnsi="Calibri" w:eastAsia="Yu Gothic"/>
              </w:rPr>
              <w:t>0.0886</w:t>
            </w:r>
          </w:p>
        </w:tc>
        <w:tc>
          <w:tcPr>
            <w:tcW w:type="dxa" w:w="2100"/>
            <w:vAlign w:val="center"/>
          </w:tcPr>
          <w:p>
            <w:pPr>
              <w:pStyle w:val="ScientificTableText"/>
              <w:jc w:val="center"/>
            </w:pPr>
            <w:r>
              <w:rPr>
                <w:rFonts w:ascii="Calibri" w:hAnsi="Calibri" w:eastAsia="Yu Gothic"/>
              </w:rPr>
              <w:t>0.0064</w:t>
            </w:r>
          </w:p>
        </w:tc>
        <w:tc>
          <w:tcPr>
            <w:tcW w:type="dxa" w:w="2060"/>
            <w:vAlign w:val="center"/>
          </w:tcPr>
          <w:p>
            <w:pPr>
              <w:pStyle w:val="ScientificTableText"/>
              <w:jc w:val="center"/>
            </w:pPr>
            <w:r>
              <w:rPr>
                <w:rFonts w:ascii="Calibri" w:hAnsi="Calibri" w:eastAsia="Yu Gothic"/>
              </w:rPr>
              <w:t>[0.0059, 0.0070]</w:t>
            </w:r>
          </w:p>
        </w:tc>
      </w:tr>
      <w:tr>
        <w:tc>
          <w:tcPr>
            <w:tcW w:type="dxa" w:w="2350"/>
            <w:vAlign w:val="center"/>
          </w:tcPr>
          <w:p>
            <w:pPr>
              <w:pStyle w:val="ScientificTableText"/>
              <w:jc w:val="left"/>
            </w:pPr>
            <w:r>
              <w:rPr>
                <w:rFonts w:ascii="Calibri" w:hAnsi="Calibri" w:eastAsia="Yu Gothic"/>
              </w:rPr>
              <w:t>Structural</w:t>
            </w:r>
          </w:p>
        </w:tc>
        <w:tc>
          <w:tcPr>
            <w:tcW w:type="dxa" w:w="2850"/>
            <w:vAlign w:val="center"/>
          </w:tcPr>
          <w:p>
            <w:pPr>
              <w:pStyle w:val="ScientificTableText"/>
              <w:jc w:val="center"/>
            </w:pPr>
            <w:r>
              <w:rPr>
                <w:rFonts w:ascii="Calibri" w:hAnsi="Calibri" w:eastAsia="Yu Gothic"/>
              </w:rPr>
              <w:t>0.1184</w:t>
            </w:r>
          </w:p>
        </w:tc>
        <w:tc>
          <w:tcPr>
            <w:tcW w:type="dxa" w:w="2100"/>
            <w:vAlign w:val="center"/>
          </w:tcPr>
          <w:p>
            <w:pPr>
              <w:pStyle w:val="ScientificTableText"/>
              <w:jc w:val="center"/>
            </w:pPr>
            <w:r>
              <w:rPr>
                <w:rFonts w:ascii="Calibri" w:hAnsi="Calibri" w:eastAsia="Yu Gothic"/>
              </w:rPr>
              <w:t>0.0362</w:t>
            </w:r>
          </w:p>
        </w:tc>
        <w:tc>
          <w:tcPr>
            <w:tcW w:type="dxa" w:w="2060"/>
            <w:vAlign w:val="center"/>
          </w:tcPr>
          <w:p>
            <w:pPr>
              <w:pStyle w:val="ScientificTableText"/>
              <w:jc w:val="center"/>
            </w:pPr>
            <w:r>
              <w:rPr>
                <w:rFonts w:ascii="Calibri" w:hAnsi="Calibri" w:eastAsia="Yu Gothic"/>
              </w:rPr>
              <w:t>[0.0319, 0.0404]</w:t>
            </w:r>
          </w:p>
        </w:tc>
      </w:tr>
    </w:tbl>
    <w:p>
      <w:pPr>
        <w:spacing w:before="0" w:after="40"/>
      </w:pPr>
    </w:p>
    <w:p>
      <w:r>
        <w:rPr>
          <w:rFonts w:ascii="Calibri" w:hAnsi="Calibri" w:eastAsia="Yu Gothic"/>
        </w:rPr>
        <w:t>Normalized margin比較はsecondary endpointである。全区間下限が0を上回ったが、 事後に主要判定へ追加していない。</w:t>
      </w:r>
    </w:p>
    <w:p>
      <w:pPr>
        <w:pStyle w:val="Heading2"/>
      </w:pPr>
      <w:r>
        <w:t>5.5 Candidate選択から隔離したmodular family</w:t>
      </w:r>
    </w:p>
    <w:p>
      <w:r>
        <w:rPr>
          <w:rFonts w:ascii="Calibri" w:hAnsi="Calibri" w:eastAsia="Yu Gothic"/>
        </w:rPr>
        <w:t>EXP-2026-012では、事前登録5判定のうちraw count一致とcertificate下界の2件が 成立し、順位相関と二つのbaseline優位は不成立だった。全120条件でraw countは 16、全30,720 challengeでcertificate下界違反は0だった。</w:t>
      </w:r>
    </w:p>
    <w:tbl>
      <w:tblPr>
        <w:tblW w:type="dxa" w:w="9360"/>
        <w:tblLayout w:type="fixed"/>
        <w:tblLook w:firstColumn="1" w:firstRow="1" w:lastColumn="0" w:lastRow="0" w:noHBand="0" w:noVBand="1" w:val="04A0"/>
        <w:tblInd w:w="120" w:type="dxa"/>
        <w:tblLayout w:type="fixed"/>
        <w:tblBorders>
          <w:top w:val="single" w:sz="4" w:color="CBD2DA"/>
          <w:left w:val="single" w:sz="4" w:color="CBD2DA"/>
          <w:bottom w:val="single" w:sz="4" w:color="CBD2DA"/>
          <w:right w:val="single" w:sz="4" w:color="CBD2DA"/>
          <w:insideH w:val="single" w:sz="4" w:color="CBD2DA"/>
          <w:insideV w:val="single" w:sz="4" w:color="CBD2DA"/>
        </w:tblBorders>
        <w:tblCellMar>
          <w:top w:w="80" w:type="dxa"/>
          <w:bottom w:w="80" w:type="dxa"/>
          <w:start w:w="120" w:type="dxa"/>
          <w:end w:w="120" w:type="dxa"/>
        </w:tblCellMar>
      </w:tblPr>
      <w:tblGrid>
        <w:gridCol w:w="2350"/>
        <w:gridCol w:w="2850"/>
        <w:gridCol w:w="2100"/>
        <w:gridCol w:w="2060"/>
      </w:tblGrid>
      <w:tr>
        <w:trPr>
          <w:tblHeader w:val="true"/>
        </w:trPr>
        <w:tc>
          <w:tcPr>
            <w:tcW w:type="dxa" w:w="2350"/>
            <w:vAlign w:val="center"/>
            <w:shd w:fill="F4F6F9"/>
          </w:tcPr>
          <w:p>
            <w:pPr>
              <w:pStyle w:val="ScientificTableText"/>
              <w:jc w:val="left"/>
            </w:pPr>
            <w:r>
              <w:rPr>
                <w:rFonts w:ascii="Calibri" w:hAnsi="Calibri" w:eastAsia="Yu Gothic"/>
                <w:b/>
              </w:rPr>
              <w:t>Predictor</w:t>
            </w:r>
          </w:p>
        </w:tc>
        <w:tc>
          <w:tcPr>
            <w:tcW w:type="dxa" w:w="2850"/>
            <w:vAlign w:val="center"/>
            <w:shd w:fill="F4F6F9"/>
          </w:tcPr>
          <w:p>
            <w:pPr>
              <w:pStyle w:val="ScientificTableText"/>
              <w:jc w:val="center"/>
            </w:pPr>
            <w:r>
              <w:rPr>
                <w:rFonts w:ascii="Calibri" w:hAnsi="Calibri" w:eastAsia="Yu Gothic"/>
                <w:b/>
              </w:rPr>
              <w:t>MAE</w:t>
            </w:r>
          </w:p>
        </w:tc>
        <w:tc>
          <w:tcPr>
            <w:tcW w:type="dxa" w:w="2100"/>
            <w:vAlign w:val="center"/>
            <w:shd w:fill="F4F6F9"/>
          </w:tcPr>
          <w:p>
            <w:pPr>
              <w:pStyle w:val="ScientificTableText"/>
              <w:jc w:val="center"/>
            </w:pPr>
            <w:r>
              <w:rPr>
                <w:rFonts w:ascii="Calibri" w:hAnsi="Calibri" w:eastAsia="Yu Gothic"/>
                <w:b/>
              </w:rPr>
              <w:t>Spearman</w:t>
            </w:r>
          </w:p>
        </w:tc>
        <w:tc>
          <w:tcPr>
            <w:tcW w:type="dxa" w:w="2060"/>
            <w:vAlign w:val="center"/>
            <w:shd w:fill="F4F6F9"/>
          </w:tcPr>
          <w:p>
            <w:pPr>
              <w:pStyle w:val="ScientificTableText"/>
              <w:jc w:val="center"/>
            </w:pPr>
            <w:r>
              <w:rPr>
                <w:rFonts w:ascii="Calibri" w:hAnsi="Calibri" w:eastAsia="Yu Gothic"/>
                <w:b/>
              </w:rPr>
              <w:t>Baseline minus robust-pair MAE</w:t>
            </w:r>
          </w:p>
        </w:tc>
      </w:tr>
      <w:tr>
        <w:tc>
          <w:tcPr>
            <w:tcW w:type="dxa" w:w="2350"/>
            <w:vAlign w:val="center"/>
          </w:tcPr>
          <w:p>
            <w:pPr>
              <w:pStyle w:val="ScientificTableText"/>
              <w:jc w:val="left"/>
            </w:pPr>
            <w:r>
              <w:rPr>
                <w:rFonts w:ascii="Calibri" w:hAnsi="Calibri" w:eastAsia="Yu Gothic"/>
              </w:rPr>
              <w:t>Robust pair</w:t>
            </w:r>
          </w:p>
        </w:tc>
        <w:tc>
          <w:tcPr>
            <w:tcW w:type="dxa" w:w="2850"/>
            <w:vAlign w:val="center"/>
          </w:tcPr>
          <w:p>
            <w:pPr>
              <w:pStyle w:val="ScientificTableText"/>
              <w:jc w:val="center"/>
            </w:pPr>
            <w:r>
              <w:rPr>
                <w:rFonts w:ascii="Calibri" w:hAnsi="Calibri" w:eastAsia="Yu Gothic"/>
              </w:rPr>
              <w:t>0.2238</w:t>
            </w:r>
          </w:p>
        </w:tc>
        <w:tc>
          <w:tcPr>
            <w:tcW w:type="dxa" w:w="2100"/>
            <w:vAlign w:val="center"/>
          </w:tcPr>
          <w:p>
            <w:pPr>
              <w:pStyle w:val="ScientificTableText"/>
              <w:jc w:val="center"/>
            </w:pPr>
            <w:r>
              <w:rPr>
                <w:rFonts w:ascii="Calibri" w:hAnsi="Calibri" w:eastAsia="Yu Gothic"/>
              </w:rPr>
              <w:t>0.0000</w:t>
            </w:r>
          </w:p>
        </w:tc>
        <w:tc>
          <w:tcPr>
            <w:tcW w:type="dxa" w:w="2060"/>
            <w:vAlign w:val="center"/>
          </w:tcPr>
          <w:p>
            <w:pPr>
              <w:pStyle w:val="ScientificTableText"/>
              <w:jc w:val="center"/>
            </w:pPr>
            <w:r>
              <w:rPr>
                <w:rFonts w:ascii="Calibri" w:hAnsi="Calibri" w:eastAsia="Yu Gothic"/>
              </w:rPr>
              <w:t>—</w:t>
            </w:r>
          </w:p>
        </w:tc>
      </w:tr>
      <w:tr>
        <w:tc>
          <w:tcPr>
            <w:tcW w:type="dxa" w:w="2350"/>
            <w:vAlign w:val="center"/>
          </w:tcPr>
          <w:p>
            <w:pPr>
              <w:pStyle w:val="ScientificTableText"/>
              <w:jc w:val="left"/>
            </w:pPr>
            <w:r>
              <w:rPr>
                <w:rFonts w:ascii="Calibri" w:hAnsi="Calibri" w:eastAsia="Yu Gothic"/>
              </w:rPr>
              <w:t>Raw count</w:t>
            </w:r>
          </w:p>
        </w:tc>
        <w:tc>
          <w:tcPr>
            <w:tcW w:type="dxa" w:w="2850"/>
            <w:vAlign w:val="center"/>
          </w:tcPr>
          <w:p>
            <w:pPr>
              <w:pStyle w:val="ScientificTableText"/>
              <w:jc w:val="center"/>
            </w:pPr>
            <w:r>
              <w:rPr>
                <w:rFonts w:ascii="Calibri" w:hAnsi="Calibri" w:eastAsia="Yu Gothic"/>
              </w:rPr>
              <w:t>0.2188</w:t>
            </w:r>
          </w:p>
        </w:tc>
        <w:tc>
          <w:tcPr>
            <w:tcW w:type="dxa" w:w="2100"/>
            <w:vAlign w:val="center"/>
          </w:tcPr>
          <w:p>
            <w:pPr>
              <w:pStyle w:val="ScientificTableText"/>
              <w:jc w:val="center"/>
            </w:pPr>
            <w:r>
              <w:rPr>
                <w:rFonts w:ascii="Calibri" w:hAnsi="Calibri" w:eastAsia="Yu Gothic"/>
              </w:rPr>
              <w:t>0.0000</w:t>
            </w:r>
          </w:p>
        </w:tc>
        <w:tc>
          <w:tcPr>
            <w:tcW w:type="dxa" w:w="2060"/>
            <w:vAlign w:val="center"/>
          </w:tcPr>
          <w:p>
            <w:pPr>
              <w:pStyle w:val="ScientificTableText"/>
              <w:jc w:val="center"/>
            </w:pPr>
            <w:r>
              <w:rPr>
                <w:rFonts w:ascii="Calibri" w:hAnsi="Calibri" w:eastAsia="Yu Gothic"/>
              </w:rPr>
              <w:t>-0.0050</w:t>
            </w:r>
          </w:p>
        </w:tc>
      </w:tr>
      <w:tr>
        <w:tc>
          <w:tcPr>
            <w:tcW w:type="dxa" w:w="2350"/>
            <w:vAlign w:val="center"/>
          </w:tcPr>
          <w:p>
            <w:pPr>
              <w:pStyle w:val="ScientificTableText"/>
              <w:jc w:val="left"/>
            </w:pPr>
            <w:r>
              <w:rPr>
                <w:rFonts w:ascii="Calibri" w:hAnsi="Calibri" w:eastAsia="Yu Gothic"/>
              </w:rPr>
              <w:t>Normalized margin</w:t>
            </w:r>
          </w:p>
        </w:tc>
        <w:tc>
          <w:tcPr>
            <w:tcW w:type="dxa" w:w="2850"/>
            <w:vAlign w:val="center"/>
          </w:tcPr>
          <w:p>
            <w:pPr>
              <w:pStyle w:val="ScientificTableText"/>
              <w:jc w:val="center"/>
            </w:pPr>
            <w:r>
              <w:rPr>
                <w:rFonts w:ascii="Calibri" w:hAnsi="Calibri" w:eastAsia="Yu Gothic"/>
              </w:rPr>
              <w:t>0.1955</w:t>
            </w:r>
          </w:p>
        </w:tc>
        <w:tc>
          <w:tcPr>
            <w:tcW w:type="dxa" w:w="2100"/>
            <w:vAlign w:val="center"/>
          </w:tcPr>
          <w:p>
            <w:pPr>
              <w:pStyle w:val="ScientificTableText"/>
              <w:jc w:val="center"/>
            </w:pPr>
            <w:r>
              <w:rPr>
                <w:rFonts w:ascii="Calibri" w:hAnsi="Calibri" w:eastAsia="Yu Gothic"/>
              </w:rPr>
              <w:t>0.8944</w:t>
            </w:r>
          </w:p>
        </w:tc>
        <w:tc>
          <w:tcPr>
            <w:tcW w:type="dxa" w:w="2060"/>
            <w:vAlign w:val="center"/>
          </w:tcPr>
          <w:p>
            <w:pPr>
              <w:pStyle w:val="ScientificTableText"/>
              <w:jc w:val="center"/>
            </w:pPr>
            <w:r>
              <w:rPr>
                <w:rFonts w:ascii="Calibri" w:hAnsi="Calibri" w:eastAsia="Yu Gothic"/>
              </w:rPr>
              <w:t>-0.0282</w:t>
            </w:r>
          </w:p>
        </w:tc>
      </w:tr>
      <w:tr>
        <w:tc>
          <w:tcPr>
            <w:tcW w:type="dxa" w:w="2350"/>
            <w:vAlign w:val="center"/>
          </w:tcPr>
          <w:p>
            <w:pPr>
              <w:pStyle w:val="ScientificTableText"/>
              <w:jc w:val="left"/>
            </w:pPr>
            <w:r>
              <w:rPr>
                <w:rFonts w:ascii="Calibri" w:hAnsi="Calibri" w:eastAsia="Yu Gothic"/>
              </w:rPr>
              <w:t>Structural</w:t>
            </w:r>
          </w:p>
        </w:tc>
        <w:tc>
          <w:tcPr>
            <w:tcW w:type="dxa" w:w="2850"/>
            <w:vAlign w:val="center"/>
          </w:tcPr>
          <w:p>
            <w:pPr>
              <w:pStyle w:val="ScientificTableText"/>
              <w:jc w:val="center"/>
            </w:pPr>
            <w:r>
              <w:rPr>
                <w:rFonts w:ascii="Calibri" w:hAnsi="Calibri" w:eastAsia="Yu Gothic"/>
              </w:rPr>
              <w:t>0.2160</w:t>
            </w:r>
          </w:p>
        </w:tc>
        <w:tc>
          <w:tcPr>
            <w:tcW w:type="dxa" w:w="2100"/>
            <w:vAlign w:val="center"/>
          </w:tcPr>
          <w:p>
            <w:pPr>
              <w:pStyle w:val="ScientificTableText"/>
              <w:jc w:val="center"/>
            </w:pPr>
            <w:r>
              <w:rPr>
                <w:rFonts w:ascii="Calibri" w:hAnsi="Calibri" w:eastAsia="Yu Gothic"/>
              </w:rPr>
              <w:t>0.5774</w:t>
            </w:r>
          </w:p>
        </w:tc>
        <w:tc>
          <w:tcPr>
            <w:tcW w:type="dxa" w:w="2060"/>
            <w:vAlign w:val="center"/>
          </w:tcPr>
          <w:p>
            <w:pPr>
              <w:pStyle w:val="ScientificTableText"/>
              <w:jc w:val="center"/>
            </w:pPr>
            <w:r>
              <w:rPr>
                <w:rFonts w:ascii="Calibri" w:hAnsi="Calibri" w:eastAsia="Yu Gothic"/>
              </w:rPr>
              <w:t>-0.0078</w:t>
            </w:r>
          </w:p>
        </w:tc>
      </w:tr>
    </w:tbl>
    <w:p>
      <w:pPr>
        <w:spacing w:before="0" w:after="40"/>
      </w:pPr>
    </w:p>
    <w:p>
      <w:r>
        <w:rPr>
          <w:rFonts w:ascii="Calibri" w:hAnsi="Calibri" w:eastAsia="Yu Gothic"/>
        </w:rPr>
        <w:t>Robust pairはraw countとstructural baselineの両方より大きいMAEとなった。 Normalized margin単独は高い順位相関を示したが、同じconfirmation上のsecondary 結果であり、新たに選択済みの普遍predictorとは扱わない。Task retentionの範囲は 0.5625–1.0だった。</w:t>
      </w:r>
    </w:p>
    <w:p>
      <w:r>
        <w:rPr>
          <w:rFonts w:ascii="Calibri" w:hAnsi="Calibri" w:eastAsia="Yu Gothic"/>
        </w:rPr>
        <w:t>三つのpaired bootstrap区間は、いずれも表の推定値と同じ一点へ退化した。 原因は、seedが変える二つのpair coupling符号が符号座標変換で互いに共役であり、 全orthant・全corner列挙の集約量がseed不変だったことである。従って30 seedを 独立な構造標本とは扱わない。</w:t>
      </w:r>
    </w:p>
    <w:p>
      <w:pPr>
        <w:pStyle w:val="Heading2"/>
      </w:pPr>
      <w:r>
        <w:t>5.6 符号共役で割った有効構造多様性</w:t>
      </w:r>
    </w:p>
    <w:p>
      <w:r>
        <w:rPr>
          <w:rFonts w:ascii="Calibri" w:hAnsi="Calibri" w:eastAsia="Yu Gothic"/>
        </w:rPr>
        <w:t>AUDIT-2026-001では各family・gainの30 seedを符号対角共役で分割した。</w:t>
      </w:r>
    </w:p>
    <w:tbl>
      <w:tblPr>
        <w:tblW w:type="dxa" w:w="9360"/>
        <w:tblLayout w:type="fixed"/>
        <w:tblLook w:firstColumn="1" w:firstRow="1" w:lastColumn="0" w:lastRow="0" w:noHBand="0" w:noVBand="1" w:val="04A0"/>
        <w:tblInd w:w="120" w:type="dxa"/>
        <w:tblLayout w:type="fixed"/>
        <w:tblBorders>
          <w:top w:val="single" w:sz="4" w:color="CBD2DA"/>
          <w:left w:val="single" w:sz="4" w:color="CBD2DA"/>
          <w:bottom w:val="single" w:sz="4" w:color="CBD2DA"/>
          <w:right w:val="single" w:sz="4" w:color="CBD2DA"/>
          <w:insideH w:val="single" w:sz="4" w:color="CBD2DA"/>
          <w:insideV w:val="single" w:sz="4" w:color="CBD2DA"/>
        </w:tblBorders>
        <w:tblCellMar>
          <w:top w:w="80" w:type="dxa"/>
          <w:bottom w:w="80" w:type="dxa"/>
          <w:start w:w="120" w:type="dxa"/>
          <w:end w:w="120" w:type="dxa"/>
        </w:tblCellMar>
      </w:tblPr>
      <w:tblGrid>
        <w:gridCol w:w="2350"/>
        <w:gridCol w:w="2850"/>
        <w:gridCol w:w="2100"/>
        <w:gridCol w:w="2060"/>
      </w:tblGrid>
      <w:tr>
        <w:trPr>
          <w:tblHeader w:val="true"/>
        </w:trPr>
        <w:tc>
          <w:tcPr>
            <w:tcW w:type="dxa" w:w="2350"/>
            <w:vAlign w:val="center"/>
            <w:shd w:fill="F4F6F9"/>
          </w:tcPr>
          <w:p>
            <w:pPr>
              <w:pStyle w:val="ScientificTableText"/>
              <w:jc w:val="left"/>
            </w:pPr>
            <w:r>
              <w:rPr>
                <w:rFonts w:ascii="Calibri" w:hAnsi="Calibri" w:eastAsia="Yu Gothic"/>
                <w:b/>
              </w:rPr>
              <w:t>Family</w:t>
            </w:r>
          </w:p>
        </w:tc>
        <w:tc>
          <w:tcPr>
            <w:tcW w:type="dxa" w:w="2850"/>
            <w:vAlign w:val="center"/>
            <w:shd w:fill="F4F6F9"/>
          </w:tcPr>
          <w:p>
            <w:pPr>
              <w:pStyle w:val="ScientificTableText"/>
              <w:jc w:val="center"/>
            </w:pPr>
            <w:r>
              <w:rPr>
                <w:rFonts w:ascii="Calibri" w:hAnsi="Calibri" w:eastAsia="Yu Gothic"/>
                <w:b/>
              </w:rPr>
              <w:t>Raw / gain</w:t>
            </w:r>
          </w:p>
        </w:tc>
        <w:tc>
          <w:tcPr>
            <w:tcW w:type="dxa" w:w="2100"/>
            <w:vAlign w:val="center"/>
            <w:shd w:fill="F4F6F9"/>
          </w:tcPr>
          <w:p>
            <w:pPr>
              <w:pStyle w:val="ScientificTableText"/>
              <w:jc w:val="center"/>
            </w:pPr>
            <w:r>
              <w:rPr>
                <w:rFonts w:ascii="Calibri" w:hAnsi="Calibri" w:eastAsia="Yu Gothic"/>
                <w:b/>
              </w:rPr>
              <w:t>Effective / gain</w:t>
            </w:r>
          </w:p>
        </w:tc>
        <w:tc>
          <w:tcPr>
            <w:tcW w:type="dxa" w:w="2060"/>
            <w:vAlign w:val="center"/>
            <w:shd w:fill="F4F6F9"/>
          </w:tcPr>
          <w:p>
            <w:pPr>
              <w:pStyle w:val="ScientificTableText"/>
              <w:jc w:val="center"/>
            </w:pPr>
            <w:r>
              <w:rPr>
                <w:rFonts w:ascii="Calibri" w:hAnsi="Calibri" w:eastAsia="Yu Gothic"/>
                <w:b/>
              </w:rPr>
              <w:t>Raw / effective</w:t>
            </w:r>
          </w:p>
        </w:tc>
      </w:tr>
      <w:tr>
        <w:tc>
          <w:tcPr>
            <w:tcW w:type="dxa" w:w="2350"/>
            <w:vAlign w:val="center"/>
          </w:tcPr>
          <w:p>
            <w:pPr>
              <w:pStyle w:val="ScientificTableText"/>
              <w:jc w:val="left"/>
            </w:pPr>
            <w:r>
              <w:rPr>
                <w:rFonts w:ascii="Calibri" w:hAnsi="Calibri" w:eastAsia="Yu Gothic"/>
              </w:rPr>
              <w:t>Dense symmetric</w:t>
            </w:r>
          </w:p>
        </w:tc>
        <w:tc>
          <w:tcPr>
            <w:tcW w:type="dxa" w:w="2850"/>
            <w:vAlign w:val="center"/>
          </w:tcPr>
          <w:p>
            <w:pPr>
              <w:pStyle w:val="ScientificTableText"/>
              <w:jc w:val="center"/>
            </w:pPr>
            <w:r>
              <w:rPr>
                <w:rFonts w:ascii="Calibri" w:hAnsi="Calibri" w:eastAsia="Yu Gothic"/>
              </w:rPr>
              <w:t>30</w:t>
            </w:r>
          </w:p>
        </w:tc>
        <w:tc>
          <w:tcPr>
            <w:tcW w:type="dxa" w:w="2100"/>
            <w:vAlign w:val="center"/>
          </w:tcPr>
          <w:p>
            <w:pPr>
              <w:pStyle w:val="ScientificTableText"/>
              <w:jc w:val="center"/>
            </w:pPr>
            <w:r>
              <w:rPr>
                <w:rFonts w:ascii="Calibri" w:hAnsi="Calibri" w:eastAsia="Yu Gothic"/>
              </w:rPr>
              <w:t>8</w:t>
            </w:r>
          </w:p>
        </w:tc>
        <w:tc>
          <w:tcPr>
            <w:tcW w:type="dxa" w:w="2060"/>
            <w:vAlign w:val="center"/>
          </w:tcPr>
          <w:p>
            <w:pPr>
              <w:pStyle w:val="ScientificTableText"/>
              <w:jc w:val="center"/>
            </w:pPr>
            <w:r>
              <w:rPr>
                <w:rFonts w:ascii="Calibri" w:hAnsi="Calibri" w:eastAsia="Yu Gothic"/>
              </w:rPr>
              <w:t>3.75</w:t>
            </w:r>
          </w:p>
        </w:tc>
      </w:tr>
      <w:tr>
        <w:tc>
          <w:tcPr>
            <w:tcW w:type="dxa" w:w="2350"/>
            <w:vAlign w:val="center"/>
          </w:tcPr>
          <w:p>
            <w:pPr>
              <w:pStyle w:val="ScientificTableText"/>
              <w:jc w:val="left"/>
            </w:pPr>
            <w:r>
              <w:rPr>
                <w:rFonts w:ascii="Calibri" w:hAnsi="Calibri" w:eastAsia="Yu Gothic"/>
              </w:rPr>
              <w:t>Sparse symmetric</w:t>
            </w:r>
          </w:p>
        </w:tc>
        <w:tc>
          <w:tcPr>
            <w:tcW w:type="dxa" w:w="2850"/>
            <w:vAlign w:val="center"/>
          </w:tcPr>
          <w:p>
            <w:pPr>
              <w:pStyle w:val="ScientificTableText"/>
              <w:jc w:val="center"/>
            </w:pPr>
            <w:r>
              <w:rPr>
                <w:rFonts w:ascii="Calibri" w:hAnsi="Calibri" w:eastAsia="Yu Gothic"/>
              </w:rPr>
              <w:t>30</w:t>
            </w:r>
          </w:p>
        </w:tc>
        <w:tc>
          <w:tcPr>
            <w:tcW w:type="dxa" w:w="2100"/>
            <w:vAlign w:val="center"/>
          </w:tcPr>
          <w:p>
            <w:pPr>
              <w:pStyle w:val="ScientificTableText"/>
              <w:jc w:val="center"/>
            </w:pPr>
            <w:r>
              <w:rPr>
                <w:rFonts w:ascii="Calibri" w:hAnsi="Calibri" w:eastAsia="Yu Gothic"/>
              </w:rPr>
              <w:t>2</w:t>
            </w:r>
          </w:p>
        </w:tc>
        <w:tc>
          <w:tcPr>
            <w:tcW w:type="dxa" w:w="2060"/>
            <w:vAlign w:val="center"/>
          </w:tcPr>
          <w:p>
            <w:pPr>
              <w:pStyle w:val="ScientificTableText"/>
              <w:jc w:val="center"/>
            </w:pPr>
            <w:r>
              <w:rPr>
                <w:rFonts w:ascii="Calibri" w:hAnsi="Calibri" w:eastAsia="Yu Gothic"/>
              </w:rPr>
              <w:t>15.00</w:t>
            </w:r>
          </w:p>
        </w:tc>
      </w:tr>
      <w:tr>
        <w:tc>
          <w:tcPr>
            <w:tcW w:type="dxa" w:w="2350"/>
            <w:vAlign w:val="center"/>
          </w:tcPr>
          <w:p>
            <w:pPr>
              <w:pStyle w:val="ScientificTableText"/>
              <w:jc w:val="left"/>
            </w:pPr>
            <w:r>
              <w:rPr>
                <w:rFonts w:ascii="Calibri" w:hAnsi="Calibri" w:eastAsia="Yu Gothic"/>
              </w:rPr>
              <w:t>Asymmetric dense</w:t>
            </w:r>
          </w:p>
        </w:tc>
        <w:tc>
          <w:tcPr>
            <w:tcW w:type="dxa" w:w="2850"/>
            <w:vAlign w:val="center"/>
          </w:tcPr>
          <w:p>
            <w:pPr>
              <w:pStyle w:val="ScientificTableText"/>
              <w:jc w:val="center"/>
            </w:pPr>
            <w:r>
              <w:rPr>
                <w:rFonts w:ascii="Calibri" w:hAnsi="Calibri" w:eastAsia="Yu Gothic"/>
              </w:rPr>
              <w:t>30</w:t>
            </w:r>
          </w:p>
        </w:tc>
        <w:tc>
          <w:tcPr>
            <w:tcW w:type="dxa" w:w="2100"/>
            <w:vAlign w:val="center"/>
          </w:tcPr>
          <w:p>
            <w:pPr>
              <w:pStyle w:val="ScientificTableText"/>
              <w:jc w:val="center"/>
            </w:pPr>
            <w:r>
              <w:rPr>
                <w:rFonts w:ascii="Calibri" w:hAnsi="Calibri" w:eastAsia="Yu Gothic"/>
              </w:rPr>
              <w:t>29</w:t>
            </w:r>
          </w:p>
        </w:tc>
        <w:tc>
          <w:tcPr>
            <w:tcW w:type="dxa" w:w="2060"/>
            <w:vAlign w:val="center"/>
          </w:tcPr>
          <w:p>
            <w:pPr>
              <w:pStyle w:val="ScientificTableText"/>
              <w:jc w:val="center"/>
            </w:pPr>
            <w:r>
              <w:rPr>
                <w:rFonts w:ascii="Calibri" w:hAnsi="Calibri" w:eastAsia="Yu Gothic"/>
              </w:rPr>
              <w:t>1.03</w:t>
            </w:r>
          </w:p>
        </w:tc>
      </w:tr>
      <w:tr>
        <w:tc>
          <w:tcPr>
            <w:tcW w:type="dxa" w:w="2350"/>
            <w:vAlign w:val="center"/>
          </w:tcPr>
          <w:p>
            <w:pPr>
              <w:pStyle w:val="ScientificTableText"/>
              <w:jc w:val="left"/>
            </w:pPr>
            <w:r>
              <w:rPr>
                <w:rFonts w:ascii="Calibri" w:hAnsi="Calibri" w:eastAsia="Yu Gothic"/>
              </w:rPr>
              <w:t>Feedforward non-normal</w:t>
            </w:r>
          </w:p>
        </w:tc>
        <w:tc>
          <w:tcPr>
            <w:tcW w:type="dxa" w:w="2850"/>
            <w:vAlign w:val="center"/>
          </w:tcPr>
          <w:p>
            <w:pPr>
              <w:pStyle w:val="ScientificTableText"/>
              <w:jc w:val="center"/>
            </w:pPr>
            <w:r>
              <w:rPr>
                <w:rFonts w:ascii="Calibri" w:hAnsi="Calibri" w:eastAsia="Yu Gothic"/>
              </w:rPr>
              <w:t>30</w:t>
            </w:r>
          </w:p>
        </w:tc>
        <w:tc>
          <w:tcPr>
            <w:tcW w:type="dxa" w:w="2100"/>
            <w:vAlign w:val="center"/>
          </w:tcPr>
          <w:p>
            <w:pPr>
              <w:pStyle w:val="ScientificTableText"/>
              <w:jc w:val="center"/>
            </w:pPr>
            <w:r>
              <w:rPr>
                <w:rFonts w:ascii="Calibri" w:hAnsi="Calibri" w:eastAsia="Yu Gothic"/>
              </w:rPr>
              <w:t>8</w:t>
            </w:r>
          </w:p>
        </w:tc>
        <w:tc>
          <w:tcPr>
            <w:tcW w:type="dxa" w:w="2060"/>
            <w:vAlign w:val="center"/>
          </w:tcPr>
          <w:p>
            <w:pPr>
              <w:pStyle w:val="ScientificTableText"/>
              <w:jc w:val="center"/>
            </w:pPr>
            <w:r>
              <w:rPr>
                <w:rFonts w:ascii="Calibri" w:hAnsi="Calibri" w:eastAsia="Yu Gothic"/>
              </w:rPr>
              <w:t>3.75</w:t>
            </w:r>
          </w:p>
        </w:tc>
      </w:tr>
      <w:tr>
        <w:tc>
          <w:tcPr>
            <w:tcW w:type="dxa" w:w="2350"/>
            <w:vAlign w:val="center"/>
          </w:tcPr>
          <w:p>
            <w:pPr>
              <w:pStyle w:val="ScientificTableText"/>
              <w:jc w:val="left"/>
            </w:pPr>
            <w:r>
              <w:rPr>
                <w:rFonts w:ascii="Calibri" w:hAnsi="Calibri" w:eastAsia="Yu Gothic"/>
              </w:rPr>
              <w:t>Modular paired</w:t>
            </w:r>
          </w:p>
        </w:tc>
        <w:tc>
          <w:tcPr>
            <w:tcW w:type="dxa" w:w="2850"/>
            <w:vAlign w:val="center"/>
          </w:tcPr>
          <w:p>
            <w:pPr>
              <w:pStyle w:val="ScientificTableText"/>
              <w:jc w:val="center"/>
            </w:pPr>
            <w:r>
              <w:rPr>
                <w:rFonts w:ascii="Calibri" w:hAnsi="Calibri" w:eastAsia="Yu Gothic"/>
              </w:rPr>
              <w:t>30</w:t>
            </w:r>
          </w:p>
        </w:tc>
        <w:tc>
          <w:tcPr>
            <w:tcW w:type="dxa" w:w="2100"/>
            <w:vAlign w:val="center"/>
          </w:tcPr>
          <w:p>
            <w:pPr>
              <w:pStyle w:val="ScientificTableText"/>
              <w:jc w:val="center"/>
            </w:pPr>
            <w:r>
              <w:rPr>
                <w:rFonts w:ascii="Calibri" w:hAnsi="Calibri" w:eastAsia="Yu Gothic"/>
              </w:rPr>
              <w:t>1</w:t>
            </w:r>
          </w:p>
        </w:tc>
        <w:tc>
          <w:tcPr>
            <w:tcW w:type="dxa" w:w="2060"/>
            <w:vAlign w:val="center"/>
          </w:tcPr>
          <w:p>
            <w:pPr>
              <w:pStyle w:val="ScientificTableText"/>
              <w:jc w:val="center"/>
            </w:pPr>
            <w:r>
              <w:rPr>
                <w:rFonts w:ascii="Calibri" w:hAnsi="Calibri" w:eastAsia="Yu Gothic"/>
              </w:rPr>
              <w:t>30.00</w:t>
            </w:r>
          </w:p>
        </w:tc>
      </w:tr>
    </w:tbl>
    <w:p>
      <w:pPr>
        <w:spacing w:before="0" w:after="40"/>
      </w:pPr>
    </w:p>
    <w:p>
      <w:r>
        <w:rPr>
          <w:rFonts w:ascii="Calibri" w:hAnsi="Calibri" w:eastAsia="Yu Gothic"/>
        </w:rPr>
        <w:t>全20 family-gain群の600 network条件は192 class、effective fraction 0.32だった。Dense、sparse、feedforward、modularのclass数はsigned graphのcycle-rankから得る理論値8、2、8、1と一致した。Asymmetric denseは理論上512 classを許し、30 seed中29 classを観測した。</w:t>
      </w:r>
    </w:p>
    <w:p>
      <w:pPr>
        <w:pStyle w:val="Heading2"/>
      </w:pPr>
      <w:r>
        <w:t>5.7 異質独立moduleの積則確認</w:t>
      </w:r>
    </w:p>
    <w:p>
      <w:r>
        <w:rPr>
          <w:rFonts w:ascii="Calibri" w:hAnsi="Calibri" w:eastAsia="Yu Gothic"/>
        </w:rPr>
        <w:t>EXP-2026-013では各gain30 class、計60個の異質networkを確認した。全240条件でfull raw countは16、各moduleは4だった。61,440 challengeにおける主要結果を示す。</w:t>
      </w:r>
    </w:p>
    <w:tbl>
      <w:tblPr>
        <w:tblW w:type="dxa" w:w="9360"/>
        <w:tblLayout w:type="fixed"/>
        <w:tblLook w:firstColumn="1" w:firstRow="1" w:lastColumn="0" w:lastRow="0" w:noHBand="0" w:noVBand="1" w:val="04A0"/>
        <w:tblInd w:w="120" w:type="dxa"/>
        <w:tblLayout w:type="fixed"/>
        <w:tblBorders>
          <w:top w:val="single" w:sz="4" w:color="CBD2DA"/>
          <w:left w:val="single" w:sz="4" w:color="CBD2DA"/>
          <w:bottom w:val="single" w:sz="4" w:color="CBD2DA"/>
          <w:right w:val="single" w:sz="4" w:color="CBD2DA"/>
          <w:insideH w:val="single" w:sz="4" w:color="CBD2DA"/>
          <w:insideV w:val="single" w:sz="4" w:color="CBD2DA"/>
        </w:tblBorders>
        <w:tblCellMar>
          <w:top w:w="80" w:type="dxa"/>
          <w:bottom w:w="80" w:type="dxa"/>
          <w:start w:w="120" w:type="dxa"/>
          <w:end w:w="120" w:type="dxa"/>
        </w:tblCellMar>
      </w:tblPr>
      <w:tblGrid>
        <w:gridCol w:w="4680"/>
        <w:gridCol w:w="4680"/>
      </w:tblGrid>
      <w:tr>
        <w:trPr>
          <w:tblHeader w:val="true"/>
        </w:trPr>
        <w:tc>
          <w:tcPr>
            <w:tcW w:type="dxa" w:w="4680"/>
            <w:vAlign w:val="center"/>
            <w:shd w:fill="F4F6F9"/>
          </w:tcPr>
          <w:p>
            <w:pPr>
              <w:pStyle w:val="ScientificTableText"/>
              <w:jc w:val="left"/>
            </w:pPr>
            <w:r>
              <w:rPr>
                <w:rFonts w:ascii="Calibri" w:hAnsi="Calibri" w:eastAsia="Yu Gothic"/>
                <w:b/>
              </w:rPr>
              <w:t>判定量</w:t>
            </w:r>
          </w:p>
        </w:tc>
        <w:tc>
          <w:tcPr>
            <w:tcW w:type="dxa" w:w="4680"/>
            <w:vAlign w:val="center"/>
            <w:shd w:fill="F4F6F9"/>
          </w:tcPr>
          <w:p>
            <w:pPr>
              <w:pStyle w:val="ScientificTableText"/>
              <w:jc w:val="center"/>
            </w:pPr>
            <w:r>
              <w:rPr>
                <w:rFonts w:ascii="Calibri" w:hAnsi="Calibri" w:eastAsia="Yu Gothic"/>
                <w:b/>
              </w:rPr>
              <w:t>結果</w:t>
            </w:r>
          </w:p>
        </w:tc>
      </w:tr>
      <w:tr>
        <w:tc>
          <w:tcPr>
            <w:tcW w:type="dxa" w:w="4680"/>
            <w:vAlign w:val="center"/>
          </w:tcPr>
          <w:p>
            <w:pPr>
              <w:pStyle w:val="ScientificTableText"/>
              <w:jc w:val="left"/>
            </w:pPr>
            <w:r>
              <w:rPr>
                <w:rFonts w:ascii="Calibri" w:hAnsi="Calibri" w:eastAsia="Yu Gothic"/>
              </w:rPr>
              <w:t>Full count minus module count product</w:t>
            </w:r>
          </w:p>
        </w:tc>
        <w:tc>
          <w:tcPr>
            <w:tcW w:type="dxa" w:w="4680"/>
            <w:vAlign w:val="center"/>
          </w:tcPr>
          <w:p>
            <w:pPr>
              <w:pStyle w:val="ScientificTableText"/>
              <w:jc w:val="center"/>
            </w:pPr>
            <w:r>
              <w:rPr>
                <w:rFonts w:ascii="Calibri" w:hAnsi="Calibri" w:eastAsia="Yu Gothic"/>
              </w:rPr>
              <w:t>0</w:t>
            </w:r>
          </w:p>
        </w:tc>
      </w:tr>
      <w:tr>
        <w:tc>
          <w:tcPr>
            <w:tcW w:type="dxa" w:w="4680"/>
            <w:vAlign w:val="center"/>
          </w:tcPr>
          <w:p>
            <w:pPr>
              <w:pStyle w:val="ScientificTableText"/>
              <w:jc w:val="left"/>
            </w:pPr>
            <w:r>
              <w:rPr>
                <w:rFonts w:ascii="Calibri" w:hAnsi="Calibri" w:eastAsia="Yu Gothic"/>
              </w:rPr>
              <w:t>Task retention minus module retention product</w:t>
            </w:r>
          </w:p>
        </w:tc>
        <w:tc>
          <w:tcPr>
            <w:tcW w:type="dxa" w:w="4680"/>
            <w:vAlign w:val="center"/>
          </w:tcPr>
          <w:p>
            <w:pPr>
              <w:pStyle w:val="ScientificTableText"/>
              <w:jc w:val="center"/>
            </w:pPr>
            <w:r>
              <w:rPr>
                <w:rFonts w:ascii="Calibri" w:hAnsi="Calibri" w:eastAsia="Yu Gothic"/>
              </w:rPr>
              <w:t>最大絶対値0</w:t>
            </w:r>
          </w:p>
        </w:tc>
      </w:tr>
      <w:tr>
        <w:tc>
          <w:tcPr>
            <w:tcW w:type="dxa" w:w="4680"/>
            <w:vAlign w:val="center"/>
          </w:tcPr>
          <w:p>
            <w:pPr>
              <w:pStyle w:val="ScientificTableText"/>
              <w:jc w:val="left"/>
            </w:pPr>
            <w:r>
              <w:rPr>
                <w:rFonts w:ascii="Calibri" w:hAnsi="Calibri" w:eastAsia="Yu Gothic"/>
              </w:rPr>
              <w:t>Component box minimum slack</w:t>
            </w:r>
          </w:p>
        </w:tc>
        <w:tc>
          <w:tcPr>
            <w:tcW w:type="dxa" w:w="4680"/>
            <w:vAlign w:val="center"/>
          </w:tcPr>
          <w:p>
            <w:pPr>
              <w:pStyle w:val="ScientificTableText"/>
              <w:jc w:val="center"/>
            </w:pPr>
            <w:r>
              <w:rPr>
                <w:rFonts w:ascii="Calibri" w:hAnsi="Calibri" w:eastAsia="Yu Gothic"/>
              </w:rPr>
              <w:t>-1.11e-16</w:t>
            </w:r>
          </w:p>
        </w:tc>
      </w:tr>
      <w:tr>
        <w:tc>
          <w:tcPr>
            <w:tcW w:type="dxa" w:w="4680"/>
            <w:vAlign w:val="center"/>
          </w:tcPr>
          <w:p>
            <w:pPr>
              <w:pStyle w:val="ScientificTableText"/>
              <w:jc w:val="left"/>
            </w:pPr>
            <w:r>
              <w:rPr>
                <w:rFonts w:ascii="Calibri" w:hAnsi="Calibri" w:eastAsia="Yu Gothic"/>
              </w:rPr>
              <w:t>Full task minus component certified fraction</w:t>
            </w:r>
          </w:p>
        </w:tc>
        <w:tc>
          <w:tcPr>
            <w:tcW w:type="dxa" w:w="4680"/>
            <w:vAlign w:val="center"/>
          </w:tcPr>
          <w:p>
            <w:pPr>
              <w:pStyle w:val="ScientificTableText"/>
              <w:jc w:val="center"/>
            </w:pPr>
            <w:r>
              <w:rPr>
                <w:rFonts w:ascii="Calibri" w:hAnsi="Calibri" w:eastAsia="Yu Gothic"/>
              </w:rPr>
              <w:t>最小0</w:t>
            </w:r>
          </w:p>
        </w:tc>
      </w:tr>
      <w:tr>
        <w:tc>
          <w:tcPr>
            <w:tcW w:type="dxa" w:w="4680"/>
            <w:vAlign w:val="center"/>
          </w:tcPr>
          <w:p>
            <w:pPr>
              <w:pStyle w:val="ScientificTableText"/>
              <w:jc w:val="left"/>
            </w:pPr>
            <w:r>
              <w:rPr>
                <w:rFonts w:ascii="Calibri" w:hAnsi="Calibri" w:eastAsia="Yu Gothic"/>
              </w:rPr>
              <w:t>Full common fraction minus component fraction</w:t>
            </w:r>
          </w:p>
        </w:tc>
        <w:tc>
          <w:tcPr>
            <w:tcW w:type="dxa" w:w="4680"/>
            <w:vAlign w:val="center"/>
          </w:tcPr>
          <w:p>
            <w:pPr>
              <w:pStyle w:val="ScientificTableText"/>
              <w:jc w:val="center"/>
            </w:pPr>
            <w:r>
              <w:rPr>
                <w:rFonts w:ascii="Calibri" w:hAnsi="Calibri" w:eastAsia="Yu Gothic"/>
              </w:rPr>
              <w:t>範囲0–0</w:t>
            </w:r>
          </w:p>
        </w:tc>
      </w:tr>
    </w:tbl>
    <w:p>
      <w:pPr>
        <w:spacing w:before="0" w:after="40"/>
      </w:pPr>
    </w:p>
    <w:p>
      <w:r>
        <w:rPr>
          <w:rFonts w:ascii="Calibri" w:hAnsi="Calibri" w:eastAsia="Yu Gothic"/>
        </w:rPr>
        <w:t>task retentionは0.390625–1.0に分布した。従ってtask積則は保持率が定数だったためではない。既存common-boundary fractionは今回の4閾値でcomponent積fractionと一致したが、異質module一般での等号は主張しない。</w:t>
      </w:r>
    </w:p>
    <w:p>
      <w:pPr>
        <w:pStyle w:val="Heading2"/>
      </w:pPr>
      <w:r>
        <w:t>5.8 弱結合による積則残差</w:t>
      </w:r>
    </w:p>
    <w:p>
      <w:r>
        <w:rPr>
          <w:rFonts w:ascii="Calibri" w:hAnsi="Calibri" w:eastAsia="Yu Gothic"/>
        </w:rPr>
        <w:t>EXP-2026-014の未使用30 seedでは、全1,440点でcoupled raw countが16だった。</w:t>
      </w:r>
    </w:p>
    <w:tbl>
      <w:tblPr>
        <w:tblW w:type="dxa" w:w="9360"/>
        <w:tblLayout w:type="fixed"/>
        <w:tblLook w:firstColumn="1" w:firstRow="1" w:lastColumn="0" w:lastRow="0" w:noHBand="0" w:noVBand="1" w:val="04A0"/>
        <w:tblInd w:w="120" w:type="dxa"/>
        <w:tblLayout w:type="fixed"/>
        <w:tblBorders>
          <w:top w:val="single" w:sz="4" w:color="CBD2DA"/>
          <w:left w:val="single" w:sz="4" w:color="CBD2DA"/>
          <w:bottom w:val="single" w:sz="4" w:color="CBD2DA"/>
          <w:right w:val="single" w:sz="4" w:color="CBD2DA"/>
          <w:insideH w:val="single" w:sz="4" w:color="CBD2DA"/>
          <w:insideV w:val="single" w:sz="4" w:color="CBD2DA"/>
        </w:tblBorders>
        <w:tblCellMar>
          <w:top w:w="80" w:type="dxa"/>
          <w:bottom w:w="80" w:type="dxa"/>
          <w:start w:w="120" w:type="dxa"/>
          <w:end w:w="120" w:type="dxa"/>
        </w:tblCellMar>
      </w:tblPr>
      <w:tblGrid>
        <w:gridCol w:w="1560"/>
        <w:gridCol w:w="1560"/>
        <w:gridCol w:w="1560"/>
        <w:gridCol w:w="1560"/>
        <w:gridCol w:w="1560"/>
        <w:gridCol w:w="1560"/>
      </w:tblGrid>
      <w:tr>
        <w:trPr>
          <w:tblHeader w:val="true"/>
        </w:trPr>
        <w:tc>
          <w:tcPr>
            <w:tcW w:type="dxa" w:w="1560"/>
            <w:vAlign w:val="center"/>
            <w:shd w:fill="F4F6F9"/>
          </w:tcPr>
          <w:p>
            <w:pPr>
              <w:pStyle w:val="ScientificTableText"/>
              <w:jc w:val="left"/>
            </w:pPr>
            <w:r>
              <w:rPr>
                <w:rFonts w:ascii="Calibri" w:hAnsi="Calibri" w:eastAsia="Yu Gothic"/>
                <w:b/>
              </w:rPr>
              <w:t>Cross strength</w:t>
            </w:r>
          </w:p>
        </w:tc>
        <w:tc>
          <w:tcPr>
            <w:tcW w:type="dxa" w:w="1560"/>
            <w:vAlign w:val="center"/>
            <w:shd w:fill="F4F6F9"/>
          </w:tcPr>
          <w:p>
            <w:pPr>
              <w:pStyle w:val="ScientificTableText"/>
              <w:jc w:val="center"/>
            </w:pPr>
            <w:r>
              <w:rPr>
                <w:rFonts w:ascii="Calibri" w:hAnsi="Calibri" w:eastAsia="Yu Gothic"/>
                <w:b/>
              </w:rPr>
              <w:t>平均絶対残差</w:t>
            </w:r>
          </w:p>
        </w:tc>
        <w:tc>
          <w:tcPr>
            <w:tcW w:type="dxa" w:w="1560"/>
            <w:vAlign w:val="center"/>
            <w:shd w:fill="F4F6F9"/>
          </w:tcPr>
          <w:p>
            <w:pPr>
              <w:pStyle w:val="ScientificTableText"/>
              <w:jc w:val="center"/>
            </w:pPr>
            <w:r>
              <w:rPr>
                <w:rFonts w:ascii="Calibri" w:hAnsi="Calibri" w:eastAsia="Yu Gothic"/>
                <w:b/>
              </w:rPr>
              <w:t>非零残差率</w:t>
            </w:r>
          </w:p>
        </w:tc>
        <w:tc>
          <w:tcPr>
            <w:tcW w:type="dxa" w:w="1560"/>
            <w:vAlign w:val="center"/>
            <w:shd w:fill="F4F6F9"/>
          </w:tcPr>
          <w:p>
            <w:pPr>
              <w:pStyle w:val="ScientificTableText"/>
              <w:jc w:val="center"/>
            </w:pPr>
            <w:r>
              <w:rPr>
                <w:rFonts w:ascii="Calibri" w:hAnsi="Calibri" w:eastAsia="Yu Gothic"/>
                <w:b/>
              </w:rPr>
              <w:t>平均signed残差</w:t>
            </w:r>
          </w:p>
        </w:tc>
        <w:tc>
          <w:tcPr>
            <w:tcW w:type="dxa" w:w="1560"/>
            <w:vAlign w:val="center"/>
            <w:shd w:fill="F4F6F9"/>
          </w:tcPr>
          <w:p>
            <w:pPr>
              <w:pStyle w:val="ScientificTableText"/>
              <w:jc w:val="center"/>
            </w:pPr>
            <w:r>
              <w:rPr>
                <w:rFonts w:ascii="Calibri" w:hAnsi="Calibri" w:eastAsia="Yu Gothic"/>
                <w:b/>
              </w:rPr>
              <w:t>Transported率</w:t>
            </w:r>
          </w:p>
        </w:tc>
        <w:tc>
          <w:tcPr>
            <w:tcW w:type="dxa" w:w="1560"/>
            <w:vAlign w:val="center"/>
            <w:shd w:fill="F4F6F9"/>
          </w:tcPr>
          <w:p>
            <w:pPr>
              <w:pStyle w:val="ScientificTableText"/>
              <w:jc w:val="center"/>
            </w:pPr>
            <w:r>
              <w:rPr>
                <w:rFonts w:ascii="Calibri" w:hAnsi="Calibri" w:eastAsia="Yu Gothic"/>
                <w:b/>
              </w:rPr>
              <w:t>Norm-shifted率</w:t>
            </w:r>
          </w:p>
        </w:tc>
      </w:tr>
      <w:tr>
        <w:tc>
          <w:tcPr>
            <w:tcW w:type="dxa" w:w="1560"/>
            <w:vAlign w:val="center"/>
          </w:tcPr>
          <w:p>
            <w:pPr>
              <w:pStyle w:val="ScientificTableText"/>
              <w:jc w:val="left"/>
            </w:pPr>
            <w:r>
              <w:rPr>
                <w:rFonts w:ascii="Calibri" w:hAnsi="Calibri" w:eastAsia="Yu Gothic"/>
              </w:rPr>
              <w:t>0</w:t>
            </w:r>
          </w:p>
        </w:tc>
        <w:tc>
          <w:tcPr>
            <w:tcW w:type="dxa" w:w="1560"/>
            <w:vAlign w:val="center"/>
          </w:tcPr>
          <w:p>
            <w:pPr>
              <w:pStyle w:val="ScientificTableText"/>
              <w:jc w:val="center"/>
            </w:pPr>
            <w:r>
              <w:rPr>
                <w:rFonts w:ascii="Calibri" w:hAnsi="Calibri" w:eastAsia="Yu Gothic"/>
              </w:rPr>
              <w:t>0</w:t>
            </w:r>
          </w:p>
        </w:tc>
        <w:tc>
          <w:tcPr>
            <w:tcW w:type="dxa" w:w="1560"/>
            <w:vAlign w:val="center"/>
          </w:tcPr>
          <w:p>
            <w:pPr>
              <w:pStyle w:val="ScientificTableText"/>
              <w:jc w:val="center"/>
            </w:pPr>
            <w:r>
              <w:rPr>
                <w:rFonts w:ascii="Calibri" w:hAnsi="Calibri" w:eastAsia="Yu Gothic"/>
              </w:rPr>
              <w:t>0</w:t>
            </w:r>
          </w:p>
        </w:tc>
        <w:tc>
          <w:tcPr>
            <w:tcW w:type="dxa" w:w="1560"/>
            <w:vAlign w:val="center"/>
          </w:tcPr>
          <w:p>
            <w:pPr>
              <w:pStyle w:val="ScientificTableText"/>
              <w:jc w:val="center"/>
            </w:pPr>
            <w:r>
              <w:rPr>
                <w:rFonts w:ascii="Calibri" w:hAnsi="Calibri" w:eastAsia="Yu Gothic"/>
              </w:rPr>
              <w:t>0</w:t>
            </w:r>
          </w:p>
        </w:tc>
        <w:tc>
          <w:tcPr>
            <w:tcW w:type="dxa" w:w="1560"/>
            <w:vAlign w:val="center"/>
          </w:tcPr>
          <w:p>
            <w:pPr>
              <w:pStyle w:val="ScientificTableText"/>
              <w:jc w:val="center"/>
            </w:pPr>
            <w:r>
              <w:rPr>
                <w:rFonts w:ascii="Calibri" w:hAnsi="Calibri" w:eastAsia="Yu Gothic"/>
              </w:rPr>
              <w:t>0.6594</w:t>
            </w:r>
          </w:p>
        </w:tc>
        <w:tc>
          <w:tcPr>
            <w:tcW w:type="dxa" w:w="1560"/>
            <w:vAlign w:val="center"/>
          </w:tcPr>
          <w:p>
            <w:pPr>
              <w:pStyle w:val="ScientificTableText"/>
              <w:jc w:val="center"/>
            </w:pPr>
            <w:r>
              <w:rPr>
                <w:rFonts w:ascii="Calibri" w:hAnsi="Calibri" w:eastAsia="Yu Gothic"/>
              </w:rPr>
              <w:t>0.6594</w:t>
            </w:r>
          </w:p>
        </w:tc>
      </w:tr>
      <w:tr>
        <w:tc>
          <w:tcPr>
            <w:tcW w:type="dxa" w:w="1560"/>
            <w:vAlign w:val="center"/>
          </w:tcPr>
          <w:p>
            <w:pPr>
              <w:pStyle w:val="ScientificTableText"/>
              <w:jc w:val="left"/>
            </w:pPr>
            <w:r>
              <w:rPr>
                <w:rFonts w:ascii="Calibri" w:hAnsi="Calibri" w:eastAsia="Yu Gothic"/>
              </w:rPr>
              <w:t>0.0025</w:t>
            </w:r>
          </w:p>
        </w:tc>
        <w:tc>
          <w:tcPr>
            <w:tcW w:type="dxa" w:w="1560"/>
            <w:vAlign w:val="center"/>
          </w:tcPr>
          <w:p>
            <w:pPr>
              <w:pStyle w:val="ScientificTableText"/>
              <w:jc w:val="center"/>
            </w:pPr>
            <w:r>
              <w:rPr>
                <w:rFonts w:ascii="Calibri" w:hAnsi="Calibri" w:eastAsia="Yu Gothic"/>
              </w:rPr>
              <w:t>0.0123</w:t>
            </w:r>
          </w:p>
        </w:tc>
        <w:tc>
          <w:tcPr>
            <w:tcW w:type="dxa" w:w="1560"/>
            <w:vAlign w:val="center"/>
          </w:tcPr>
          <w:p>
            <w:pPr>
              <w:pStyle w:val="ScientificTableText"/>
              <w:jc w:val="center"/>
            </w:pPr>
            <w:r>
              <w:rPr>
                <w:rFonts w:ascii="Calibri" w:hAnsi="Calibri" w:eastAsia="Yu Gothic"/>
              </w:rPr>
              <w:t>0.1500</w:t>
            </w:r>
          </w:p>
        </w:tc>
        <w:tc>
          <w:tcPr>
            <w:tcW w:type="dxa" w:w="1560"/>
            <w:vAlign w:val="center"/>
          </w:tcPr>
          <w:p>
            <w:pPr>
              <w:pStyle w:val="ScientificTableText"/>
              <w:jc w:val="center"/>
            </w:pPr>
            <w:r>
              <w:rPr>
                <w:rFonts w:ascii="Calibri" w:hAnsi="Calibri" w:eastAsia="Yu Gothic"/>
              </w:rPr>
              <w:t>-0.0049</w:t>
            </w:r>
          </w:p>
        </w:tc>
        <w:tc>
          <w:tcPr>
            <w:tcW w:type="dxa" w:w="1560"/>
            <w:vAlign w:val="center"/>
          </w:tcPr>
          <w:p>
            <w:pPr>
              <w:pStyle w:val="ScientificTableText"/>
              <w:jc w:val="center"/>
            </w:pPr>
            <w:r>
              <w:rPr>
                <w:rFonts w:ascii="Calibri" w:hAnsi="Calibri" w:eastAsia="Yu Gothic"/>
              </w:rPr>
              <w:t>0.6443</w:t>
            </w:r>
          </w:p>
        </w:tc>
        <w:tc>
          <w:tcPr>
            <w:tcW w:type="dxa" w:w="1560"/>
            <w:vAlign w:val="center"/>
          </w:tcPr>
          <w:p>
            <w:pPr>
              <w:pStyle w:val="ScientificTableText"/>
              <w:jc w:val="center"/>
            </w:pPr>
            <w:r>
              <w:rPr>
                <w:rFonts w:ascii="Calibri" w:hAnsi="Calibri" w:eastAsia="Yu Gothic"/>
              </w:rPr>
              <w:t>0.6385</w:t>
            </w:r>
          </w:p>
        </w:tc>
      </w:tr>
      <w:tr>
        <w:tc>
          <w:tcPr>
            <w:tcW w:type="dxa" w:w="1560"/>
            <w:vAlign w:val="center"/>
          </w:tcPr>
          <w:p>
            <w:pPr>
              <w:pStyle w:val="ScientificTableText"/>
              <w:jc w:val="left"/>
            </w:pPr>
            <w:r>
              <w:rPr>
                <w:rFonts w:ascii="Calibri" w:hAnsi="Calibri" w:eastAsia="Yu Gothic"/>
              </w:rPr>
              <w:t>0.005</w:t>
            </w:r>
          </w:p>
        </w:tc>
        <w:tc>
          <w:tcPr>
            <w:tcW w:type="dxa" w:w="1560"/>
            <w:vAlign w:val="center"/>
          </w:tcPr>
          <w:p>
            <w:pPr>
              <w:pStyle w:val="ScientificTableText"/>
              <w:jc w:val="center"/>
            </w:pPr>
            <w:r>
              <w:rPr>
                <w:rFonts w:ascii="Calibri" w:hAnsi="Calibri" w:eastAsia="Yu Gothic"/>
              </w:rPr>
              <w:t>0.0199</w:t>
            </w:r>
          </w:p>
        </w:tc>
        <w:tc>
          <w:tcPr>
            <w:tcW w:type="dxa" w:w="1560"/>
            <w:vAlign w:val="center"/>
          </w:tcPr>
          <w:p>
            <w:pPr>
              <w:pStyle w:val="ScientificTableText"/>
              <w:jc w:val="center"/>
            </w:pPr>
            <w:r>
              <w:rPr>
                <w:rFonts w:ascii="Calibri" w:hAnsi="Calibri" w:eastAsia="Yu Gothic"/>
              </w:rPr>
              <w:t>0.2208</w:t>
            </w:r>
          </w:p>
        </w:tc>
        <w:tc>
          <w:tcPr>
            <w:tcW w:type="dxa" w:w="1560"/>
            <w:vAlign w:val="center"/>
          </w:tcPr>
          <w:p>
            <w:pPr>
              <w:pStyle w:val="ScientificTableText"/>
              <w:jc w:val="center"/>
            </w:pPr>
            <w:r>
              <w:rPr>
                <w:rFonts w:ascii="Calibri" w:hAnsi="Calibri" w:eastAsia="Yu Gothic"/>
              </w:rPr>
              <w:t>-0.0063</w:t>
            </w:r>
          </w:p>
        </w:tc>
        <w:tc>
          <w:tcPr>
            <w:tcW w:type="dxa" w:w="1560"/>
            <w:vAlign w:val="center"/>
          </w:tcPr>
          <w:p>
            <w:pPr>
              <w:pStyle w:val="ScientificTableText"/>
              <w:jc w:val="center"/>
            </w:pPr>
            <w:r>
              <w:rPr>
                <w:rFonts w:ascii="Calibri" w:hAnsi="Calibri" w:eastAsia="Yu Gothic"/>
              </w:rPr>
              <w:t>0.6333</w:t>
            </w:r>
          </w:p>
        </w:tc>
        <w:tc>
          <w:tcPr>
            <w:tcW w:type="dxa" w:w="1560"/>
            <w:vAlign w:val="center"/>
          </w:tcPr>
          <w:p>
            <w:pPr>
              <w:pStyle w:val="ScientificTableText"/>
              <w:jc w:val="center"/>
            </w:pPr>
            <w:r>
              <w:rPr>
                <w:rFonts w:ascii="Calibri" w:hAnsi="Calibri" w:eastAsia="Yu Gothic"/>
              </w:rPr>
              <w:t>0.6208</w:t>
            </w:r>
          </w:p>
        </w:tc>
      </w:tr>
      <w:tr>
        <w:tc>
          <w:tcPr>
            <w:tcW w:type="dxa" w:w="1560"/>
            <w:vAlign w:val="center"/>
          </w:tcPr>
          <w:p>
            <w:pPr>
              <w:pStyle w:val="ScientificTableText"/>
              <w:jc w:val="left"/>
            </w:pPr>
            <w:r>
              <w:rPr>
                <w:rFonts w:ascii="Calibri" w:hAnsi="Calibri" w:eastAsia="Yu Gothic"/>
              </w:rPr>
              <w:t>0.01</w:t>
            </w:r>
          </w:p>
        </w:tc>
        <w:tc>
          <w:tcPr>
            <w:tcW w:type="dxa" w:w="1560"/>
            <w:vAlign w:val="center"/>
          </w:tcPr>
          <w:p>
            <w:pPr>
              <w:pStyle w:val="ScientificTableText"/>
              <w:jc w:val="center"/>
            </w:pPr>
            <w:r>
              <w:rPr>
                <w:rFonts w:ascii="Calibri" w:hAnsi="Calibri" w:eastAsia="Yu Gothic"/>
              </w:rPr>
              <w:t>0.0229</w:t>
            </w:r>
          </w:p>
        </w:tc>
        <w:tc>
          <w:tcPr>
            <w:tcW w:type="dxa" w:w="1560"/>
            <w:vAlign w:val="center"/>
          </w:tcPr>
          <w:p>
            <w:pPr>
              <w:pStyle w:val="ScientificTableText"/>
              <w:jc w:val="center"/>
            </w:pPr>
            <w:r>
              <w:rPr>
                <w:rFonts w:ascii="Calibri" w:hAnsi="Calibri" w:eastAsia="Yu Gothic"/>
              </w:rPr>
              <w:t>0.2292</w:t>
            </w:r>
          </w:p>
        </w:tc>
        <w:tc>
          <w:tcPr>
            <w:tcW w:type="dxa" w:w="1560"/>
            <w:vAlign w:val="center"/>
          </w:tcPr>
          <w:p>
            <w:pPr>
              <w:pStyle w:val="ScientificTableText"/>
              <w:jc w:val="center"/>
            </w:pPr>
            <w:r>
              <w:rPr>
                <w:rFonts w:ascii="Calibri" w:hAnsi="Calibri" w:eastAsia="Yu Gothic"/>
              </w:rPr>
              <w:t>-0.0097</w:t>
            </w:r>
          </w:p>
        </w:tc>
        <w:tc>
          <w:tcPr>
            <w:tcW w:type="dxa" w:w="1560"/>
            <w:vAlign w:val="center"/>
          </w:tcPr>
          <w:p>
            <w:pPr>
              <w:pStyle w:val="ScientificTableText"/>
              <w:jc w:val="center"/>
            </w:pPr>
            <w:r>
              <w:rPr>
                <w:rFonts w:ascii="Calibri" w:hAnsi="Calibri" w:eastAsia="Yu Gothic"/>
              </w:rPr>
              <w:t>0.6203</w:t>
            </w:r>
          </w:p>
        </w:tc>
        <w:tc>
          <w:tcPr>
            <w:tcW w:type="dxa" w:w="1560"/>
            <w:vAlign w:val="center"/>
          </w:tcPr>
          <w:p>
            <w:pPr>
              <w:pStyle w:val="ScientificTableText"/>
              <w:jc w:val="center"/>
            </w:pPr>
            <w:r>
              <w:rPr>
                <w:rFonts w:ascii="Calibri" w:hAnsi="Calibri" w:eastAsia="Yu Gothic"/>
              </w:rPr>
              <w:t>0.5979</w:t>
            </w:r>
          </w:p>
        </w:tc>
      </w:tr>
      <w:tr>
        <w:tc>
          <w:tcPr>
            <w:tcW w:type="dxa" w:w="1560"/>
            <w:vAlign w:val="center"/>
          </w:tcPr>
          <w:p>
            <w:pPr>
              <w:pStyle w:val="ScientificTableText"/>
              <w:jc w:val="left"/>
            </w:pPr>
            <w:r>
              <w:rPr>
                <w:rFonts w:ascii="Calibri" w:hAnsi="Calibri" w:eastAsia="Yu Gothic"/>
              </w:rPr>
              <w:t>0.02</w:t>
            </w:r>
          </w:p>
        </w:tc>
        <w:tc>
          <w:tcPr>
            <w:tcW w:type="dxa" w:w="1560"/>
            <w:vAlign w:val="center"/>
          </w:tcPr>
          <w:p>
            <w:pPr>
              <w:pStyle w:val="ScientificTableText"/>
              <w:jc w:val="center"/>
            </w:pPr>
            <w:r>
              <w:rPr>
                <w:rFonts w:ascii="Calibri" w:hAnsi="Calibri" w:eastAsia="Yu Gothic"/>
              </w:rPr>
              <w:t>0.0379</w:t>
            </w:r>
          </w:p>
        </w:tc>
        <w:tc>
          <w:tcPr>
            <w:tcW w:type="dxa" w:w="1560"/>
            <w:vAlign w:val="center"/>
          </w:tcPr>
          <w:p>
            <w:pPr>
              <w:pStyle w:val="ScientificTableText"/>
              <w:jc w:val="center"/>
            </w:pPr>
            <w:r>
              <w:rPr>
                <w:rFonts w:ascii="Calibri" w:hAnsi="Calibri" w:eastAsia="Yu Gothic"/>
              </w:rPr>
              <w:t>0.3792</w:t>
            </w:r>
          </w:p>
        </w:tc>
        <w:tc>
          <w:tcPr>
            <w:tcW w:type="dxa" w:w="1560"/>
            <w:vAlign w:val="center"/>
          </w:tcPr>
          <w:p>
            <w:pPr>
              <w:pStyle w:val="ScientificTableText"/>
              <w:jc w:val="center"/>
            </w:pPr>
            <w:r>
              <w:rPr>
                <w:rFonts w:ascii="Calibri" w:hAnsi="Calibri" w:eastAsia="Yu Gothic"/>
              </w:rPr>
              <w:t>-0.0284</w:t>
            </w:r>
          </w:p>
        </w:tc>
        <w:tc>
          <w:tcPr>
            <w:tcW w:type="dxa" w:w="1560"/>
            <w:vAlign w:val="center"/>
          </w:tcPr>
          <w:p>
            <w:pPr>
              <w:pStyle w:val="ScientificTableText"/>
              <w:jc w:val="center"/>
            </w:pPr>
            <w:r>
              <w:rPr>
                <w:rFonts w:ascii="Calibri" w:hAnsi="Calibri" w:eastAsia="Yu Gothic"/>
              </w:rPr>
              <w:t>0.6052</w:t>
            </w:r>
          </w:p>
        </w:tc>
        <w:tc>
          <w:tcPr>
            <w:tcW w:type="dxa" w:w="1560"/>
            <w:vAlign w:val="center"/>
          </w:tcPr>
          <w:p>
            <w:pPr>
              <w:pStyle w:val="ScientificTableText"/>
              <w:jc w:val="center"/>
            </w:pPr>
            <w:r>
              <w:rPr>
                <w:rFonts w:ascii="Calibri" w:hAnsi="Calibri" w:eastAsia="Yu Gothic"/>
              </w:rPr>
              <w:t>0.5656</w:t>
            </w:r>
          </w:p>
        </w:tc>
      </w:tr>
      <w:tr>
        <w:tc>
          <w:tcPr>
            <w:tcW w:type="dxa" w:w="1560"/>
            <w:vAlign w:val="center"/>
          </w:tcPr>
          <w:p>
            <w:pPr>
              <w:pStyle w:val="ScientificTableText"/>
              <w:jc w:val="left"/>
            </w:pPr>
            <w:r>
              <w:rPr>
                <w:rFonts w:ascii="Calibri" w:hAnsi="Calibri" w:eastAsia="Yu Gothic"/>
              </w:rPr>
              <w:t>0.04</w:t>
            </w:r>
          </w:p>
        </w:tc>
        <w:tc>
          <w:tcPr>
            <w:tcW w:type="dxa" w:w="1560"/>
            <w:vAlign w:val="center"/>
          </w:tcPr>
          <w:p>
            <w:pPr>
              <w:pStyle w:val="ScientificTableText"/>
              <w:jc w:val="center"/>
            </w:pPr>
            <w:r>
              <w:rPr>
                <w:rFonts w:ascii="Calibri" w:hAnsi="Calibri" w:eastAsia="Yu Gothic"/>
              </w:rPr>
              <w:t>0.0831</w:t>
            </w:r>
          </w:p>
        </w:tc>
        <w:tc>
          <w:tcPr>
            <w:tcW w:type="dxa" w:w="1560"/>
            <w:vAlign w:val="center"/>
          </w:tcPr>
          <w:p>
            <w:pPr>
              <w:pStyle w:val="ScientificTableText"/>
              <w:jc w:val="center"/>
            </w:pPr>
            <w:r>
              <w:rPr>
                <w:rFonts w:ascii="Calibri" w:hAnsi="Calibri" w:eastAsia="Yu Gothic"/>
              </w:rPr>
              <w:t>0.6500</w:t>
            </w:r>
          </w:p>
        </w:tc>
        <w:tc>
          <w:tcPr>
            <w:tcW w:type="dxa" w:w="1560"/>
            <w:vAlign w:val="center"/>
          </w:tcPr>
          <w:p>
            <w:pPr>
              <w:pStyle w:val="ScientificTableText"/>
              <w:jc w:val="center"/>
            </w:pPr>
            <w:r>
              <w:rPr>
                <w:rFonts w:ascii="Calibri" w:hAnsi="Calibri" w:eastAsia="Yu Gothic"/>
              </w:rPr>
              <w:t>-0.0358</w:t>
            </w:r>
          </w:p>
        </w:tc>
        <w:tc>
          <w:tcPr>
            <w:tcW w:type="dxa" w:w="1560"/>
            <w:vAlign w:val="center"/>
          </w:tcPr>
          <w:p>
            <w:pPr>
              <w:pStyle w:val="ScientificTableText"/>
              <w:jc w:val="center"/>
            </w:pPr>
            <w:r>
              <w:rPr>
                <w:rFonts w:ascii="Calibri" w:hAnsi="Calibri" w:eastAsia="Yu Gothic"/>
              </w:rPr>
              <w:t>0.5250</w:t>
            </w:r>
          </w:p>
        </w:tc>
        <w:tc>
          <w:tcPr>
            <w:tcW w:type="dxa" w:w="1560"/>
            <w:vAlign w:val="center"/>
          </w:tcPr>
          <w:p>
            <w:pPr>
              <w:pStyle w:val="ScientificTableText"/>
              <w:jc w:val="center"/>
            </w:pPr>
            <w:r>
              <w:rPr>
                <w:rFonts w:ascii="Calibri" w:hAnsi="Calibri" w:eastAsia="Yu Gothic"/>
              </w:rPr>
              <w:t>0.4406</w:t>
            </w:r>
          </w:p>
        </w:tc>
      </w:tr>
    </w:tbl>
    <w:p>
      <w:pPr>
        <w:spacing w:before="0" w:after="40"/>
      </w:pPr>
    </w:p>
    <w:p>
      <w:r>
        <w:rPr>
          <w:rFonts w:ascii="Calibri" w:hAnsi="Calibri" w:eastAsia="Yu Gothic"/>
        </w:rPr>
        <w:t>平均絶対残差はstrength順に単調非減少し、最大絶対残差は0.375だった。事前登録8判定はすべて成立した。Transported rectangleとnorm-shifted certificateのtask下界違反はなく、transportedがnorm-shiftedを下回る点もなかった。従って、raw count一定でもmodule間相互作用はisolated積からの機能残差として観測でき、実際のcross-edge符号を用いることでnormだけの最悪時保証より多くのorthantを認証できた。</w:t>
      </w:r>
    </w:p>
    <w:p>
      <w:pPr>
        <w:pStyle w:val="Heading2"/>
      </w:pPr>
      <w:r>
        <w:t>5.9 空間局所gateによるcore保護とreserve記憶</w:t>
      </w:r>
    </w:p>
    <w:p>
      <w:r>
        <w:rPr>
          <w:rFonts w:ascii="Calibri" w:hAnsi="Calibri" w:eastAsia="Yu Gothic"/>
        </w:rPr>
        <w:t>EXP-2026-015の事前固定10判定はすべて成立した。確認前構造gateでは90 networkが90絶対値構造classとなり、全て3+5 module、非対称、双方向bridgeだった。270条件、2,851,200座標遷移で局所政策の8必須orthant保持率は全て1、certificate違反は0、場の値域は[0, 0.99843]、energy-matching最大誤差は4.44×10⁻¹⁶だった。</w:t>
      </w:r>
    </w:p>
    <w:tbl>
      <w:tblPr>
        <w:tblW w:type="dxa" w:w="9360"/>
        <w:tblLayout w:type="fixed"/>
        <w:tblLook w:firstColumn="1" w:firstRow="1" w:lastColumn="0" w:lastRow="0" w:noHBand="0" w:noVBand="1" w:val="04A0"/>
        <w:tblInd w:w="120" w:type="dxa"/>
        <w:tblLayout w:type="fixed"/>
        <w:tblBorders>
          <w:top w:val="single" w:sz="4" w:color="CBD2DA"/>
          <w:left w:val="single" w:sz="4" w:color="CBD2DA"/>
          <w:bottom w:val="single" w:sz="4" w:color="CBD2DA"/>
          <w:right w:val="single" w:sz="4" w:color="CBD2DA"/>
          <w:insideH w:val="single" w:sz="4" w:color="CBD2DA"/>
          <w:insideV w:val="single" w:sz="4" w:color="CBD2DA"/>
        </w:tblBorders>
        <w:tblCellMar>
          <w:top w:w="80" w:type="dxa"/>
          <w:bottom w:w="80" w:type="dxa"/>
          <w:start w:w="120" w:type="dxa"/>
          <w:end w:w="120" w:type="dxa"/>
        </w:tblCellMar>
      </w:tblPr>
      <w:tblGrid>
        <w:gridCol w:w="4000"/>
        <w:gridCol w:w="1800"/>
        <w:gridCol w:w="3560"/>
      </w:tblGrid>
      <w:tr>
        <w:trPr>
          <w:tblHeader w:val="true"/>
        </w:trPr>
        <w:tc>
          <w:tcPr>
            <w:tcW w:type="dxa" w:w="4000"/>
            <w:vAlign w:val="center"/>
            <w:shd w:fill="F4F6F9"/>
          </w:tcPr>
          <w:p>
            <w:pPr>
              <w:pStyle w:val="ScientificTableText"/>
              <w:jc w:val="left"/>
            </w:pPr>
            <w:r>
              <w:rPr>
                <w:rFonts w:ascii="Calibri" w:hAnsi="Calibri" w:eastAsia="Yu Gothic"/>
                <w:b/>
              </w:rPr>
              <w:t>比較</w:t>
            </w:r>
          </w:p>
        </w:tc>
        <w:tc>
          <w:tcPr>
            <w:tcW w:type="dxa" w:w="1800"/>
            <w:vAlign w:val="center"/>
            <w:shd w:fill="F4F6F9"/>
          </w:tcPr>
          <w:p>
            <w:pPr>
              <w:pStyle w:val="ScientificTableText"/>
              <w:jc w:val="center"/>
            </w:pPr>
            <w:r>
              <w:rPr>
                <w:rFonts w:ascii="Calibri" w:hAnsi="Calibri" w:eastAsia="Yu Gothic"/>
                <w:b/>
              </w:rPr>
              <w:t>対応平均差</w:t>
            </w:r>
          </w:p>
        </w:tc>
        <w:tc>
          <w:tcPr>
            <w:tcW w:type="dxa" w:w="3560"/>
            <w:vAlign w:val="center"/>
            <w:shd w:fill="F4F6F9"/>
          </w:tcPr>
          <w:p>
            <w:pPr>
              <w:pStyle w:val="ScientificTableText"/>
              <w:jc w:val="center"/>
            </w:pPr>
            <w:r>
              <w:rPr>
                <w:rFonts w:ascii="Calibri" w:hAnsi="Calibri" w:eastAsia="Yu Gothic"/>
                <w:b/>
              </w:rPr>
              <w:t>95% bootstrap区間</w:t>
            </w:r>
          </w:p>
        </w:tc>
      </w:tr>
      <w:tr>
        <w:tc>
          <w:tcPr>
            <w:tcW w:type="dxa" w:w="4000"/>
            <w:vAlign w:val="center"/>
          </w:tcPr>
          <w:p>
            <w:pPr>
              <w:pStyle w:val="ScientificTableText"/>
              <w:jc w:val="left"/>
            </w:pPr>
            <w:r>
              <w:rPr>
                <w:rFonts w:ascii="Calibri" w:hAnsi="Calibri" w:eastAsia="Yu Gothic"/>
              </w:rPr>
              <w:t>Local minus global core retention</w:t>
            </w:r>
          </w:p>
        </w:tc>
        <w:tc>
          <w:tcPr>
            <w:tcW w:type="dxa" w:w="1800"/>
            <w:vAlign w:val="center"/>
          </w:tcPr>
          <w:p>
            <w:pPr>
              <w:pStyle w:val="ScientificTableText"/>
              <w:jc w:val="center"/>
            </w:pPr>
            <w:r>
              <w:rPr>
                <w:rFonts w:ascii="Calibri" w:hAnsi="Calibri" w:eastAsia="Yu Gothic"/>
              </w:rPr>
              <w:t>0.347222</w:t>
            </w:r>
          </w:p>
        </w:tc>
        <w:tc>
          <w:tcPr>
            <w:tcW w:type="dxa" w:w="3560"/>
            <w:vAlign w:val="center"/>
          </w:tcPr>
          <w:p>
            <w:pPr>
              <w:pStyle w:val="ScientificTableText"/>
              <w:jc w:val="center"/>
            </w:pPr>
            <w:r>
              <w:rPr>
                <w:rFonts w:ascii="Calibri" w:hAnsi="Calibri" w:eastAsia="Yu Gothic"/>
              </w:rPr>
              <w:t>[0.239317, 0.468056]</w:t>
            </w:r>
          </w:p>
        </w:tc>
      </w:tr>
      <w:tr>
        <w:tc>
          <w:tcPr>
            <w:tcW w:type="dxa" w:w="4000"/>
            <w:vAlign w:val="center"/>
          </w:tcPr>
          <w:p>
            <w:pPr>
              <w:pStyle w:val="ScientificTableText"/>
              <w:jc w:val="left"/>
            </w:pPr>
            <w:r>
              <w:rPr>
                <w:rFonts w:ascii="Calibri" w:hAnsi="Calibri" w:eastAsia="Yu Gothic"/>
              </w:rPr>
              <w:t>Local minus global reserve capacity</w:t>
            </w:r>
          </w:p>
        </w:tc>
        <w:tc>
          <w:tcPr>
            <w:tcW w:type="dxa" w:w="1800"/>
            <w:vAlign w:val="center"/>
          </w:tcPr>
          <w:p>
            <w:pPr>
              <w:pStyle w:val="ScientificTableText"/>
              <w:jc w:val="center"/>
            </w:pPr>
            <w:r>
              <w:rPr>
                <w:rFonts w:ascii="Calibri" w:hAnsi="Calibri" w:eastAsia="Yu Gothic"/>
              </w:rPr>
              <w:t>0.076829</w:t>
            </w:r>
          </w:p>
        </w:tc>
        <w:tc>
          <w:tcPr>
            <w:tcW w:type="dxa" w:w="3560"/>
            <w:vAlign w:val="center"/>
          </w:tcPr>
          <w:p>
            <w:pPr>
              <w:pStyle w:val="ScientificTableText"/>
              <w:jc w:val="center"/>
            </w:pPr>
            <w:r>
              <w:rPr>
                <w:rFonts w:ascii="Calibri" w:hAnsi="Calibri" w:eastAsia="Yu Gothic"/>
              </w:rPr>
              <w:t>[0.063495, 0.091225]</w:t>
            </w:r>
          </w:p>
        </w:tc>
      </w:tr>
      <w:tr>
        <w:tc>
          <w:tcPr>
            <w:tcW w:type="dxa" w:w="4000"/>
            <w:vAlign w:val="center"/>
          </w:tcPr>
          <w:p>
            <w:pPr>
              <w:pStyle w:val="ScientificTableText"/>
              <w:jc w:val="left"/>
            </w:pPr>
            <w:r>
              <w:rPr>
                <w:rFonts w:ascii="Calibri" w:hAnsi="Calibri" w:eastAsia="Yu Gothic"/>
              </w:rPr>
              <w:t>Local minus ungated core retention</w:t>
            </w:r>
          </w:p>
        </w:tc>
        <w:tc>
          <w:tcPr>
            <w:tcW w:type="dxa" w:w="1800"/>
            <w:vAlign w:val="center"/>
          </w:tcPr>
          <w:p>
            <w:pPr>
              <w:pStyle w:val="ScientificTableText"/>
              <w:jc w:val="center"/>
            </w:pPr>
            <w:r>
              <w:rPr>
                <w:rFonts w:ascii="Calibri" w:hAnsi="Calibri" w:eastAsia="Yu Gothic"/>
              </w:rPr>
              <w:t>0.124074</w:t>
            </w:r>
          </w:p>
        </w:tc>
        <w:tc>
          <w:tcPr>
            <w:tcW w:type="dxa" w:w="3560"/>
            <w:vAlign w:val="center"/>
          </w:tcPr>
          <w:p>
            <w:pPr>
              <w:pStyle w:val="ScientificTableText"/>
              <w:jc w:val="center"/>
            </w:pPr>
            <w:r>
              <w:rPr>
                <w:rFonts w:ascii="Calibri" w:hAnsi="Calibri" w:eastAsia="Yu Gothic"/>
              </w:rPr>
              <w:t>[0.044896, 0.213912]</w:t>
            </w:r>
          </w:p>
        </w:tc>
      </w:tr>
    </w:tbl>
    <w:p>
      <w:pPr>
        <w:spacing w:before="0" w:after="40"/>
      </w:pPr>
    </w:p>
    <w:p>
      <w:r>
        <w:rPr>
          <w:rFonts w:ascii="Calibri" w:hAnsi="Calibri" w:eastAsia="Yu Gothic"/>
        </w:rPr>
        <w:t>最大feedback gain 0.80では、noise 0、0.04、0.08に対するcore保持率が局所政策で全て1、ungatedで0.7875、0.7833、0.7750、globalで0.4708、0.4250、0.2792だった。従って、同じ介入energyでも一様な全結合減衰よりbridge局所gateの方が、必須core状態を保ちながらreserve内部の線形記憶を残した。これは単一のfeedback-driven局所政策と単純global対照の比較であり、局所制御一般の最適性を示さない。</w:t>
      </w:r>
    </w:p>
    <w:p>
      <w:pPr>
        <w:pStyle w:val="Heading2"/>
      </w:pPr>
      <w:r>
        <w:t>5.10 非対称・異サイズmoduleへのcomponent外挿</w:t>
      </w:r>
    </w:p>
    <w:p>
      <w:r>
        <w:rPr>
          <w:rFonts w:ascii="Calibri" w:hAnsi="Calibri" w:eastAsia="Yu Gothic"/>
        </w:rPr>
        <w:t>EXP-2026-016の確認前構造gateでは、2 internal gain、4 cross strengthの各群で30 networkが30絶対値構造classとなり、全て3+5 module、非対称、双方向bridgeだった。固定pilot modelのhashは一致し、960点、983,040 challengeにおける事前登録9判定はすべて成立した。Task保持率は0.300781–1、零結合の最大絶対積則残差は0、全条件を含む最大絶対task積残差は0.185547だった。</w:t>
      </w:r>
    </w:p>
    <w:tbl>
      <w:tblPr>
        <w:tblW w:type="dxa" w:w="9360"/>
        <w:tblLayout w:type="fixed"/>
        <w:tblLook w:firstColumn="1" w:firstRow="1" w:lastColumn="0" w:lastRow="0" w:noHBand="0" w:noVBand="1" w:val="04A0"/>
        <w:tblInd w:w="120" w:type="dxa"/>
        <w:tblLayout w:type="fixed"/>
        <w:tblBorders>
          <w:top w:val="single" w:sz="4" w:color="CBD2DA"/>
          <w:left w:val="single" w:sz="4" w:color="CBD2DA"/>
          <w:bottom w:val="single" w:sz="4" w:color="CBD2DA"/>
          <w:right w:val="single" w:sz="4" w:color="CBD2DA"/>
          <w:insideH w:val="single" w:sz="4" w:color="CBD2DA"/>
          <w:insideV w:val="single" w:sz="4" w:color="CBD2DA"/>
        </w:tblBorders>
        <w:tblCellMar>
          <w:top w:w="80" w:type="dxa"/>
          <w:bottom w:w="80" w:type="dxa"/>
          <w:start w:w="120" w:type="dxa"/>
          <w:end w:w="120" w:type="dxa"/>
        </w:tblCellMar>
      </w:tblPr>
      <w:tblGrid>
        <w:gridCol w:w="4000"/>
        <w:gridCol w:w="1800"/>
        <w:gridCol w:w="3560"/>
      </w:tblGrid>
      <w:tr>
        <w:trPr>
          <w:tblHeader w:val="true"/>
        </w:trPr>
        <w:tc>
          <w:tcPr>
            <w:tcW w:type="dxa" w:w="4000"/>
            <w:vAlign w:val="center"/>
            <w:shd w:fill="F4F6F9"/>
          </w:tcPr>
          <w:p>
            <w:pPr>
              <w:pStyle w:val="ScientificTableText"/>
              <w:jc w:val="left"/>
            </w:pPr>
            <w:r>
              <w:rPr>
                <w:rFonts w:ascii="Calibri" w:hAnsi="Calibri" w:eastAsia="Yu Gothic"/>
                <w:b/>
              </w:rPr>
              <w:t>Model</w:t>
            </w:r>
          </w:p>
        </w:tc>
        <w:tc>
          <w:tcPr>
            <w:tcW w:type="dxa" w:w="1800"/>
            <w:vAlign w:val="center"/>
            <w:shd w:fill="F4F6F9"/>
          </w:tcPr>
          <w:p>
            <w:pPr>
              <w:pStyle w:val="ScientificTableText"/>
              <w:jc w:val="center"/>
            </w:pPr>
            <w:r>
              <w:rPr>
                <w:rFonts w:ascii="Calibri" w:hAnsi="Calibri" w:eastAsia="Yu Gothic"/>
                <w:b/>
              </w:rPr>
              <w:t>Confirmation MAE</w:t>
            </w:r>
          </w:p>
        </w:tc>
        <w:tc>
          <w:tcPr>
            <w:tcW w:type="dxa" w:w="3560"/>
            <w:vAlign w:val="center"/>
            <w:shd w:fill="F4F6F9"/>
          </w:tcPr>
          <w:p>
            <w:pPr>
              <w:pStyle w:val="ScientificTableText"/>
              <w:jc w:val="center"/>
            </w:pPr>
            <w:r>
              <w:rPr>
                <w:rFonts w:ascii="Calibri" w:hAnsi="Calibri" w:eastAsia="Yu Gothic"/>
                <w:b/>
              </w:rPr>
              <w:t>Spearman</w:t>
            </w:r>
          </w:p>
        </w:tc>
      </w:tr>
      <w:tr>
        <w:tc>
          <w:tcPr>
            <w:tcW w:type="dxa" w:w="4000"/>
            <w:vAlign w:val="center"/>
          </w:tcPr>
          <w:p>
            <w:pPr>
              <w:pStyle w:val="ScientificTableText"/>
              <w:jc w:val="left"/>
            </w:pPr>
            <w:r>
              <w:rPr>
                <w:rFonts w:ascii="Calibri" w:hAnsi="Calibri" w:eastAsia="Yu Gothic"/>
              </w:rPr>
              <w:t>Component-aware</w:t>
            </w:r>
          </w:p>
        </w:tc>
        <w:tc>
          <w:tcPr>
            <w:tcW w:type="dxa" w:w="1800"/>
            <w:vAlign w:val="center"/>
          </w:tcPr>
          <w:p>
            <w:pPr>
              <w:pStyle w:val="ScientificTableText"/>
              <w:jc w:val="center"/>
            </w:pPr>
            <w:r>
              <w:rPr>
                <w:rFonts w:ascii="Calibri" w:hAnsi="Calibri" w:eastAsia="Yu Gothic"/>
              </w:rPr>
              <w:t>0.012318</w:t>
            </w:r>
          </w:p>
        </w:tc>
        <w:tc>
          <w:tcPr>
            <w:tcW w:type="dxa" w:w="3560"/>
            <w:vAlign w:val="center"/>
          </w:tcPr>
          <w:p>
            <w:pPr>
              <w:pStyle w:val="ScientificTableText"/>
              <w:jc w:val="center"/>
            </w:pPr>
            <w:r>
              <w:rPr>
                <w:rFonts w:ascii="Calibri" w:hAnsi="Calibri" w:eastAsia="Yu Gothic"/>
              </w:rPr>
              <w:t>0.811620</w:t>
            </w:r>
          </w:p>
        </w:tc>
      </w:tr>
      <w:tr>
        <w:tc>
          <w:tcPr>
            <w:tcW w:type="dxa" w:w="4000"/>
            <w:vAlign w:val="center"/>
          </w:tcPr>
          <w:p>
            <w:pPr>
              <w:pStyle w:val="ScientificTableText"/>
              <w:jc w:val="left"/>
            </w:pPr>
            <w:r>
              <w:rPr>
                <w:rFonts w:ascii="Calibri" w:hAnsi="Calibri" w:eastAsia="Yu Gothic"/>
              </w:rPr>
              <w:t>Global profile</w:t>
            </w:r>
          </w:p>
        </w:tc>
        <w:tc>
          <w:tcPr>
            <w:tcW w:type="dxa" w:w="1800"/>
            <w:vAlign w:val="center"/>
          </w:tcPr>
          <w:p>
            <w:pPr>
              <w:pStyle w:val="ScientificTableText"/>
              <w:jc w:val="center"/>
            </w:pPr>
            <w:r>
              <w:rPr>
                <w:rFonts w:ascii="Calibri" w:hAnsi="Calibri" w:eastAsia="Yu Gothic"/>
              </w:rPr>
              <w:t>0.039698</w:t>
            </w:r>
          </w:p>
        </w:tc>
        <w:tc>
          <w:tcPr>
            <w:tcW w:type="dxa" w:w="3560"/>
            <w:vAlign w:val="center"/>
          </w:tcPr>
          <w:p>
            <w:pPr>
              <w:pStyle w:val="ScientificTableText"/>
              <w:jc w:val="center"/>
            </w:pPr>
            <w:r>
              <w:rPr>
                <w:rFonts w:ascii="Calibri" w:hAnsi="Calibri" w:eastAsia="Yu Gothic"/>
              </w:rPr>
              <w:t>0.854236</w:t>
            </w:r>
          </w:p>
        </w:tc>
      </w:tr>
      <w:tr>
        <w:tc>
          <w:tcPr>
            <w:tcW w:type="dxa" w:w="4000"/>
            <w:vAlign w:val="center"/>
          </w:tcPr>
          <w:p>
            <w:pPr>
              <w:pStyle w:val="ScientificTableText"/>
              <w:jc w:val="left"/>
            </w:pPr>
            <w:r>
              <w:rPr>
                <w:rFonts w:ascii="Calibri" w:hAnsi="Calibri" w:eastAsia="Yu Gothic"/>
              </w:rPr>
              <w:t>Product-only</w:t>
            </w:r>
          </w:p>
        </w:tc>
        <w:tc>
          <w:tcPr>
            <w:tcW w:type="dxa" w:w="1800"/>
            <w:vAlign w:val="center"/>
          </w:tcPr>
          <w:p>
            <w:pPr>
              <w:pStyle w:val="ScientificTableText"/>
              <w:jc w:val="center"/>
            </w:pPr>
            <w:r>
              <w:rPr>
                <w:rFonts w:ascii="Calibri" w:hAnsi="Calibri" w:eastAsia="Yu Gothic"/>
              </w:rPr>
              <w:t>0.016989</w:t>
            </w:r>
          </w:p>
        </w:tc>
        <w:tc>
          <w:tcPr>
            <w:tcW w:type="dxa" w:w="3560"/>
            <w:vAlign w:val="center"/>
          </w:tcPr>
          <w:p>
            <w:pPr>
              <w:pStyle w:val="ScientificTableText"/>
              <w:jc w:val="center"/>
            </w:pPr>
            <w:r>
              <w:rPr>
                <w:rFonts w:ascii="Calibri" w:hAnsi="Calibri" w:eastAsia="Yu Gothic"/>
              </w:rPr>
              <w:t>0.906200</w:t>
            </w:r>
          </w:p>
        </w:tc>
      </w:tr>
    </w:tbl>
    <w:p>
      <w:pPr>
        <w:spacing w:before="0" w:after="40"/>
      </w:pPr>
    </w:p>
    <w:p>
      <w:r>
        <w:rPr>
          <w:rFonts w:ascii="Calibri" w:hAnsi="Calibri" w:eastAsia="Yu Gothic"/>
        </w:rPr>
        <w:t>seed単位bootstrapでglobal minus component MAEは0.027380、95%区間 [0.024736, 0.030278]、product-only minus componentは0.004671、[0.004166, 0.005115]だった。従ってcomponent表現は絶対保持率の較正を改善したが、順位相関では二baselineを上回らなかった。</w:t>
      </w:r>
    </w:p>
    <w:tbl>
      <w:tblPr>
        <w:tblW w:type="dxa" w:w="9360"/>
        <w:tblLayout w:type="fixed"/>
        <w:tblLook w:firstColumn="1" w:firstRow="1" w:lastColumn="0" w:lastRow="0" w:noHBand="0" w:noVBand="1" w:val="04A0"/>
        <w:tblInd w:w="120" w:type="dxa"/>
        <w:tblLayout w:type="fixed"/>
        <w:tblBorders>
          <w:top w:val="single" w:sz="4" w:color="CBD2DA"/>
          <w:left w:val="single" w:sz="4" w:color="CBD2DA"/>
          <w:bottom w:val="single" w:sz="4" w:color="CBD2DA"/>
          <w:right w:val="single" w:sz="4" w:color="CBD2DA"/>
          <w:insideH w:val="single" w:sz="4" w:color="CBD2DA"/>
          <w:insideV w:val="single" w:sz="4" w:color="CBD2DA"/>
        </w:tblBorders>
        <w:tblCellMar>
          <w:top w:w="80" w:type="dxa"/>
          <w:bottom w:w="80" w:type="dxa"/>
          <w:start w:w="120" w:type="dxa"/>
          <w:end w:w="120" w:type="dxa"/>
        </w:tblCellMar>
      </w:tblPr>
      <w:tblGrid>
        <w:gridCol w:w="2800"/>
        <w:gridCol w:w="1640"/>
        <w:gridCol w:w="1640"/>
        <w:gridCol w:w="1640"/>
        <w:gridCol w:w="1640"/>
      </w:tblGrid>
      <w:tr>
        <w:trPr>
          <w:tblHeader w:val="true"/>
        </w:trPr>
        <w:tc>
          <w:tcPr>
            <w:tcW w:type="dxa" w:w="2800"/>
            <w:vAlign w:val="center"/>
            <w:shd w:fill="F4F6F9"/>
          </w:tcPr>
          <w:p>
            <w:pPr>
              <w:pStyle w:val="ScientificTableText"/>
              <w:jc w:val="left"/>
            </w:pPr>
            <w:r>
              <w:rPr>
                <w:rFonts w:ascii="Calibri" w:hAnsi="Calibri" w:eastAsia="Yu Gothic"/>
                <w:b/>
              </w:rPr>
              <w:t>Cross strength</w:t>
            </w:r>
          </w:p>
        </w:tc>
        <w:tc>
          <w:tcPr>
            <w:tcW w:type="dxa" w:w="1640"/>
            <w:vAlign w:val="center"/>
            <w:shd w:fill="F4F6F9"/>
          </w:tcPr>
          <w:p>
            <w:pPr>
              <w:pStyle w:val="ScientificTableText"/>
              <w:jc w:val="center"/>
            </w:pPr>
            <w:r>
              <w:rPr>
                <w:rFonts w:ascii="Calibri" w:hAnsi="Calibri" w:eastAsia="Yu Gothic"/>
                <w:b/>
              </w:rPr>
              <w:t>Task保持率</w:t>
            </w:r>
          </w:p>
        </w:tc>
        <w:tc>
          <w:tcPr>
            <w:tcW w:type="dxa" w:w="1640"/>
            <w:vAlign w:val="center"/>
            <w:shd w:fill="F4F6F9"/>
          </w:tcPr>
          <w:p>
            <w:pPr>
              <w:pStyle w:val="ScientificTableText"/>
              <w:jc w:val="center"/>
            </w:pPr>
            <w:r>
              <w:rPr>
                <w:rFonts w:ascii="Calibri" w:hAnsi="Calibri" w:eastAsia="Yu Gothic"/>
                <w:b/>
              </w:rPr>
              <w:t>Transported率</w:t>
            </w:r>
          </w:p>
        </w:tc>
        <w:tc>
          <w:tcPr>
            <w:tcW w:type="dxa" w:w="1640"/>
            <w:vAlign w:val="center"/>
            <w:shd w:fill="F4F6F9"/>
          </w:tcPr>
          <w:p>
            <w:pPr>
              <w:pStyle w:val="ScientificTableText"/>
              <w:jc w:val="center"/>
            </w:pPr>
            <w:r>
              <w:rPr>
                <w:rFonts w:ascii="Calibri" w:hAnsi="Calibri" w:eastAsia="Yu Gothic"/>
                <w:b/>
              </w:rPr>
              <w:t>Directional率</w:t>
            </w:r>
          </w:p>
        </w:tc>
        <w:tc>
          <w:tcPr>
            <w:tcW w:type="dxa" w:w="1640"/>
            <w:vAlign w:val="center"/>
            <w:shd w:fill="F4F6F9"/>
          </w:tcPr>
          <w:p>
            <w:pPr>
              <w:pStyle w:val="ScientificTableText"/>
              <w:jc w:val="center"/>
            </w:pPr>
            <w:r>
              <w:rPr>
                <w:rFonts w:ascii="Calibri" w:hAnsi="Calibri" w:eastAsia="Yu Gothic"/>
                <w:b/>
              </w:rPr>
              <w:t>Global率</w:t>
            </w:r>
          </w:p>
        </w:tc>
      </w:tr>
      <w:tr>
        <w:tc>
          <w:tcPr>
            <w:tcW w:type="dxa" w:w="2800"/>
            <w:vAlign w:val="center"/>
          </w:tcPr>
          <w:p>
            <w:pPr>
              <w:pStyle w:val="ScientificTableText"/>
              <w:jc w:val="left"/>
            </w:pPr>
            <w:r>
              <w:rPr>
                <w:rFonts w:ascii="Calibri" w:hAnsi="Calibri" w:eastAsia="Yu Gothic"/>
              </w:rPr>
              <w:t>0</w:t>
            </w:r>
          </w:p>
        </w:tc>
        <w:tc>
          <w:tcPr>
            <w:tcW w:type="dxa" w:w="1640"/>
            <w:vAlign w:val="center"/>
          </w:tcPr>
          <w:p>
            <w:pPr>
              <w:pStyle w:val="ScientificTableText"/>
              <w:jc w:val="center"/>
            </w:pPr>
            <w:r>
              <w:rPr>
                <w:rFonts w:ascii="Calibri" w:hAnsi="Calibri" w:eastAsia="Yu Gothic"/>
              </w:rPr>
              <w:t>0.85309</w:t>
            </w:r>
          </w:p>
        </w:tc>
        <w:tc>
          <w:tcPr>
            <w:tcW w:type="dxa" w:w="1640"/>
            <w:vAlign w:val="center"/>
          </w:tcPr>
          <w:p>
            <w:pPr>
              <w:pStyle w:val="ScientificTableText"/>
              <w:jc w:val="center"/>
            </w:pPr>
            <w:r>
              <w:rPr>
                <w:rFonts w:ascii="Calibri" w:hAnsi="Calibri" w:eastAsia="Yu Gothic"/>
              </w:rPr>
              <w:t>0.73223</w:t>
            </w:r>
          </w:p>
        </w:tc>
        <w:tc>
          <w:tcPr>
            <w:tcW w:type="dxa" w:w="1640"/>
            <w:vAlign w:val="center"/>
          </w:tcPr>
          <w:p>
            <w:pPr>
              <w:pStyle w:val="ScientificTableText"/>
              <w:jc w:val="center"/>
            </w:pPr>
            <w:r>
              <w:rPr>
                <w:rFonts w:ascii="Calibri" w:hAnsi="Calibri" w:eastAsia="Yu Gothic"/>
              </w:rPr>
              <w:t>0.73223</w:t>
            </w:r>
          </w:p>
        </w:tc>
        <w:tc>
          <w:tcPr>
            <w:tcW w:type="dxa" w:w="1640"/>
            <w:vAlign w:val="center"/>
          </w:tcPr>
          <w:p>
            <w:pPr>
              <w:pStyle w:val="ScientificTableText"/>
              <w:jc w:val="center"/>
            </w:pPr>
            <w:r>
              <w:rPr>
                <w:rFonts w:ascii="Calibri" w:hAnsi="Calibri" w:eastAsia="Yu Gothic"/>
              </w:rPr>
              <w:t>0.73223</w:t>
            </w:r>
          </w:p>
        </w:tc>
      </w:tr>
      <w:tr>
        <w:tc>
          <w:tcPr>
            <w:tcW w:type="dxa" w:w="2800"/>
            <w:vAlign w:val="center"/>
          </w:tcPr>
          <w:p>
            <w:pPr>
              <w:pStyle w:val="ScientificTableText"/>
              <w:jc w:val="left"/>
            </w:pPr>
            <w:r>
              <w:rPr>
                <w:rFonts w:ascii="Calibri" w:hAnsi="Calibri" w:eastAsia="Yu Gothic"/>
              </w:rPr>
              <w:t>0.01</w:t>
            </w:r>
          </w:p>
        </w:tc>
        <w:tc>
          <w:tcPr>
            <w:tcW w:type="dxa" w:w="1640"/>
            <w:vAlign w:val="center"/>
          </w:tcPr>
          <w:p>
            <w:pPr>
              <w:pStyle w:val="ScientificTableText"/>
              <w:jc w:val="center"/>
            </w:pPr>
            <w:r>
              <w:rPr>
                <w:rFonts w:ascii="Calibri" w:hAnsi="Calibri" w:eastAsia="Yu Gothic"/>
              </w:rPr>
              <w:t>0.85273</w:t>
            </w:r>
          </w:p>
        </w:tc>
        <w:tc>
          <w:tcPr>
            <w:tcW w:type="dxa" w:w="1640"/>
            <w:vAlign w:val="center"/>
          </w:tcPr>
          <w:p>
            <w:pPr>
              <w:pStyle w:val="ScientificTableText"/>
              <w:jc w:val="center"/>
            </w:pPr>
            <w:r>
              <w:rPr>
                <w:rFonts w:ascii="Calibri" w:hAnsi="Calibri" w:eastAsia="Yu Gothic"/>
              </w:rPr>
              <w:t>0.71914</w:t>
            </w:r>
          </w:p>
        </w:tc>
        <w:tc>
          <w:tcPr>
            <w:tcW w:type="dxa" w:w="1640"/>
            <w:vAlign w:val="center"/>
          </w:tcPr>
          <w:p>
            <w:pPr>
              <w:pStyle w:val="ScientificTableText"/>
              <w:jc w:val="center"/>
            </w:pPr>
            <w:r>
              <w:rPr>
                <w:rFonts w:ascii="Calibri" w:hAnsi="Calibri" w:eastAsia="Yu Gothic"/>
              </w:rPr>
              <w:t>0.68216</w:t>
            </w:r>
          </w:p>
        </w:tc>
        <w:tc>
          <w:tcPr>
            <w:tcW w:type="dxa" w:w="1640"/>
            <w:vAlign w:val="center"/>
          </w:tcPr>
          <w:p>
            <w:pPr>
              <w:pStyle w:val="ScientificTableText"/>
              <w:jc w:val="center"/>
            </w:pPr>
            <w:r>
              <w:rPr>
                <w:rFonts w:ascii="Calibri" w:hAnsi="Calibri" w:eastAsia="Yu Gothic"/>
              </w:rPr>
              <w:t>0.66888</w:t>
            </w:r>
          </w:p>
        </w:tc>
      </w:tr>
      <w:tr>
        <w:tc>
          <w:tcPr>
            <w:tcW w:type="dxa" w:w="2800"/>
            <w:vAlign w:val="center"/>
          </w:tcPr>
          <w:p>
            <w:pPr>
              <w:pStyle w:val="ScientificTableText"/>
              <w:jc w:val="left"/>
            </w:pPr>
            <w:r>
              <w:rPr>
                <w:rFonts w:ascii="Calibri" w:hAnsi="Calibri" w:eastAsia="Yu Gothic"/>
              </w:rPr>
              <w:t>0.02</w:t>
            </w:r>
          </w:p>
        </w:tc>
        <w:tc>
          <w:tcPr>
            <w:tcW w:type="dxa" w:w="1640"/>
            <w:vAlign w:val="center"/>
          </w:tcPr>
          <w:p>
            <w:pPr>
              <w:pStyle w:val="ScientificTableText"/>
              <w:jc w:val="center"/>
            </w:pPr>
            <w:r>
              <w:rPr>
                <w:rFonts w:ascii="Calibri" w:hAnsi="Calibri" w:eastAsia="Yu Gothic"/>
              </w:rPr>
              <w:t>0.84934</w:t>
            </w:r>
          </w:p>
        </w:tc>
        <w:tc>
          <w:tcPr>
            <w:tcW w:type="dxa" w:w="1640"/>
            <w:vAlign w:val="center"/>
          </w:tcPr>
          <w:p>
            <w:pPr>
              <w:pStyle w:val="ScientificTableText"/>
              <w:jc w:val="center"/>
            </w:pPr>
            <w:r>
              <w:rPr>
                <w:rFonts w:ascii="Calibri" w:hAnsi="Calibri" w:eastAsia="Yu Gothic"/>
              </w:rPr>
              <w:t>0.70749</w:t>
            </w:r>
          </w:p>
        </w:tc>
        <w:tc>
          <w:tcPr>
            <w:tcW w:type="dxa" w:w="1640"/>
            <w:vAlign w:val="center"/>
          </w:tcPr>
          <w:p>
            <w:pPr>
              <w:pStyle w:val="ScientificTableText"/>
              <w:jc w:val="center"/>
            </w:pPr>
            <w:r>
              <w:rPr>
                <w:rFonts w:ascii="Calibri" w:hAnsi="Calibri" w:eastAsia="Yu Gothic"/>
              </w:rPr>
              <w:t>0.64362</w:t>
            </w:r>
          </w:p>
        </w:tc>
        <w:tc>
          <w:tcPr>
            <w:tcW w:type="dxa" w:w="1640"/>
            <w:vAlign w:val="center"/>
          </w:tcPr>
          <w:p>
            <w:pPr>
              <w:pStyle w:val="ScientificTableText"/>
              <w:jc w:val="center"/>
            </w:pPr>
            <w:r>
              <w:rPr>
                <w:rFonts w:ascii="Calibri" w:hAnsi="Calibri" w:eastAsia="Yu Gothic"/>
              </w:rPr>
              <w:t>0.63874</w:t>
            </w:r>
          </w:p>
        </w:tc>
      </w:tr>
      <w:tr>
        <w:tc>
          <w:tcPr>
            <w:tcW w:type="dxa" w:w="2800"/>
            <w:vAlign w:val="center"/>
          </w:tcPr>
          <w:p>
            <w:pPr>
              <w:pStyle w:val="ScientificTableText"/>
              <w:jc w:val="left"/>
            </w:pPr>
            <w:r>
              <w:rPr>
                <w:rFonts w:ascii="Calibri" w:hAnsi="Calibri" w:eastAsia="Yu Gothic"/>
              </w:rPr>
              <w:t>0.04</w:t>
            </w:r>
          </w:p>
        </w:tc>
        <w:tc>
          <w:tcPr>
            <w:tcW w:type="dxa" w:w="1640"/>
            <w:vAlign w:val="center"/>
          </w:tcPr>
          <w:p>
            <w:pPr>
              <w:pStyle w:val="ScientificTableText"/>
              <w:jc w:val="center"/>
            </w:pPr>
            <w:r>
              <w:rPr>
                <w:rFonts w:ascii="Calibri" w:hAnsi="Calibri" w:eastAsia="Yu Gothic"/>
              </w:rPr>
              <w:t>0.83455</w:t>
            </w:r>
          </w:p>
        </w:tc>
        <w:tc>
          <w:tcPr>
            <w:tcW w:type="dxa" w:w="1640"/>
            <w:vAlign w:val="center"/>
          </w:tcPr>
          <w:p>
            <w:pPr>
              <w:pStyle w:val="ScientificTableText"/>
              <w:jc w:val="center"/>
            </w:pPr>
            <w:r>
              <w:rPr>
                <w:rFonts w:ascii="Calibri" w:hAnsi="Calibri" w:eastAsia="Yu Gothic"/>
              </w:rPr>
              <w:t>0.66943</w:t>
            </w:r>
          </w:p>
        </w:tc>
        <w:tc>
          <w:tcPr>
            <w:tcW w:type="dxa" w:w="1640"/>
            <w:vAlign w:val="center"/>
          </w:tcPr>
          <w:p>
            <w:pPr>
              <w:pStyle w:val="ScientificTableText"/>
              <w:jc w:val="center"/>
            </w:pPr>
            <w:r>
              <w:rPr>
                <w:rFonts w:ascii="Calibri" w:hAnsi="Calibri" w:eastAsia="Yu Gothic"/>
              </w:rPr>
              <w:t>0.50885</w:t>
            </w:r>
          </w:p>
        </w:tc>
        <w:tc>
          <w:tcPr>
            <w:tcW w:type="dxa" w:w="1640"/>
            <w:vAlign w:val="center"/>
          </w:tcPr>
          <w:p>
            <w:pPr>
              <w:pStyle w:val="ScientificTableText"/>
              <w:jc w:val="center"/>
            </w:pPr>
            <w:r>
              <w:rPr>
                <w:rFonts w:ascii="Calibri" w:hAnsi="Calibri" w:eastAsia="Yu Gothic"/>
              </w:rPr>
              <w:t>0.48223</w:t>
            </w:r>
          </w:p>
        </w:tc>
      </w:tr>
    </w:tbl>
    <w:p>
      <w:pPr>
        <w:spacing w:before="0" w:after="40"/>
      </w:pPr>
    </w:p>
    <w:p>
      <w:r>
        <w:rPr>
          <w:rFonts w:ascii="Calibri" w:hAnsi="Calibri" w:eastAsia="Yu Gothic"/>
        </w:rPr>
        <w:t>全strengthでtask、transported、directional、globalのchain違反は0だった。実際のcross-edge情報を残すほど認証率が高く、最大strengthではtransportedがglobalより0.18720多くのchallengeを認証した。これは保証の保守性緩和であり、未認証challengeの失敗を意味しない。</w:t>
      </w:r>
    </w:p>
    <w:p>
      <w:pPr>
        <w:pStyle w:val="Heading2"/>
      </w:pPr>
      <w:r>
        <w:t>5.11 未知三module分割と因子化移送</w:t>
      </w:r>
    </w:p>
    <w:p>
      <w:r>
        <w:rPr>
          <w:rFonts w:ascii="Calibri" w:hAnsi="Calibri" w:eastAsia="Yu Gothic"/>
        </w:rPr>
        <w:t>EXP-2026-017のtask-free構造gateでは、2 internal gain、4 bridge strengthの各群で 30 networkが30絶対値構造classとなり、全240 networkの推定partitionが生成真値と label-freeで一致した。選択gapはinter/intra gapと一致して一意に最大であり、 task値は生成されていなかった。固定model hashも一致した。</w:t>
      </w:r>
    </w:p>
    <w:p>
      <w:r>
        <w:rPr>
          <w:rFonts w:ascii="Calibri" w:hAnsi="Calibri" w:eastAsia="Yu Gothic"/>
        </w:rPr>
        <w:t>960点、491,520 challengeで事前登録12判定はすべて成立した。因子化certificateと 全系直積列挙の最大差は0、</w:t>
      </w:r>
      <w:r>
        <w:rPr>
          <w:rFonts w:ascii="Cambria Math" w:hAnsi="Cambria Math" w:eastAsia="Yu Gothic"/>
        </w:rPr>
        <w:t>T-R_rect</w:t>
      </w:r>
      <w:r>
        <w:rPr>
          <w:rFonts w:ascii="Calibri" w:hAnsi="Calibri" w:eastAsia="Yu Gothic"/>
        </w:rPr>
        <w:t xml:space="preserve"> の最小値は0だった。局所列挙は </w:t>
      </w:r>
      <w:r>
        <w:rPr>
          <w:rFonts w:ascii="Cambria Math" w:hAnsi="Cambria Math" w:eastAsia="Yu Gothic"/>
        </w:rPr>
        <w:t>4+4+8=16</w:t>
      </w:r>
      <w:r>
        <w:rPr>
          <w:rFonts w:ascii="Calibri" w:hAnsi="Calibri" w:eastAsia="Yu Gothic"/>
        </w:rPr>
        <w:t>、全系列挙は128で、certificate計算対象を正確に1/8へ削減した。 Task保持率は0.25–1、全条件の最大絶対task積則残差は0.246094だった。</w:t>
      </w:r>
    </w:p>
    <w:tbl>
      <w:tblPr>
        <w:tblW w:type="dxa" w:w="9360"/>
        <w:tblLayout w:type="fixed"/>
        <w:tblLook w:firstColumn="1" w:firstRow="1" w:lastColumn="0" w:lastRow="0" w:noHBand="0" w:noVBand="1" w:val="04A0"/>
        <w:tblInd w:w="120" w:type="dxa"/>
        <w:tblLayout w:type="fixed"/>
        <w:tblBorders>
          <w:top w:val="single" w:sz="4" w:color="CBD2DA"/>
          <w:left w:val="single" w:sz="4" w:color="CBD2DA"/>
          <w:bottom w:val="single" w:sz="4" w:color="CBD2DA"/>
          <w:right w:val="single" w:sz="4" w:color="CBD2DA"/>
          <w:insideH w:val="single" w:sz="4" w:color="CBD2DA"/>
          <w:insideV w:val="single" w:sz="4" w:color="CBD2DA"/>
        </w:tblBorders>
        <w:tblCellMar>
          <w:top w:w="80" w:type="dxa"/>
          <w:bottom w:w="80" w:type="dxa"/>
          <w:start w:w="120" w:type="dxa"/>
          <w:end w:w="120" w:type="dxa"/>
        </w:tblCellMar>
      </w:tblPr>
      <w:tblGrid>
        <w:gridCol w:w="4000"/>
        <w:gridCol w:w="1800"/>
        <w:gridCol w:w="3560"/>
      </w:tblGrid>
      <w:tr>
        <w:trPr>
          <w:tblHeader w:val="true"/>
        </w:trPr>
        <w:tc>
          <w:tcPr>
            <w:tcW w:type="dxa" w:w="4000"/>
            <w:vAlign w:val="center"/>
            <w:shd w:fill="F4F6F9"/>
          </w:tcPr>
          <w:p>
            <w:pPr>
              <w:pStyle w:val="ScientificTableText"/>
              <w:jc w:val="left"/>
            </w:pPr>
            <w:r>
              <w:rPr>
                <w:rFonts w:ascii="Calibri" w:hAnsi="Calibri" w:eastAsia="Yu Gothic"/>
                <w:b/>
              </w:rPr>
              <w:t>Model</w:t>
            </w:r>
          </w:p>
        </w:tc>
        <w:tc>
          <w:tcPr>
            <w:tcW w:type="dxa" w:w="1800"/>
            <w:vAlign w:val="center"/>
            <w:shd w:fill="F4F6F9"/>
          </w:tcPr>
          <w:p>
            <w:pPr>
              <w:pStyle w:val="ScientificTableText"/>
              <w:jc w:val="center"/>
            </w:pPr>
            <w:r>
              <w:rPr>
                <w:rFonts w:ascii="Calibri" w:hAnsi="Calibri" w:eastAsia="Yu Gothic"/>
                <w:b/>
              </w:rPr>
              <w:t>Confirmation MAE</w:t>
            </w:r>
          </w:p>
        </w:tc>
        <w:tc>
          <w:tcPr>
            <w:tcW w:type="dxa" w:w="3560"/>
            <w:vAlign w:val="center"/>
            <w:shd w:fill="F4F6F9"/>
          </w:tcPr>
          <w:p>
            <w:pPr>
              <w:pStyle w:val="ScientificTableText"/>
              <w:jc w:val="center"/>
            </w:pPr>
            <w:r>
              <w:rPr>
                <w:rFonts w:ascii="Calibri" w:hAnsi="Calibri" w:eastAsia="Yu Gothic"/>
                <w:b/>
              </w:rPr>
              <w:t>Spearman</w:t>
            </w:r>
          </w:p>
        </w:tc>
      </w:tr>
      <w:tr>
        <w:tc>
          <w:tcPr>
            <w:tcW w:type="dxa" w:w="4000"/>
            <w:vAlign w:val="center"/>
          </w:tcPr>
          <w:p>
            <w:pPr>
              <w:pStyle w:val="ScientificTableText"/>
              <w:jc w:val="left"/>
            </w:pPr>
            <w:r>
              <w:rPr>
                <w:rFonts w:ascii="Calibri" w:hAnsi="Calibri" w:eastAsia="Yu Gothic"/>
              </w:rPr>
              <w:t>Component-aware</w:t>
            </w:r>
          </w:p>
        </w:tc>
        <w:tc>
          <w:tcPr>
            <w:tcW w:type="dxa" w:w="1800"/>
            <w:vAlign w:val="center"/>
          </w:tcPr>
          <w:p>
            <w:pPr>
              <w:pStyle w:val="ScientificTableText"/>
              <w:jc w:val="center"/>
            </w:pPr>
            <w:r>
              <w:rPr>
                <w:rFonts w:ascii="Calibri" w:hAnsi="Calibri" w:eastAsia="Yu Gothic"/>
              </w:rPr>
              <w:t>0.016257</w:t>
            </w:r>
          </w:p>
        </w:tc>
        <w:tc>
          <w:tcPr>
            <w:tcW w:type="dxa" w:w="3560"/>
            <w:vAlign w:val="center"/>
          </w:tcPr>
          <w:p>
            <w:pPr>
              <w:pStyle w:val="ScientificTableText"/>
              <w:jc w:val="center"/>
            </w:pPr>
            <w:r>
              <w:rPr>
                <w:rFonts w:ascii="Calibri" w:hAnsi="Calibri" w:eastAsia="Yu Gothic"/>
              </w:rPr>
              <w:t>0.879666</w:t>
            </w:r>
          </w:p>
        </w:tc>
      </w:tr>
      <w:tr>
        <w:tc>
          <w:tcPr>
            <w:tcW w:type="dxa" w:w="4000"/>
            <w:vAlign w:val="center"/>
          </w:tcPr>
          <w:p>
            <w:pPr>
              <w:pStyle w:val="ScientificTableText"/>
              <w:jc w:val="left"/>
            </w:pPr>
            <w:r>
              <w:rPr>
                <w:rFonts w:ascii="Calibri" w:hAnsi="Calibri" w:eastAsia="Yu Gothic"/>
              </w:rPr>
              <w:t>Global profile</w:t>
            </w:r>
          </w:p>
        </w:tc>
        <w:tc>
          <w:tcPr>
            <w:tcW w:type="dxa" w:w="1800"/>
            <w:vAlign w:val="center"/>
          </w:tcPr>
          <w:p>
            <w:pPr>
              <w:pStyle w:val="ScientificTableText"/>
              <w:jc w:val="center"/>
            </w:pPr>
            <w:r>
              <w:rPr>
                <w:rFonts w:ascii="Calibri" w:hAnsi="Calibri" w:eastAsia="Yu Gothic"/>
              </w:rPr>
              <w:t>0.079928</w:t>
            </w:r>
          </w:p>
        </w:tc>
        <w:tc>
          <w:tcPr>
            <w:tcW w:type="dxa" w:w="3560"/>
            <w:vAlign w:val="center"/>
          </w:tcPr>
          <w:p>
            <w:pPr>
              <w:pStyle w:val="ScientificTableText"/>
              <w:jc w:val="center"/>
            </w:pPr>
            <w:r>
              <w:rPr>
                <w:rFonts w:ascii="Calibri" w:hAnsi="Calibri" w:eastAsia="Yu Gothic"/>
              </w:rPr>
              <w:t>0.946810</w:t>
            </w:r>
          </w:p>
        </w:tc>
      </w:tr>
      <w:tr>
        <w:tc>
          <w:tcPr>
            <w:tcW w:type="dxa" w:w="4000"/>
            <w:vAlign w:val="center"/>
          </w:tcPr>
          <w:p>
            <w:pPr>
              <w:pStyle w:val="ScientificTableText"/>
              <w:jc w:val="left"/>
            </w:pPr>
            <w:r>
              <w:rPr>
                <w:rFonts w:ascii="Calibri" w:hAnsi="Calibri" w:eastAsia="Yu Gothic"/>
              </w:rPr>
              <w:t>Product-only</w:t>
            </w:r>
          </w:p>
        </w:tc>
        <w:tc>
          <w:tcPr>
            <w:tcW w:type="dxa" w:w="1800"/>
            <w:vAlign w:val="center"/>
          </w:tcPr>
          <w:p>
            <w:pPr>
              <w:pStyle w:val="ScientificTableText"/>
              <w:jc w:val="center"/>
            </w:pPr>
            <w:r>
              <w:rPr>
                <w:rFonts w:ascii="Calibri" w:hAnsi="Calibri" w:eastAsia="Yu Gothic"/>
              </w:rPr>
              <w:t>0.021025</w:t>
            </w:r>
          </w:p>
        </w:tc>
        <w:tc>
          <w:tcPr>
            <w:tcW w:type="dxa" w:w="3560"/>
            <w:vAlign w:val="center"/>
          </w:tcPr>
          <w:p>
            <w:pPr>
              <w:pStyle w:val="ScientificTableText"/>
              <w:jc w:val="center"/>
            </w:pPr>
            <w:r>
              <w:rPr>
                <w:rFonts w:ascii="Calibri" w:hAnsi="Calibri" w:eastAsia="Yu Gothic"/>
              </w:rPr>
              <w:t>0.868936</w:t>
            </w:r>
          </w:p>
        </w:tc>
      </w:tr>
    </w:tbl>
    <w:p>
      <w:pPr>
        <w:spacing w:before="0" w:after="40"/>
      </w:pPr>
    </w:p>
    <w:p>
      <w:r>
        <w:rPr>
          <w:rFonts w:ascii="Calibri" w:hAnsi="Calibri" w:eastAsia="Yu Gothic"/>
        </w:rPr>
        <w:t>seed単位bootstrap 10,000回でglobal minus component MAEは0.063670、95%区間 [0.061675, 0.065729]、product-only minus componentは0.004767、 [0.004194, 0.005303]だった。従って固定二module predictorは未知三modulefamilyでも 絶対保持率を二baselineよりよく較正したが、順位相関はglobal modelが最も高かった。</w:t>
      </w:r>
    </w:p>
    <w:p>
      <w:r>
        <w:rPr>
          <w:rFonts w:ascii="Calibri" w:hAnsi="Calibri" w:eastAsia="Yu Gothic"/>
        </w:rPr>
        <w:t>このgeneratorでは各受信moduleの最大総流入loadを同じstrengthへ揃えたため、 directionalとglobal certificateは全点で一致した。従って本実験は因子化の厳密性と 固定modelのMAE移送を支持するが、directional loadがglobal loadより保守性を緩める という効果は検証していない。</w:t>
      </w:r>
    </w:p>
    <w:p>
      <w:pPr>
        <w:pStyle w:val="Heading2"/>
      </w:pPr>
      <w:r>
        <w:t>5.12 最大gap分割の摂動保証半径</w:t>
      </w:r>
    </w:p>
    <w:p>
      <w:r>
        <w:rPr>
          <w:rFonts w:ascii="Calibri" w:hAnsi="Calibri" w:eastAsia="Yu Gothic"/>
        </w:rPr>
        <w:t>EXP-2026-018の未使用confirmation 180 base networkでは、真partition回復、正の有限半径、Lipschitz上限、半径内完全回復、pair distance 0、strict boundary、task-free、構造独立性の8判定がすべて成立した。保証半径は最小0.001887、平均0.005616、最大0.009434だった。</w:t>
      </w:r>
    </w:p>
    <w:tbl>
      <w:tblPr>
        <w:tblW w:type="dxa" w:w="9360"/>
        <w:tblLayout w:type="fixed"/>
        <w:tblLook w:firstColumn="1" w:firstRow="1" w:lastColumn="0" w:lastRow="0" w:noHBand="0" w:noVBand="1" w:val="04A0"/>
        <w:tblInd w:w="120" w:type="dxa"/>
        <w:tblLayout w:type="fixed"/>
        <w:tblBorders>
          <w:top w:val="single" w:sz="4" w:color="CBD2DA"/>
          <w:left w:val="single" w:sz="4" w:color="CBD2DA"/>
          <w:bottom w:val="single" w:sz="4" w:color="CBD2DA"/>
          <w:right w:val="single" w:sz="4" w:color="CBD2DA"/>
          <w:insideH w:val="single" w:sz="4" w:color="CBD2DA"/>
          <w:insideV w:val="single" w:sz="4" w:color="CBD2DA"/>
        </w:tblBorders>
        <w:tblCellMar>
          <w:top w:w="80" w:type="dxa"/>
          <w:bottom w:w="80" w:type="dxa"/>
          <w:start w:w="120" w:type="dxa"/>
          <w:end w:w="120" w:type="dxa"/>
        </w:tblCellMar>
      </w:tblPr>
      <w:tblGrid>
        <w:gridCol w:w="2350"/>
        <w:gridCol w:w="2850"/>
        <w:gridCol w:w="2100"/>
        <w:gridCol w:w="2060"/>
      </w:tblGrid>
      <w:tr>
        <w:trPr>
          <w:tblHeader w:val="true"/>
        </w:trPr>
        <w:tc>
          <w:tcPr>
            <w:tcW w:type="dxa" w:w="2350"/>
            <w:vAlign w:val="center"/>
            <w:shd w:fill="F4F6F9"/>
          </w:tcPr>
          <w:p>
            <w:pPr>
              <w:pStyle w:val="ScientificTableText"/>
              <w:jc w:val="left"/>
            </w:pPr>
            <w:r>
              <w:rPr>
                <w:rFonts w:ascii="Calibri" w:hAnsi="Calibri" w:eastAsia="Yu Gothic"/>
                <w:b/>
              </w:rPr>
              <w:t>半径倍率</w:t>
            </w:r>
          </w:p>
        </w:tc>
        <w:tc>
          <w:tcPr>
            <w:tcW w:type="dxa" w:w="2850"/>
            <w:vAlign w:val="center"/>
            <w:shd w:fill="F4F6F9"/>
          </w:tcPr>
          <w:p>
            <w:pPr>
              <w:pStyle w:val="ScientificTableText"/>
              <w:jc w:val="center"/>
            </w:pPr>
            <w:r>
              <w:rPr>
                <w:rFonts w:ascii="Calibri" w:hAnsi="Calibri" w:eastAsia="Yu Gothic"/>
                <w:b/>
              </w:rPr>
              <w:t>推定成功率</w:t>
            </w:r>
          </w:p>
        </w:tc>
        <w:tc>
          <w:tcPr>
            <w:tcW w:type="dxa" w:w="2100"/>
            <w:vAlign w:val="center"/>
            <w:shd w:fill="F4F6F9"/>
          </w:tcPr>
          <w:p>
            <w:pPr>
              <w:pStyle w:val="ScientificTableText"/>
              <w:jc w:val="center"/>
            </w:pPr>
            <w:r>
              <w:rPr>
                <w:rFonts w:ascii="Calibri" w:hAnsi="Calibri" w:eastAsia="Yu Gothic"/>
                <w:b/>
              </w:rPr>
              <w:t>Partition回復率</w:t>
            </w:r>
          </w:p>
        </w:tc>
        <w:tc>
          <w:tcPr>
            <w:tcW w:type="dxa" w:w="2060"/>
            <w:vAlign w:val="center"/>
            <w:shd w:fill="F4F6F9"/>
          </w:tcPr>
          <w:p>
            <w:pPr>
              <w:pStyle w:val="ScientificTableText"/>
              <w:jc w:val="center"/>
            </w:pPr>
            <w:r>
              <w:rPr>
                <w:rFonts w:ascii="Calibri" w:hAnsi="Calibri" w:eastAsia="Yu Gothic"/>
                <w:b/>
              </w:rPr>
              <w:t>平均pair disagreement</w:t>
            </w:r>
          </w:p>
        </w:tc>
      </w:tr>
      <w:tr>
        <w:tc>
          <w:tcPr>
            <w:tcW w:type="dxa" w:w="2350"/>
            <w:vAlign w:val="center"/>
          </w:tcPr>
          <w:p>
            <w:pPr>
              <w:pStyle w:val="ScientificTableText"/>
              <w:jc w:val="left"/>
            </w:pPr>
            <w:r>
              <w:rPr>
                <w:rFonts w:ascii="Calibri" w:hAnsi="Calibri" w:eastAsia="Yu Gothic"/>
              </w:rPr>
              <w:t>0.00</w:t>
            </w:r>
          </w:p>
        </w:tc>
        <w:tc>
          <w:tcPr>
            <w:tcW w:type="dxa" w:w="2850"/>
            <w:vAlign w:val="center"/>
          </w:tcPr>
          <w:p>
            <w:pPr>
              <w:pStyle w:val="ScientificTableText"/>
              <w:jc w:val="center"/>
            </w:pPr>
            <w:r>
              <w:rPr>
                <w:rFonts w:ascii="Calibri" w:hAnsi="Calibri" w:eastAsia="Yu Gothic"/>
              </w:rPr>
              <w:t>1.000000</w:t>
            </w:r>
          </w:p>
        </w:tc>
        <w:tc>
          <w:tcPr>
            <w:tcW w:type="dxa" w:w="2100"/>
            <w:vAlign w:val="center"/>
          </w:tcPr>
          <w:p>
            <w:pPr>
              <w:pStyle w:val="ScientificTableText"/>
              <w:jc w:val="center"/>
            </w:pPr>
            <w:r>
              <w:rPr>
                <w:rFonts w:ascii="Calibri" w:hAnsi="Calibri" w:eastAsia="Yu Gothic"/>
              </w:rPr>
              <w:t>1.000000</w:t>
            </w:r>
          </w:p>
        </w:tc>
        <w:tc>
          <w:tcPr>
            <w:tcW w:type="dxa" w:w="2060"/>
            <w:vAlign w:val="center"/>
          </w:tcPr>
          <w:p>
            <w:pPr>
              <w:pStyle w:val="ScientificTableText"/>
              <w:jc w:val="center"/>
            </w:pPr>
            <w:r>
              <w:rPr>
                <w:rFonts w:ascii="Calibri" w:hAnsi="Calibri" w:eastAsia="Yu Gothic"/>
              </w:rPr>
              <w:t>0.000000</w:t>
            </w:r>
          </w:p>
        </w:tc>
      </w:tr>
      <w:tr>
        <w:tc>
          <w:tcPr>
            <w:tcW w:type="dxa" w:w="2350"/>
            <w:vAlign w:val="center"/>
          </w:tcPr>
          <w:p>
            <w:pPr>
              <w:pStyle w:val="ScientificTableText"/>
              <w:jc w:val="left"/>
            </w:pPr>
            <w:r>
              <w:rPr>
                <w:rFonts w:ascii="Calibri" w:hAnsi="Calibri" w:eastAsia="Yu Gothic"/>
              </w:rPr>
              <w:t>0.25</w:t>
            </w:r>
          </w:p>
        </w:tc>
        <w:tc>
          <w:tcPr>
            <w:tcW w:type="dxa" w:w="2850"/>
            <w:vAlign w:val="center"/>
          </w:tcPr>
          <w:p>
            <w:pPr>
              <w:pStyle w:val="ScientificTableText"/>
              <w:jc w:val="center"/>
            </w:pPr>
            <w:r>
              <w:rPr>
                <w:rFonts w:ascii="Calibri" w:hAnsi="Calibri" w:eastAsia="Yu Gothic"/>
              </w:rPr>
              <w:t>1.000000</w:t>
            </w:r>
          </w:p>
        </w:tc>
        <w:tc>
          <w:tcPr>
            <w:tcW w:type="dxa" w:w="2100"/>
            <w:vAlign w:val="center"/>
          </w:tcPr>
          <w:p>
            <w:pPr>
              <w:pStyle w:val="ScientificTableText"/>
              <w:jc w:val="center"/>
            </w:pPr>
            <w:r>
              <w:rPr>
                <w:rFonts w:ascii="Calibri" w:hAnsi="Calibri" w:eastAsia="Yu Gothic"/>
              </w:rPr>
              <w:t>1.000000</w:t>
            </w:r>
          </w:p>
        </w:tc>
        <w:tc>
          <w:tcPr>
            <w:tcW w:type="dxa" w:w="2060"/>
            <w:vAlign w:val="center"/>
          </w:tcPr>
          <w:p>
            <w:pPr>
              <w:pStyle w:val="ScientificTableText"/>
              <w:jc w:val="center"/>
            </w:pPr>
            <w:r>
              <w:rPr>
                <w:rFonts w:ascii="Calibri" w:hAnsi="Calibri" w:eastAsia="Yu Gothic"/>
              </w:rPr>
              <w:t>0.000000</w:t>
            </w:r>
          </w:p>
        </w:tc>
      </w:tr>
      <w:tr>
        <w:tc>
          <w:tcPr>
            <w:tcW w:type="dxa" w:w="2350"/>
            <w:vAlign w:val="center"/>
          </w:tcPr>
          <w:p>
            <w:pPr>
              <w:pStyle w:val="ScientificTableText"/>
              <w:jc w:val="left"/>
            </w:pPr>
            <w:r>
              <w:rPr>
                <w:rFonts w:ascii="Calibri" w:hAnsi="Calibri" w:eastAsia="Yu Gothic"/>
              </w:rPr>
              <w:t>0.50</w:t>
            </w:r>
          </w:p>
        </w:tc>
        <w:tc>
          <w:tcPr>
            <w:tcW w:type="dxa" w:w="2850"/>
            <w:vAlign w:val="center"/>
          </w:tcPr>
          <w:p>
            <w:pPr>
              <w:pStyle w:val="ScientificTableText"/>
              <w:jc w:val="center"/>
            </w:pPr>
            <w:r>
              <w:rPr>
                <w:rFonts w:ascii="Calibri" w:hAnsi="Calibri" w:eastAsia="Yu Gothic"/>
              </w:rPr>
              <w:t>1.000000</w:t>
            </w:r>
          </w:p>
        </w:tc>
        <w:tc>
          <w:tcPr>
            <w:tcW w:type="dxa" w:w="2100"/>
            <w:vAlign w:val="center"/>
          </w:tcPr>
          <w:p>
            <w:pPr>
              <w:pStyle w:val="ScientificTableText"/>
              <w:jc w:val="center"/>
            </w:pPr>
            <w:r>
              <w:rPr>
                <w:rFonts w:ascii="Calibri" w:hAnsi="Calibri" w:eastAsia="Yu Gothic"/>
              </w:rPr>
              <w:t>1.000000</w:t>
            </w:r>
          </w:p>
        </w:tc>
        <w:tc>
          <w:tcPr>
            <w:tcW w:type="dxa" w:w="2060"/>
            <w:vAlign w:val="center"/>
          </w:tcPr>
          <w:p>
            <w:pPr>
              <w:pStyle w:val="ScientificTableText"/>
              <w:jc w:val="center"/>
            </w:pPr>
            <w:r>
              <w:rPr>
                <w:rFonts w:ascii="Calibri" w:hAnsi="Calibri" w:eastAsia="Yu Gothic"/>
              </w:rPr>
              <w:t>0.000000</w:t>
            </w:r>
          </w:p>
        </w:tc>
      </w:tr>
      <w:tr>
        <w:tc>
          <w:tcPr>
            <w:tcW w:type="dxa" w:w="2350"/>
            <w:vAlign w:val="center"/>
          </w:tcPr>
          <w:p>
            <w:pPr>
              <w:pStyle w:val="ScientificTableText"/>
              <w:jc w:val="left"/>
            </w:pPr>
            <w:r>
              <w:rPr>
                <w:rFonts w:ascii="Calibri" w:hAnsi="Calibri" w:eastAsia="Yu Gothic"/>
              </w:rPr>
              <w:t>0.90</w:t>
            </w:r>
          </w:p>
        </w:tc>
        <w:tc>
          <w:tcPr>
            <w:tcW w:type="dxa" w:w="2850"/>
            <w:vAlign w:val="center"/>
          </w:tcPr>
          <w:p>
            <w:pPr>
              <w:pStyle w:val="ScientificTableText"/>
              <w:jc w:val="center"/>
            </w:pPr>
            <w:r>
              <w:rPr>
                <w:rFonts w:ascii="Calibri" w:hAnsi="Calibri" w:eastAsia="Yu Gothic"/>
              </w:rPr>
              <w:t>1.000000</w:t>
            </w:r>
          </w:p>
        </w:tc>
        <w:tc>
          <w:tcPr>
            <w:tcW w:type="dxa" w:w="2100"/>
            <w:vAlign w:val="center"/>
          </w:tcPr>
          <w:p>
            <w:pPr>
              <w:pStyle w:val="ScientificTableText"/>
              <w:jc w:val="center"/>
            </w:pPr>
            <w:r>
              <w:rPr>
                <w:rFonts w:ascii="Calibri" w:hAnsi="Calibri" w:eastAsia="Yu Gothic"/>
              </w:rPr>
              <w:t>1.000000</w:t>
            </w:r>
          </w:p>
        </w:tc>
        <w:tc>
          <w:tcPr>
            <w:tcW w:type="dxa" w:w="2060"/>
            <w:vAlign w:val="center"/>
          </w:tcPr>
          <w:p>
            <w:pPr>
              <w:pStyle w:val="ScientificTableText"/>
              <w:jc w:val="center"/>
            </w:pPr>
            <w:r>
              <w:rPr>
                <w:rFonts w:ascii="Calibri" w:hAnsi="Calibri" w:eastAsia="Yu Gothic"/>
              </w:rPr>
              <w:t>0.000000</w:t>
            </w:r>
          </w:p>
        </w:tc>
      </w:tr>
      <w:tr>
        <w:tc>
          <w:tcPr>
            <w:tcW w:type="dxa" w:w="2350"/>
            <w:vAlign w:val="center"/>
          </w:tcPr>
          <w:p>
            <w:pPr>
              <w:pStyle w:val="ScientificTableText"/>
              <w:jc w:val="left"/>
            </w:pPr>
            <w:r>
              <w:rPr>
                <w:rFonts w:ascii="Calibri" w:hAnsi="Calibri" w:eastAsia="Yu Gothic"/>
              </w:rPr>
              <w:t>1.10</w:t>
            </w:r>
          </w:p>
        </w:tc>
        <w:tc>
          <w:tcPr>
            <w:tcW w:type="dxa" w:w="2850"/>
            <w:vAlign w:val="center"/>
          </w:tcPr>
          <w:p>
            <w:pPr>
              <w:pStyle w:val="ScientificTableText"/>
              <w:jc w:val="center"/>
            </w:pPr>
            <w:r>
              <w:rPr>
                <w:rFonts w:ascii="Calibri" w:hAnsi="Calibri" w:eastAsia="Yu Gothic"/>
              </w:rPr>
              <w:t>1.000000</w:t>
            </w:r>
          </w:p>
        </w:tc>
        <w:tc>
          <w:tcPr>
            <w:tcW w:type="dxa" w:w="2100"/>
            <w:vAlign w:val="center"/>
          </w:tcPr>
          <w:p>
            <w:pPr>
              <w:pStyle w:val="ScientificTableText"/>
              <w:jc w:val="center"/>
            </w:pPr>
            <w:r>
              <w:rPr>
                <w:rFonts w:ascii="Calibri" w:hAnsi="Calibri" w:eastAsia="Yu Gothic"/>
              </w:rPr>
              <w:t>1.000000</w:t>
            </w:r>
          </w:p>
        </w:tc>
        <w:tc>
          <w:tcPr>
            <w:tcW w:type="dxa" w:w="2060"/>
            <w:vAlign w:val="center"/>
          </w:tcPr>
          <w:p>
            <w:pPr>
              <w:pStyle w:val="ScientificTableText"/>
              <w:jc w:val="center"/>
            </w:pPr>
            <w:r>
              <w:rPr>
                <w:rFonts w:ascii="Calibri" w:hAnsi="Calibri" w:eastAsia="Yu Gothic"/>
              </w:rPr>
              <w:t>0.000000</w:t>
            </w:r>
          </w:p>
        </w:tc>
      </w:tr>
      <w:tr>
        <w:tc>
          <w:tcPr>
            <w:tcW w:type="dxa" w:w="2350"/>
            <w:vAlign w:val="center"/>
          </w:tcPr>
          <w:p>
            <w:pPr>
              <w:pStyle w:val="ScientificTableText"/>
              <w:jc w:val="left"/>
            </w:pPr>
            <w:r>
              <w:rPr>
                <w:rFonts w:ascii="Calibri" w:hAnsi="Calibri" w:eastAsia="Yu Gothic"/>
              </w:rPr>
              <w:t>2.00</w:t>
            </w:r>
          </w:p>
        </w:tc>
        <w:tc>
          <w:tcPr>
            <w:tcW w:type="dxa" w:w="2850"/>
            <w:vAlign w:val="center"/>
          </w:tcPr>
          <w:p>
            <w:pPr>
              <w:pStyle w:val="ScientificTableText"/>
              <w:jc w:val="center"/>
            </w:pPr>
            <w:r>
              <w:rPr>
                <w:rFonts w:ascii="Calibri" w:hAnsi="Calibri" w:eastAsia="Yu Gothic"/>
              </w:rPr>
              <w:t>1.000000</w:t>
            </w:r>
          </w:p>
        </w:tc>
        <w:tc>
          <w:tcPr>
            <w:tcW w:type="dxa" w:w="2100"/>
            <w:vAlign w:val="center"/>
          </w:tcPr>
          <w:p>
            <w:pPr>
              <w:pStyle w:val="ScientificTableText"/>
              <w:jc w:val="center"/>
            </w:pPr>
            <w:r>
              <w:rPr>
                <w:rFonts w:ascii="Calibri" w:hAnsi="Calibri" w:eastAsia="Yu Gothic"/>
              </w:rPr>
              <w:t>0.737500</w:t>
            </w:r>
          </w:p>
        </w:tc>
        <w:tc>
          <w:tcPr>
            <w:tcW w:type="dxa" w:w="2060"/>
            <w:vAlign w:val="center"/>
          </w:tcPr>
          <w:p>
            <w:pPr>
              <w:pStyle w:val="ScientificTableText"/>
              <w:jc w:val="center"/>
            </w:pPr>
            <w:r>
              <w:rPr>
                <w:rFonts w:ascii="Calibri" w:hAnsi="Calibri" w:eastAsia="Yu Gothic"/>
              </w:rPr>
              <w:t>0.035020</w:t>
            </w:r>
          </w:p>
        </w:tc>
      </w:tr>
      <w:tr>
        <w:tc>
          <w:tcPr>
            <w:tcW w:type="dxa" w:w="2350"/>
            <w:vAlign w:val="center"/>
          </w:tcPr>
          <w:p>
            <w:pPr>
              <w:pStyle w:val="ScientificTableText"/>
              <w:jc w:val="left"/>
            </w:pPr>
            <w:r>
              <w:rPr>
                <w:rFonts w:ascii="Calibri" w:hAnsi="Calibri" w:eastAsia="Yu Gothic"/>
              </w:rPr>
              <w:t>4.00</w:t>
            </w:r>
          </w:p>
        </w:tc>
        <w:tc>
          <w:tcPr>
            <w:tcW w:type="dxa" w:w="2850"/>
            <w:vAlign w:val="center"/>
          </w:tcPr>
          <w:p>
            <w:pPr>
              <w:pStyle w:val="ScientificTableText"/>
              <w:jc w:val="center"/>
            </w:pPr>
            <w:r>
              <w:rPr>
                <w:rFonts w:ascii="Calibri" w:hAnsi="Calibri" w:eastAsia="Yu Gothic"/>
              </w:rPr>
              <w:t>0.961806</w:t>
            </w:r>
          </w:p>
        </w:tc>
        <w:tc>
          <w:tcPr>
            <w:tcW w:type="dxa" w:w="2100"/>
            <w:vAlign w:val="center"/>
          </w:tcPr>
          <w:p>
            <w:pPr>
              <w:pStyle w:val="ScientificTableText"/>
              <w:jc w:val="center"/>
            </w:pPr>
            <w:r>
              <w:rPr>
                <w:rFonts w:ascii="Calibri" w:hAnsi="Calibri" w:eastAsia="Yu Gothic"/>
              </w:rPr>
              <w:t>0.165278</w:t>
            </w:r>
          </w:p>
        </w:tc>
        <w:tc>
          <w:tcPr>
            <w:tcW w:type="dxa" w:w="2060"/>
            <w:vAlign w:val="center"/>
          </w:tcPr>
          <w:p>
            <w:pPr>
              <w:pStyle w:val="ScientificTableText"/>
              <w:jc w:val="center"/>
            </w:pPr>
            <w:r>
              <w:rPr>
                <w:rFonts w:ascii="Calibri" w:hAnsi="Calibri" w:eastAsia="Yu Gothic"/>
              </w:rPr>
              <w:t>0.110848</w:t>
            </w:r>
          </w:p>
        </w:tc>
      </w:tr>
    </w:tbl>
    <w:p>
      <w:pPr>
        <w:spacing w:before="0" w:after="40"/>
      </w:pPr>
    </w:p>
    <w:p>
      <w:r>
        <w:rPr>
          <w:rFonts w:ascii="Calibri" w:hAnsi="Calibri" w:eastAsia="Yu Gothic"/>
        </w:rPr>
        <w:t xml:space="preserve">事前登録保証域 </w:t>
      </w:r>
      <w:r>
        <w:rPr>
          <w:rFonts w:ascii="Cambria Math" w:hAnsi="Cambria Math" w:eastAsia="Yu Gothic"/>
        </w:rPr>
        <w:t>kappa&lt;1</w:t>
      </w:r>
      <w:r>
        <w:rPr>
          <w:rFonts w:ascii="Calibri" w:hAnsi="Calibri" w:eastAsia="Yu Gothic"/>
        </w:rPr>
        <w:t xml:space="preserve"> の5,760条件では全て同じpartitionを保った。1.10倍の全一致は半径の保守性と整合するが、事後的に保証域へ含めない。2倍と4倍での低下はdevelopmentでも0.775、0.1944と再現した。ただし半径外はランダム8方向の探索値であり、最悪方向の変化確率、task失敗率、単調な崩壊則ではない。</w:t>
      </w:r>
    </w:p>
    <w:p>
      <w:pPr>
        <w:pStyle w:val="Heading1"/>
      </w:pPr>
      <w:r>
        <w:t>6. 考察</w:t>
      </w:r>
    </w:p>
    <w:p>
      <w:pPr>
        <w:pStyle w:val="Heading2"/>
      </w:pPr>
      <w:r>
        <w:t>6.1 アトラクタ数から利用可能性へ</w:t>
      </w:r>
    </w:p>
    <w:p>
      <w:r>
        <w:rPr>
          <w:rFonts w:ascii="Calibri" w:hAnsi="Calibri" w:eastAsia="Yu Gothic"/>
        </w:rPr>
        <w:t>本結果の中心は、全networkが同じ16個の自律符号固定点を持つ条件でも、外乱下保持率が大きく異なることである。Raw countは存在を数えるが、有限外乱に対する安全性を含まない。</w:t>
      </w:r>
      <w:r>
        <w:rPr>
          <w:rFonts w:ascii="Cambria Math" w:hAnsi="Cambria Math" w:eastAsia="Yu Gothic"/>
        </w:rPr>
        <w:t>N_rob(e)</w:t>
      </w:r>
      <w:r>
        <w:rPr>
          <w:rFonts w:ascii="Calibri" w:hAnsi="Calibri" w:eastAsia="Yu Gothic"/>
        </w:rPr>
        <w:t xml:space="preserve"> とmargin分布は、要求外乱budgetに応じて利用可能な状態を数え直す。</w:t>
      </w:r>
    </w:p>
    <w:p>
      <w:r>
        <w:rPr>
          <w:rFonts w:ascii="Calibri" w:hAnsi="Calibri" w:eastAsia="Yu Gothic"/>
        </w:rPr>
        <w:t xml:space="preserve">低外乱ではthreshold付きrobust fractionが有効であり、高外乱では連続的な平均marginがより情報を持った。EXP-2026-011では、curveの要求点での高さ </w:t>
      </w:r>
      <w:r>
        <w:rPr>
          <w:rFonts w:ascii="Cambria Math" w:hAnsi="Cambria Math" w:eastAsia="Yu Gothic"/>
        </w:rPr>
        <w:t>R(e)</w:t>
      </w:r>
      <w:r>
        <w:rPr>
          <w:rFonts w:ascii="Calibri" w:hAnsi="Calibri" w:eastAsia="Yu Gothic"/>
        </w:rPr>
        <w:t xml:space="preserve"> と無次元化面積 </w:t>
      </w:r>
      <w:r>
        <w:rPr>
          <w:rFonts w:ascii="Cambria Math" w:hAnsi="Cambria Math" w:eastAsia="Yu Gothic"/>
        </w:rPr>
        <w:t>μ̄/e</w:t>
      </w:r>
      <w:r>
        <w:rPr>
          <w:rFonts w:ascii="Calibri" w:hAnsi="Calibri" w:eastAsia="Yu Gothic"/>
        </w:rPr>
        <w:t xml:space="preserve"> の組が、いずれか単独より小さい未知seed MAEを示した。従って、分析ツールは単一scoreへ縮約せず、raw count、certified count、</w:t>
      </w:r>
      <w:r>
        <w:rPr>
          <w:rFonts w:ascii="Cambria Math" w:hAnsi="Cambria Math" w:eastAsia="Yu Gothic"/>
        </w:rPr>
        <w:t>N_rob(e)</w:t>
      </w:r>
      <w:r>
        <w:rPr>
          <w:rFonts w:ascii="Calibri" w:hAnsi="Calibri" w:eastAsia="Yu Gothic"/>
        </w:rPr>
        <w:t xml:space="preserve"> curve、margin分布、未認証率を保持すべきである。</w:t>
      </w:r>
    </w:p>
    <w:p>
      <w:pPr>
        <w:pStyle w:val="Heading2"/>
      </w:pPr>
      <w:r>
        <w:t>6.2 保証と予測の分離</w:t>
      </w:r>
    </w:p>
    <w:p>
      <w:r>
        <w:rPr>
          <w:rFonts w:ascii="Calibri" w:hAnsi="Calibri" w:eastAsia="Yu Gothic"/>
        </w:rPr>
        <w:t>Hyperbox certificateは任意の時変成分別外乱に対する十分条件である。今回の一定corner taskでは、認証robust fractionは全条件で経験保持率の下界になった。ただし未認証orthantにも成功例があり、点予測としては保守的である。</w:t>
      </w:r>
    </w:p>
    <w:p>
      <w:r>
        <w:rPr>
          <w:rFonts w:ascii="Calibri" w:hAnsi="Calibri" w:eastAsia="Yu Gothic"/>
        </w:rPr>
        <w:t>従ってツールは二つの出力を分ける必要がある。第一は反例が出れば理論または実装が誤っている保証下界、第二はdataset上の相関や交差検証誤差として評価する経験予測である。この分離により、「認証不能」を「失敗」と誤解することを避けられる。</w:t>
      </w:r>
    </w:p>
    <w:p>
      <w:pPr>
        <w:pStyle w:val="Heading2"/>
      </w:pPr>
      <w:r>
        <w:t>6.3 局所安定性と有限外乱安全性</w:t>
      </w:r>
    </w:p>
    <w:p>
      <w:r>
        <w:rPr>
          <w:rFonts w:ascii="Calibri" w:hAnsi="Calibri" w:eastAsia="Yu Gothic"/>
        </w:rPr>
        <w:t>Local Jacobianは固定点近傍の微小摂動増幅を測るが、符号境界までの有限距離とworst-case方向を直接含まない。Orthant marginは両者をhyperbox十分条件の形で含む。EXP-2026-010のpooled secondary解析でmarginがlocal Jacobianを上回ったことは、この差がtask予測に寄与する可能性を示す。</w:t>
      </w:r>
    </w:p>
    <w:p>
      <w:r>
        <w:rPr>
          <w:rFonts w:ascii="Calibri" w:hAnsi="Calibri" w:eastAsia="Yu Gothic"/>
        </w:rPr>
        <w:t>ただしfamily内では局所baselineが優位な例もあった。EXP-2026-011ではcoupling、局所Jacobian、minimum coordinate、nonnormalityを同時に含むstructural modelを事前登録baselineとし、robust pairがpooled MAEを上回った。これは線形ridgeの範囲での増分予測力であり、非線形model、family indicatorを用いた階層model、nested cross-validationとの比較は残る。</w:t>
      </w:r>
    </w:p>
    <w:p>
      <w:pPr>
        <w:pStyle w:val="Heading2"/>
      </w:pPr>
      <w:r>
        <w:t>6.4 Module積則と較正の非普遍性</w:t>
      </w:r>
    </w:p>
    <w:p>
      <w:r>
        <w:rPr>
          <w:rFonts w:ascii="Calibri" w:hAnsi="Calibri" w:eastAsia="Yu Gothic"/>
        </w:rPr>
        <w:t xml:space="preserve">Block diagonalな二部分系では、固定点集合は直積となり、固定点数は積になる。 各部分系のrobust fractionを </w:t>
      </w:r>
      <w:r>
        <w:rPr>
          <w:rFonts w:ascii="Cambria Math" w:hAnsi="Cambria Math" w:eastAsia="Yu Gothic"/>
        </w:rPr>
        <w:t>R₁(e),R₂(e)</w:t>
      </w:r>
      <w:r>
        <w:rPr>
          <w:rFonts w:ascii="Calibri" w:hAnsi="Calibri" w:eastAsia="Yu Gothic"/>
        </w:rPr>
        <w:t xml:space="preserve"> とすれば、全系の同時 certificate率は</w:t>
      </w:r>
    </w:p>
    <w:p>
      <w:pPr>
        <w:pStyle w:val="DisplayEquation"/>
      </w:pPr>
      <w:r>
        <w:rPr>
          <w:rFonts w:ascii="Cambria Math" w:hAnsi="Cambria Math"/>
          <w:sz w:val="21"/>
        </w:rPr>
        <w:t>R(e)=R₁(e)R₂(e)</w:t>
      </w:r>
    </w:p>
    <w:p>
      <w:r>
        <w:rPr>
          <w:rFonts w:ascii="Calibri" w:hAnsi="Calibri" w:eastAsia="Yu Gothic"/>
        </w:rPr>
        <w:t xml:space="preserve">である。全challengeを直積として一様列挙し、全module成功を全系成功と定義 すれば、有限時間保持率も </w:t>
      </w:r>
      <w:r>
        <w:rPr>
          <w:rFonts w:ascii="Cambria Math" w:hAnsi="Cambria Math" w:eastAsia="Yu Gothic"/>
        </w:rPr>
        <w:t>T(e)=T₁(e)T₂(e)</w:t>
      </w:r>
      <w:r>
        <w:rPr>
          <w:rFonts w:ascii="Calibri" w:hAnsi="Calibri" w:eastAsia="Yu Gothic"/>
        </w:rPr>
        <w:t xml:space="preserve"> となる。一方、全系の 平均marginは</w:t>
      </w:r>
    </w:p>
    <w:p>
      <w:pPr>
        <w:pStyle w:val="DisplayEquation"/>
      </w:pPr>
      <w:r>
        <w:rPr>
          <w:rFonts w:ascii="Cambria Math" w:hAnsi="Cambria Math"/>
          <w:sz w:val="21"/>
        </w:rPr>
        <w:t>μ̄=∫₀^∞ R₁(z)R₂(z) dz</w:t>
      </w:r>
    </w:p>
    <w:p>
      <w:r>
        <w:rPr>
          <w:rFonts w:ascii="Calibri" w:hAnsi="Calibri" w:eastAsia="Yu Gothic"/>
        </w:rPr>
        <w:t>であり、部分系平均の単純な和や積ではない。</w:t>
      </w:r>
    </w:p>
    <w:p>
      <w:r>
        <w:rPr>
          <w:rFonts w:ascii="Calibri" w:hAnsi="Calibri" w:eastAsia="Yu Gothic"/>
        </w:rPr>
        <w:t>この積則はmoduleごとに異なるbox境界を許すcomponent certificateに対する。既存のglobal certificateは全座標に一つの境界を課すため、一般にはcomponent margin以下の保守的下界となる。EXP-2026-013の単純な異質2-node moduleでは評価した4閾値でglobal fractionとcomponent積fractionが一致したが、一般の等号へ強化しない。</w:t>
      </w:r>
    </w:p>
    <w:p>
      <w:r>
        <w:rPr>
          <w:rFonts w:ascii="Calibri" w:hAnsi="Calibri" w:eastAsia="Yu Gothic"/>
        </w:rPr>
        <w:t xml:space="preserve">EXP-2026-012の陰性結果はrobust repertoireの定義またはcertificate下界を否定 しない。否定されたのは、非直積な既知4 familyでfitした </w:t>
      </w:r>
      <w:r>
        <w:rPr>
          <w:rFonts w:ascii="Cambria Math" w:hAnsi="Cambria Math" w:eastAsia="Yu Gothic"/>
        </w:rPr>
        <w:t>(μ̄/e,R(e))</w:t>
      </w:r>
      <w:r>
        <w:rPr>
          <w:rFonts w:ascii="Calibri" w:hAnsi="Calibri" w:eastAsia="Yu Gothic"/>
        </w:rPr>
        <w:t xml:space="preserve"> の線形較正を、積構造へそのまま移送できるという仮説で ある。任意の力学系を扱う分析ツールには、global summaryだけでなく、 connected component、近似module、component別curve、積則残差を保持する必要が ある。</w:t>
      </w:r>
    </w:p>
    <w:p>
      <w:r>
        <w:rPr>
          <w:rFonts w:ascii="Calibri" w:hAnsi="Calibri" w:eastAsia="Yu Gothic"/>
        </w:rPr>
        <w:t>また、pair符号のseed差がtask-preserving共役で消えたことは、parameter seed数 と有効な構造多様性が異なることを示す。外的妥当性の標本数は、taskを保存する 対称性で割ったnetwork同値類に基づいて監査すべきである。</w:t>
      </w:r>
    </w:p>
    <w:p>
      <w:r>
        <w:rPr>
          <w:rFonts w:ascii="Calibri" w:hAnsi="Calibri" w:eastAsia="Yu Gothic"/>
        </w:rPr>
        <w:t xml:space="preserve">AUDIT-2026-001では600 network条件が192符号共役classへ縮約された。一方、結合絶対値を変えたEXP-2026-013は各gain30 classを保ち、task retentionが0.390625–1.0へ変化する中で </w:t>
      </w:r>
      <w:r>
        <w:rPr>
          <w:rFonts w:ascii="Cambria Math" w:hAnsi="Cambria Math" w:eastAsia="Yu Gothic"/>
        </w:rPr>
        <w:t>T(e)=T₁(e)T₂(e)</w:t>
      </w:r>
      <w:r>
        <w:rPr>
          <w:rFonts w:ascii="Calibri" w:hAnsi="Calibri" w:eastAsia="Yu Gothic"/>
        </w:rPr>
        <w:t xml:space="preserve"> を最大残差0で確認した。従ってcomponent積則は、EXP-2026-012の退化した符号seedだけに依存する現象ではない。</w:t>
      </w:r>
    </w:p>
    <w:p>
      <w:r>
        <w:rPr>
          <w:rFonts w:ascii="Calibri" w:hAnsi="Calibri" w:eastAsia="Yu Gothic"/>
        </w:rPr>
        <w:t>EXP-2026-014ではこの零次模型へ弱いcross couplingを加え、raw count 16を保ったまま平均絶対積則残差が0から0.0831へ増えることを未使用seedで確認した。平均signed残差は負だったが、平均絶対残差より絶対値が小さく、結合が全challengeで一方向に有害だったわけではない。従ってAtlasは結合normだけでなく、component別成功、signed/absolute積則残差、transported certificateを保持する必要がある。</w:t>
      </w:r>
    </w:p>
    <w:p>
      <w:r>
        <w:rPr>
          <w:rFonts w:ascii="Calibri" w:hAnsi="Calibri" w:eastAsia="Yu Gothic"/>
        </w:rPr>
        <w:t>EXP-2026-016は非対称bridgeとmodule size差へこの表現を外挿し、小さい二familyだけでfitしたcomponent-aware modelが未知3+5 familyでglobal profileとisolated task積より低いMAEを示した。これはcomponent分解が絶対保持率の較正へ増分情報を与える支持である。一方、順位相関は二baselineより低く、global featureの粗い順序づけを置き換えたわけではない。較正とrankingは異なる評価軸であり、「全指標で支配」と解釈しない。</w:t>
      </w:r>
    </w:p>
    <w:p>
      <w:r>
        <w:rPr>
          <w:rFonts w:ascii="Calibri" w:hAnsi="Calibri" w:eastAsia="Yu Gothic"/>
        </w:rPr>
        <w:t xml:space="preserve">EXP-2026-017はtask値を見ない未知三module分割と因子化合成へ進め、強い一意affinity gapの下でpartition回復、局所16対全系128の厳密一致、固定modelのMAE優位を確認した。これは局所次元が有界ならcertificate抽出を全次元指数から </w:t>
      </w:r>
      <w:r>
        <w:rPr>
          <w:rFonts w:ascii="Cambria Math" w:hAnsi="Cambria Math" w:eastAsia="Yu Gothic"/>
        </w:rPr>
        <w:t>m2^b</w:t>
      </w:r>
      <w:r>
        <w:rPr>
          <w:rFonts w:ascii="Calibri" w:hAnsi="Calibri" w:eastAsia="Yu Gothic"/>
        </w:rPr>
        <w:t xml:space="preserve"> 型へ分解できる構成例である。ただしgeneratorが回復条件を明示的に満たし、流入loadも均一だった。次は別generator、弱いまたは曖昧な分割、4 module以上、不均衡な方向別流入、stochastic/cue/readout task、非線形baselineで検証する必要がある。</w:t>
      </w:r>
    </w:p>
    <w:p>
      <w:r>
        <w:rPr>
          <w:rFonts w:ascii="Calibri" w:hAnsi="Calibri" w:eastAsia="Yu Gothic"/>
        </w:rPr>
        <w:t>EXP-2026-018はこの分割条件を連続量へ変え、同じ最大gap partitionを保つentrywise誤差半径を与えた。半径内では点推定を安全に因子化解析へ渡せるが、半径外では競合partition群と共所属確率を保持すべきである。これは構造推定の適用範囲を陽にする結果であって、同じpartitionが同じ機能を意味するわけではない。次の識別実験は、半径外の誤分割がcomponent profile、certificate、固定predictorへ与える誤差を測ることである。</w:t>
      </w:r>
    </w:p>
    <w:p>
      <w:pPr>
        <w:pStyle w:val="Heading2"/>
      </w:pPr>
      <w:r>
        <w:t>6.5 Profileから空間局所介入へ</w:t>
      </w:r>
    </w:p>
    <w:p>
      <w:r>
        <w:rPr>
          <w:rFonts w:ascii="Calibri" w:hAnsi="Calibri" w:eastAsia="Yu Gothic"/>
        </w:rPr>
        <w:t>EXP-2026-015は、安全marginを観測指標として用いるだけでなく、marginを消費するreserve-to-core bridgeへ選択的に介入した。同一Frobenius energyのglobal制御はcore内部とreserve内部の再帰結合も一様に弱めるため、core誤遷移を十分抑えられない条件でreserve記憶も失った。局所gateはcoreへ流入するloadだけを削減し、reserve内部の時間応答を残した。</w:t>
      </w:r>
    </w:p>
    <w:p>
      <w:r>
        <w:rPr>
          <w:rFonts w:ascii="Calibri" w:hAnsi="Calibri" w:eastAsia="Yu Gothic"/>
        </w:rPr>
        <w:t>これは「局所性が常に優れる」という結論ではない。Global対照は一様scalarであり、network modelを使う低rank制御、MPC、最適なnode選択は局所政策を上回り得る。また局所政策も既知bridgeへ直接アクセスしている。次に必要なのは、同じ観測情報、model誤差、制御帯域、energyの下で、学習された受容体mapと強い制御baselineを比較することである。</w:t>
      </w:r>
    </w:p>
    <w:p>
      <w:pPr>
        <w:pStyle w:val="Heading2"/>
      </w:pPr>
      <w:r>
        <w:t>6.6 生得的機能コアと可塑的余剰への含意</w:t>
      </w:r>
    </w:p>
    <w:p>
      <w:r>
        <w:rPr>
          <w:rFonts w:ascii="Calibri" w:hAnsi="Calibri" w:eastAsia="Yu Gothic"/>
        </w:rPr>
        <w:t xml:space="preserve">本研究の長期仮説は、生物の神経系には発生的に形成された必須機能coreと、個体学習に利用できるplastic reserveがあり、新規学習からcoreへ流入する負荷が安全marginを消費するというものである。大規模画像研究は構造connectomeへの多遺伝子的影響と、多尺度構造固有モードによる機能ダイナミクス制約を支持する [16,17] が、アトラクタ余剰を直接測ってはいない。必須機能 </w:t>
      </w:r>
      <w:r>
        <w:rPr>
          <w:rFonts w:ascii="Cambria Math" w:hAnsi="Cambria Math" w:eastAsia="Yu Gothic"/>
        </w:rPr>
        <w:t>k</w:t>
      </w:r>
      <w:r>
        <w:rPr>
          <w:rFonts w:ascii="Calibri" w:hAnsi="Calibri" w:eastAsia="Yu Gothic"/>
        </w:rPr>
        <w:t xml:space="preserve"> の外乱またはfeedback loadを </w:t>
      </w:r>
      <w:r>
        <w:rPr>
          <w:rFonts w:ascii="Cambria Math" w:hAnsi="Cambria Math" w:eastAsia="Yu Gothic"/>
        </w:rPr>
        <w:t>eₖ</w:t>
      </w:r>
      <w:r>
        <w:rPr>
          <w:rFonts w:ascii="Calibri" w:hAnsi="Calibri" w:eastAsia="Yu Gothic"/>
        </w:rPr>
        <w:t xml:space="preserve">、marginを </w:t>
      </w:r>
      <w:r>
        <w:rPr>
          <w:rFonts w:ascii="Cambria Math" w:hAnsi="Cambria Math" w:eastAsia="Yu Gothic"/>
        </w:rPr>
        <w:t>μₖ</w:t>
      </w:r>
      <w:r>
        <w:rPr>
          <w:rFonts w:ascii="Calibri" w:hAnsi="Calibri" w:eastAsia="Yu Gothic"/>
        </w:rPr>
        <w:t xml:space="preserve"> とすれば、</w:t>
      </w:r>
    </w:p>
    <w:p>
      <w:pPr>
        <w:pStyle w:val="DisplayEquation"/>
      </w:pPr>
      <w:r>
        <w:rPr>
          <w:rFonts w:ascii="Cambria Math" w:hAnsi="Cambria Math"/>
          <w:sz w:val="21"/>
        </w:rPr>
        <w:t>ρₖ=(eₖ)/(μₖ)</w:t>
      </w:r>
    </w:p>
    <w:p>
      <w:r>
        <w:rPr>
          <w:rFonts w:ascii="Calibri" w:hAnsi="Calibri" w:eastAsia="Yu Gothic"/>
        </w:rPr>
        <w:t>を安全負荷率候補とできる。</w:t>
      </w:r>
      <w:r>
        <w:rPr>
          <w:rFonts w:ascii="Cambria Math" w:hAnsi="Cambria Math" w:eastAsia="Yu Gothic"/>
        </w:rPr>
        <w:t>ρₖ&lt;1</w:t>
      </w:r>
      <w:r>
        <w:rPr>
          <w:rFonts w:ascii="Calibri" w:hAnsi="Calibri" w:eastAsia="Yu Gothic"/>
        </w:rPr>
        <w:t xml:space="preserve"> は本hyperbox familyにおける十分条件であり、</w:t>
      </w:r>
      <w:r>
        <w:rPr>
          <w:rFonts w:ascii="Cambria Math" w:hAnsi="Cambria Math" w:eastAsia="Yu Gothic"/>
        </w:rPr>
        <w:t>ρₖ≥1</w:t>
      </w:r>
      <w:r>
        <w:rPr>
          <w:rFonts w:ascii="Calibri" w:hAnsi="Calibri" w:eastAsia="Yu Gothic"/>
        </w:rPr>
        <w:t xml:space="preserve"> は必ず失敗する必要条件ではない。</w:t>
      </w:r>
    </w:p>
    <w:p>
      <w:r>
        <w:rPr>
          <w:rFonts w:ascii="Calibri" w:hAnsi="Calibri" w:eastAsia="Yu Gothic"/>
        </w:rPr>
        <w:t>EXP-2026-010は、同じ状態数を持つ人工回路でもmargin分布により利用可能性が異なることを示した。EXP-2026-011はさらに、要求budgetで残る状態割合と余裕総量の二成分が、fitから除外した構造の新規seedへ移送できることを示した。しかしEXP-2026-012では積構造への線形較正移送が失敗したため、回路のmodule構成を無視した普遍scoreとしては使えない。EXP-2026-016は局所margin、方向別load、size imbalanceを明示すれば一つの異サイズfamilyへ較正を移せることを示し、EXP-2026-017は強く分離可能な三moduleでtask-free分割と局所certificate合成を加えた。EXP-2026-018はその分割がentrywise構造差をどこまで許容するかを陽にした。EXP-2026-015は、非対称core–reserve構造で局所的にfeedback loadを制御すれば、同一energyの一様制御よりcore保持とreserve記憶を両立できる人工的十分例を加えた。</w:t>
      </w:r>
    </w:p>
    <w:p>
      <w:r>
        <w:rPr>
          <w:rFonts w:ascii="Calibri" w:hAnsi="Calibri" w:eastAsia="Yu Gothic"/>
        </w:rPr>
        <w:t>Astrocyte、細胞外イオン、dopamine、AChに関する一次研究 [18–24] は、局所から広域、subsecondから分単位の変調が共存し得ることを支持する。発生時期と成人構造connectomeの対応 [29]、発生期皮質のgene co-expression meta-module [30] は発生programによるscaffold制約と整合する。しかし、いずれも本稿のcore–reserve分解、attractor module、局所gate方程式を同定していない。本結果は長期仮説と整合する構成例であって、遺伝的設計、発生、可塑性、生物回路を実証していない。発生過程、受容体map、学習maskを操作し、core margin、忘却、新規task獲得の因果関係を測る別研究が必要である。</w:t>
      </w:r>
    </w:p>
    <w:p>
      <w:pPr>
        <w:pStyle w:val="Heading2"/>
      </w:pPr>
      <w:r>
        <w:t>6.7 人間規模の条件について</w:t>
      </w:r>
    </w:p>
    <w:p>
      <w:r>
        <w:rPr>
          <w:rFonts w:ascii="Calibri" w:hAnsi="Calibri" w:eastAsia="Yu Gothic"/>
        </w:rPr>
        <w:t>現段階で人間規模の処理能力に必要なnode数、アトラクタ数、reserve次元を導くことはできない。導出可能なのは、候補となる必要条件の形式である。</w:t>
      </w:r>
    </w:p>
    <w:p>
      <w:r>
        <w:rPr>
          <w:rFonts w:ascii="Calibri" w:hAnsi="Calibri" w:eastAsia="Yu Gothic"/>
        </w:rPr>
        <w:t xml:space="preserve">第一に、環境外乱budget </w:t>
      </w:r>
      <w:r>
        <w:rPr>
          <w:rFonts w:ascii="Cambria Math" w:hAnsi="Cambria Math" w:eastAsia="Yu Gothic"/>
        </w:rPr>
        <w:t>e</w:t>
      </w:r>
      <w:r>
        <w:rPr>
          <w:rFonts w:ascii="Calibri" w:hAnsi="Calibri" w:eastAsia="Yu Gothic"/>
        </w:rPr>
        <w:t xml:space="preserve"> に対してtask-relevantな機能同値類を覆うだけの </w:t>
      </w:r>
      <w:r>
        <w:rPr>
          <w:rFonts w:ascii="Cambria Math" w:hAnsi="Cambria Math" w:eastAsia="Yu Gothic"/>
        </w:rPr>
        <w:t>N_rob(e)</w:t>
      </w:r>
      <w:r>
        <w:rPr>
          <w:rFonts w:ascii="Calibri" w:hAnsi="Calibri" w:eastAsia="Yu Gothic"/>
        </w:rPr>
        <w:t xml:space="preserve"> または </w:t>
      </w:r>
      <w:r>
        <w:rPr>
          <w:rFonts w:ascii="Cambria Math" w:hAnsi="Cambria Math" w:eastAsia="Yu Gothic"/>
        </w:rPr>
        <w:t>S_rob(e)</w:t>
      </w:r>
      <w:r>
        <w:rPr>
          <w:rFonts w:ascii="Calibri" w:hAnsi="Calibri" w:eastAsia="Yu Gothic"/>
        </w:rPr>
        <w:t xml:space="preserve"> が必要である。第二に、必須機能の安全負荷率 </w:t>
      </w:r>
      <w:r>
        <w:rPr>
          <w:rFonts w:ascii="Cambria Math" w:hAnsi="Cambria Math" w:eastAsia="Yu Gothic"/>
        </w:rPr>
        <w:t>ρₖ</w:t>
      </w:r>
      <w:r>
        <w:rPr>
          <w:rFonts w:ascii="Calibri" w:hAnsi="Calibri" w:eastAsia="Yu Gothic"/>
        </w:rPr>
        <w:t xml:space="preserve"> を許容範囲に保つgating、抑制、疎結合、module分離が必要になり得る。第三に、未知taskを追加する能力には、既存機能を壊さず新しい機能同値類を形成できるplastic reserveと更新energyが必要である。</w:t>
      </w:r>
    </w:p>
    <w:p>
      <w:r>
        <w:rPr>
          <w:rFonts w:ascii="Calibri" w:hAnsi="Calibri" w:eastAsia="Yu Gothic"/>
        </w:rPr>
        <w:t xml:space="preserve">独立同型な </w:t>
      </w:r>
      <w:r>
        <w:rPr>
          <w:rFonts w:ascii="Cambria Math" w:hAnsi="Cambria Math" w:eastAsia="Yu Gothic"/>
        </w:rPr>
        <w:t>m</w:t>
      </w:r>
      <w:r>
        <w:rPr>
          <w:rFonts w:ascii="Calibri" w:hAnsi="Calibri" w:eastAsia="Yu Gothic"/>
        </w:rPr>
        <w:t xml:space="preserve"> moduleがすべて同時に成功する零次模型では、局所成功率 </w:t>
      </w:r>
      <w:r>
        <w:rPr>
          <w:rFonts w:ascii="Cambria Math" w:hAnsi="Cambria Math" w:eastAsia="Yu Gothic"/>
        </w:rPr>
        <w:t>r</w:t>
      </w:r>
      <w:r>
        <w:rPr>
          <w:rFonts w:ascii="Calibri" w:hAnsi="Calibri" w:eastAsia="Yu Gothic"/>
        </w:rPr>
        <w:t xml:space="preserve"> と全系成功率 </w:t>
      </w:r>
      <w:r>
        <w:rPr>
          <w:rFonts w:ascii="Cambria Math" w:hAnsi="Cambria Math" w:eastAsia="Yu Gothic"/>
        </w:rPr>
        <w:t>q</w:t>
      </w:r>
      <w:r>
        <w:rPr>
          <w:rFonts w:ascii="Calibri" w:hAnsi="Calibri" w:eastAsia="Yu Gothic"/>
        </w:rPr>
        <w:t xml:space="preserve"> の間に </w:t>
      </w:r>
      <w:r>
        <w:rPr>
          <w:rFonts w:ascii="Cambria Math" w:hAnsi="Cambria Math" w:eastAsia="Yu Gothic"/>
        </w:rPr>
        <w:t>q=r^m</w:t>
      </w:r>
      <w:r>
        <w:rPr>
          <w:rFonts w:ascii="Calibri" w:hAnsi="Calibri" w:eastAsia="Yu Gothic"/>
        </w:rPr>
        <w:t xml:space="preserve"> が成り立つ。従って目標 </w:t>
      </w:r>
      <w:r>
        <w:rPr>
          <w:rFonts w:ascii="Cambria Math" w:hAnsi="Cambria Math" w:eastAsia="Yu Gothic"/>
        </w:rPr>
        <w:t>q</w:t>
      </w:r>
      <w:r>
        <w:rPr>
          <w:rFonts w:ascii="Calibri" w:hAnsi="Calibri" w:eastAsia="Yu Gothic"/>
        </w:rPr>
        <w:t xml:space="preserve"> には </w:t>
      </w:r>
      <w:r>
        <w:rPr>
          <w:rFonts w:ascii="Cambria Math" w:hAnsi="Cambria Math" w:eastAsia="Yu Gothic"/>
        </w:rPr>
        <w:t>r≥ q¹/m</w:t>
      </w:r>
      <w:r>
        <w:rPr>
          <w:rFonts w:ascii="Calibri" w:hAnsi="Calibri" w:eastAsia="Yu Gothic"/>
        </w:rPr>
        <w:t xml:space="preserve"> が必要である。大規模系では局所信頼度を1へ近づける だけでなく、冗長性、誤り訂正、階層的gating、失敗相関の制御が必要になる。 これは人間脳の実測下界ではなく、独立module仮定下の構成的scale条件である。</w:t>
      </w:r>
    </w:p>
    <w:p>
      <w:r>
        <w:rPr>
          <w:rFonts w:ascii="Calibri" w:hAnsi="Calibri" w:eastAsia="Yu Gothic"/>
        </w:rPr>
        <w:t xml:space="preserve">EXP-2026-016は2 module・最大8 nodeまでの範囲で、局所marginと方向別loadを残す表現がmodule size変更後の絶対保持率を較正できる一例を与えた。EXP-2026-017は3 module・7 nodeで、強い一意affinity gapから分割を回復し、certificate計算を全系128 orthantから局所16へ分解できる一例を与えた。EXP-2026-018は同じpartitionを保つentrywise誤差半径を加えた。これを規模条件へ昇格するには、半径外の誤分割に対する機能誤差上界、最大局所次元 </w:t>
      </w:r>
      <w:r>
        <w:rPr>
          <w:rFonts w:ascii="Cambria Math" w:hAnsi="Cambria Math" w:eastAsia="Yu Gothic"/>
        </w:rPr>
        <w:t>b</w:t>
      </w:r>
      <w:r>
        <w:rPr>
          <w:rFonts w:ascii="Calibri" w:hAnsi="Calibri" w:eastAsia="Yu Gothic"/>
        </w:rPr>
        <w:t xml:space="preserve"> と総流入 </w:t>
      </w:r>
      <w:r>
        <w:rPr>
          <w:rFonts w:ascii="Cambria Math" w:hAnsi="Cambria Math" w:eastAsia="Yu Gothic"/>
        </w:rPr>
        <w:t>ellᵢ</w:t>
      </w:r>
      <w:r>
        <w:rPr>
          <w:rFonts w:ascii="Calibri" w:hAnsi="Calibri" w:eastAsia="Yu Gothic"/>
        </w:rPr>
        <w:t xml:space="preserve"> の規模非依存性、失敗相関、stochastic外乱、cueとreadoutの影響に対する外挿誤差上界が必要である。従って人間規模のnode数またはアトラクタ数はまだ導かない。</w:t>
      </w:r>
    </w:p>
    <w:p>
      <w:r>
        <w:rPr>
          <w:rFonts w:ascii="Calibri" w:hAnsi="Calibri" w:eastAsia="Yu Gothic"/>
        </w:rPr>
        <w:t>これらは定量的な人間下界ではない。人間規模へ接続するには、task組合せ複雑度、時間尺度階層、通信bandwidth、energy、発生記述長、plastic reserve枯渇を同時に変化させるscale lawが必要である。</w:t>
      </w:r>
    </w:p>
    <w:p>
      <w:pPr>
        <w:pStyle w:val="Heading1"/>
      </w:pPr>
      <w:r>
        <w:t>7. 限界</w:t>
      </w:r>
    </w:p>
    <w:p>
      <w:r>
        <w:rPr>
          <w:rFonts w:ascii="Calibri" w:hAnsi="Calibri" w:eastAsia="Yu Gothic"/>
        </w:rPr>
        <w:t>第一に、robust repertoireの主実験は4次元tanh RNN、component外挿は4–8次元、空間場実験は8次元tanh RNNであり、高次元、学習済み、spiking、物理reservoirへの一般化は未確認である。第二に、repertoire taskの外乱は100 step一定のcorner方向、component外挿も80 step一定の4方向codeである。EXP-2026-015は確率外乱を用いたが、別のcore制御taskであり、stochastic repertoire predictorを確認していない。Certificate自体は任意の時変成分別外乱を扱うが、経験照合の範囲は狭い。</w:t>
      </w:r>
    </w:p>
    <w:p>
      <w:r>
        <w:rPr>
          <w:rFonts w:ascii="Calibri" w:hAnsi="Calibri" w:eastAsia="Yu Gothic"/>
        </w:rPr>
        <w:t>第三に、共通境界hyperboxは保守的であり、座標別box、zonotope、polytope、level set、viability kernelより小さい安全集合しか認証しない可能性がある。第四に、raw countは16個のorthant初期値から発見した固定点数であり、全アトラクタの完全列挙ではない。第五に、sparse familyの外乱budgetとcoupling gridは他familyと異なり、topology間の絶対性能差を因果的に比較できない。</w:t>
      </w:r>
    </w:p>
    <w:p>
      <w:r>
        <w:rPr>
          <w:rFonts w:ascii="Calibri" w:hAnsi="Calibri" w:eastAsia="Yu Gothic"/>
        </w:rPr>
        <w:t>第六に、EXP-2026-010のcouplingとlocal Jacobianに対するpooled優位は事前登録secondary endpointである。第七に、EXP-2026-011はfold内で対象familyをfitから除外したが、candidate選択には4 familyすべてのpilot成績を用いた。第八に、EXP-2026-012の第五familyではrobust-pair線形modelが外挿に失敗した。さらに30 seedは符号共役で同値なため、modular family母集団に対する区間推定ではない。第九に、normalized margin単独の第五family相関は同じconfirmation上のsecondary結果であり、独立確認されていない。第十に、AUDIT-2026-001は符号対角共役だけを扱い、node permutation、一般similarity、近似共役は未監査である。第十一に、EXP-2026-013は独立な2+2 node moduleに限定される。第十二に、EXP-2026-014は対称二bridgeの弱結合だけを扱う。第十三に、EXP-2026-016は非対称・異サイズを扱ったが、既知二module分割、一generator、整列4方向task、線形ridgeに限定され、順位相関ではbaselineを上回らなかった。第十四に、EXP-2026-017は一意な強いaffinity gapを埋め込んだ7次元三module、一generator、整列4方向taskに限定される。全moduleの最大総流入が同じためdirectionalとglobal certificateも一致し、global順位相関が最良だった。第十五に、EXP-2026-018は同じ7次元generator、独立一様entrywise摂動、task-free構造phaseに限定され、欠測edge、相関誤差、誤分割後の機能を扱わない。第十六に、EXP-2026-015のglobal対照は一様scalarで、局所政策は既知bridgeへ直接アクセスした。低rank、MPC、学習済み制御との比較、場のmodel誤差と遅延、plasticity ruleは未検証である。第十七に、別task family、basin-weighted safe mass、生物学的core–reserve仮説、人間規模条件は本稿の実験から直接導かれない。</w:t>
      </w:r>
    </w:p>
    <w:p>
      <w:pPr>
        <w:pStyle w:val="Heading1"/>
      </w:pPr>
      <w:r>
        <w:t>8. 結論</w:t>
      </w:r>
    </w:p>
    <w:p>
      <w:r>
        <w:rPr>
          <w:rFonts w:ascii="Calibri" w:hAnsi="Calibri" w:eastAsia="Yu Gothic"/>
        </w:rPr>
        <w:t>自律アトラクタ数を完全に一致させても、有限外乱下で利用できる記憶状態は異なり得る。符号orthantごとのrobust invariant hyperbox marginを用いることで、この差を保証下界と経験予測の両面から記述できた。未使用seedと4 network familyで平均marginは外乱下符号記憶保持率と高い順位相関を持った。さらにcurveの高さと面積からなるrobust pairは、familyをfitから除外した未知seed予測でraw countと多変量structural baselineより小さいMAEを示した。</w:t>
      </w:r>
    </w:p>
    <w:p>
      <w:r>
        <w:rPr>
          <w:rFonts w:ascii="Calibri" w:hAnsi="Calibri" w:eastAsia="Yu Gothic"/>
        </w:rPr>
        <w:t>しかし、candidate選択にも未使用の独立module familyでは同じ線形modelが外挿に失敗した。さらに既存600 network条件は符号共役で192 classへ縮約された。異質独立moduleでは固定点、component certificate、task保持率の積則を確認し、対称弱結合ではraw countを保ったまま積則残差がcoupling normとともに増えることと、二種類のrectangle保証がtask下界を保つことを確認した。方向別component modelは2+2・2+3から3+5系へ再fitなしで外挿し、global profileとisolated task積よりMAEを改善したが、順位相関では上回らなかった。強く分離可能な未知2+2+3系ではtask-free partition回復、局所16対全系128のcertificate一致、固定modelのMAE優位を確認したが、global順位相関が最良だった。最大gapと競合gapから得たentrywise半径は、未使用5,760条件で同じpartitionを保証し、半径外の構造感度を定量化した。非対称3+5 core–reserve系では、同一介入energyの局所場が一様global制御より必須core状態とreserve記憶を保った。</w:t>
      </w:r>
    </w:p>
    <w:p>
      <w:r>
        <w:rPr>
          <w:rFonts w:ascii="Calibri" w:hAnsi="Calibri" w:eastAsia="Yu Gothic"/>
        </w:rPr>
        <w:t>従ってAtlasはraw seed数とglobal scoreだけでなく、task保存対称性で割った有効構造class、推定partition、不確実性と保証半径、component別profile、方向別load、積則残差、移送certificate、介入場とenergyを保持すべきである。本研究の結論は「アトラクタ数から外乱budget付き・構造分解付き・介入可能なprofileへ評価単位を移す必要がある」までであり、「一つのglobal score、線形較正、局所制御が任意の力学系へ通用する」ではない。次の焦点は保証半径外の誤分割task、別generator、4 module以上、不均衡方向別load、stochastic repertoire、高次元系、より豊かなset表現、強いenergy-matched制御baselineである。</w:t>
      </w:r>
    </w:p>
    <w:p>
      <w:pPr>
        <w:pStyle w:val="Heading1"/>
      </w:pPr>
      <w:r>
        <w:t>データ・コードと再現性</w:t>
      </w:r>
    </w:p>
    <w:p>
      <w:pPr>
        <w:pStyle w:val="Reproducibility"/>
        <w:jc w:val="left"/>
      </w:pPr>
      <w:r>
        <w:rPr>
          <w:rFonts w:ascii="Calibri" w:hAnsi="Calibri" w:eastAsia="Yu Gothic"/>
        </w:rPr>
        <w:t xml:space="preserve">実験spec、seed、判定、導出済みartifact、主張台帳、実装、テストは本repositoryに保存した。主要記録はEXP-2026-008からEXP-2026-018とAUDIT-2026-001である。EXP-2026-011 confirmationはsource/test manifest SHA-256 </w:t>
      </w:r>
      <w:r>
        <w:rPr>
          <w:rFonts w:ascii="Consolas" w:hAnsi="Consolas" w:eastAsia="Yu Gothic"/>
          <w:sz w:val="19"/>
        </w:rPr>
        <w:t>b022077a3279917d02805a021048382f0b50f33387283d5c900a82b3ff9d0fcd</w:t>
      </w:r>
      <w:r>
        <w:rPr>
          <w:rFonts w:ascii="Calibri" w:hAnsi="Calibri" w:eastAsia="Yu Gothic"/>
        </w:rPr>
        <w:t xml:space="preserve">、EXP-2026-012は </w:t>
      </w:r>
      <w:r>
        <w:rPr>
          <w:rFonts w:ascii="Consolas" w:hAnsi="Consolas" w:eastAsia="Yu Gothic"/>
          <w:sz w:val="19"/>
        </w:rPr>
        <w:t>30f1f7a11953dc6d8a5d1a7415ba8e12c311e718691475976883aa477295187d</w:t>
      </w:r>
      <w:r>
        <w:rPr>
          <w:rFonts w:ascii="Calibri" w:hAnsi="Calibri" w:eastAsia="Yu Gothic"/>
        </w:rPr>
        <w:t xml:space="preserve"> で事前固定した。EXP-2026-012実行前には全145テストが通過し、branch coverageは88%だった。初回出力転送失敗後、結果未観測のまま同一code・同一seedを決定論的にreplayしてartifactを回収した。EXP-2026-013は全165 testと11 subtest、branch coverage 88%を確認し、manifest </w:t>
      </w:r>
      <w:r>
        <w:rPr>
          <w:rFonts w:ascii="Consolas" w:hAnsi="Consolas" w:eastAsia="Yu Gothic"/>
          <w:sz w:val="19"/>
        </w:rPr>
        <w:t>85fb1caea1ebfb68db4e4f1ffd722534a9d6265a9db800e82d14df40739555fa</w:t>
      </w:r>
      <w:r>
        <w:rPr>
          <w:rFonts w:ascii="Calibri" w:hAnsi="Calibri" w:eastAsia="Yu Gothic"/>
        </w:rPr>
        <w:t xml:space="preserve"> を固定して一度だけ実行した。EXP-2026-014はpilot前manifest </w:t>
      </w:r>
      <w:r>
        <w:rPr>
          <w:rFonts w:ascii="Consolas" w:hAnsi="Consolas" w:eastAsia="Yu Gothic"/>
          <w:sz w:val="19"/>
        </w:rPr>
        <w:t>c8d4ee905672f9ea0a8b7d841ac9deaef58b2e1be0d13c99d10959a6e066f51e</w:t>
      </w:r>
      <w:r>
        <w:rPr>
          <w:rFonts w:ascii="Calibri" w:hAnsi="Calibri" w:eastAsia="Yu Gothic"/>
        </w:rPr>
        <w:t xml:space="preserve"> でpilotを一度実行し、3経験判定を追加固定した。Confirmation前に全171 testと11 subtest、branch coverage 88%を確認し、manifest </w:t>
      </w:r>
      <w:r>
        <w:rPr>
          <w:rFonts w:ascii="Consolas" w:hAnsi="Consolas" w:eastAsia="Yu Gothic"/>
          <w:sz w:val="19"/>
        </w:rPr>
        <w:t>a64556683a20ab733581ad6fe71ddc37dfb27cb3138b6dde50faaf6a02efe538</w:t>
      </w:r>
      <w:r>
        <w:rPr>
          <w:rFonts w:ascii="Calibri" w:hAnsi="Calibri" w:eastAsia="Yu Gothic"/>
        </w:rPr>
        <w:t xml:space="preserve"> で一度だけ実行した。EXP-2026-015はpilot後に確認閾値を固定し、確認前に全180 testと11 subtest、branch coverage 88%を確認した。Manifest </w:t>
      </w:r>
      <w:r>
        <w:rPr>
          <w:rFonts w:ascii="Consolas" w:hAnsi="Consolas" w:eastAsia="Yu Gothic"/>
          <w:sz w:val="19"/>
        </w:rPr>
        <w:t>823dc31303ae8d3c8c7b7610e8b6f8fcf8a297f5db240bd3a8c518989a3efca8</w:t>
      </w:r>
      <w:r>
        <w:rPr>
          <w:rFonts w:ascii="Calibri" w:hAnsi="Calibri" w:eastAsia="Yu Gothic"/>
        </w:rPr>
        <w:t xml:space="preserve"> で未使用30 seedを一度だけ実行した。EXP-2026-016は確認前に全186 unittest、7 DOCX test、branch coverage 87%を確認し、manifest </w:t>
      </w:r>
      <w:r>
        <w:rPr>
          <w:rFonts w:ascii="Consolas" w:hAnsi="Consolas" w:eastAsia="Yu Gothic"/>
          <w:sz w:val="19"/>
        </w:rPr>
        <w:t>f013d7f40c2e2dd146fce6d61ea5d95288b3b8b0892b4413ea8c381817ebc170</w:t>
      </w:r>
      <w:r>
        <w:rPr>
          <w:rFonts w:ascii="Calibri" w:hAnsi="Calibri" w:eastAsia="Yu Gothic"/>
        </w:rPr>
        <w:t xml:space="preserve"> と固定model hash </w:t>
      </w:r>
      <w:r>
        <w:rPr>
          <w:rFonts w:ascii="Consolas" w:hAnsi="Consolas" w:eastAsia="Yu Gothic"/>
          <w:sz w:val="19"/>
        </w:rPr>
        <w:t>db0b50a648fb085ca687922a531fab5482af2a134bd01eefc3efe3dd85675a01</w:t>
      </w:r>
      <w:r>
        <w:rPr>
          <w:rFonts w:ascii="Calibri" w:hAnsi="Calibri" w:eastAsia="Yu Gothic"/>
        </w:rPr>
        <w:t xml:space="preserve"> で未使用30 seedを一度だけ実行した。</w:t>
      </w:r>
    </w:p>
    <w:p>
      <w:pPr>
        <w:pStyle w:val="Reproducibility"/>
        <w:jc w:val="left"/>
      </w:pPr>
      <w:r>
        <w:rPr>
          <w:rFonts w:ascii="Calibri" w:hAnsi="Calibri" w:eastAsia="Yu Gothic"/>
        </w:rPr>
        <w:t xml:space="preserve">EXP-2026-017では確認前に全203 unittestとbranch coverage 87%を確認し、task-free構造gateを通過した。Manifest </w:t>
      </w:r>
      <w:r>
        <w:rPr>
          <w:rFonts w:ascii="Consolas" w:hAnsi="Consolas" w:eastAsia="Yu Gothic"/>
          <w:sz w:val="19"/>
        </w:rPr>
        <w:t>ee21b3bb6962dc3c483f194d8684217a6177d6e86fbea00343e14582543329a0</w:t>
      </w:r>
      <w:r>
        <w:rPr>
          <w:rFonts w:ascii="Calibri" w:hAnsi="Calibri" w:eastAsia="Yu Gothic"/>
        </w:rPr>
        <w:t xml:space="preserve"> と同じ固定model hashで未使用30 seedを一度だけ実行した。外側のshell待機はtimeoutしたが同じcontainer/processの終了だけを追跡し、再実行はしていない。構造gate artifact SHA-256は </w:t>
      </w:r>
      <w:r>
        <w:rPr>
          <w:rFonts w:ascii="Consolas" w:hAnsi="Consolas" w:eastAsia="Yu Gothic"/>
          <w:sz w:val="19"/>
        </w:rPr>
        <w:t>86f5739e840d83fed9ea6d0fabcf5214d55a9e3a0a3af5fb24126755b4c34e63</w:t>
      </w:r>
      <w:r>
        <w:rPr>
          <w:rFonts w:ascii="Calibri" w:hAnsi="Calibri" w:eastAsia="Yu Gothic"/>
        </w:rPr>
        <w:t xml:space="preserve">、confirmation artifact SHA-256は </w:t>
      </w:r>
      <w:r>
        <w:rPr>
          <w:rFonts w:ascii="Consolas" w:hAnsi="Consolas" w:eastAsia="Yu Gothic"/>
          <w:sz w:val="19"/>
        </w:rPr>
        <w:t>7c5a5719b09690917f26a1a631a7904cf7f208204260b1f8388e6061bc091cf0</w:t>
      </w:r>
      <w:r>
        <w:rPr>
          <w:rFonts w:ascii="Calibri" w:hAnsi="Calibri" w:eastAsia="Yu Gothic"/>
        </w:rPr>
        <w:t xml:space="preserve"> である。</w:t>
      </w:r>
    </w:p>
    <w:p>
      <w:pPr>
        <w:pStyle w:val="Reproducibility"/>
        <w:jc w:val="left"/>
      </w:pPr>
      <w:r>
        <w:rPr>
          <w:rFonts w:ascii="Calibri" w:hAnsi="Calibri" w:eastAsia="Yu Gothic"/>
        </w:rPr>
        <w:t xml:space="preserve">EXP-2026-018では全216 unittestとbranch coverage 87%を確認し、development 10,080条件の8判定成立後にsource/test manifest </w:t>
      </w:r>
      <w:r>
        <w:rPr>
          <w:rFonts w:ascii="Consolas" w:hAnsi="Consolas" w:eastAsia="Yu Gothic"/>
          <w:sz w:val="19"/>
        </w:rPr>
        <w:t>7583c4c5e500b60d504462b263c8e056139254eec18f1d474fd890fcac3b7110</w:t>
      </w:r>
      <w:r>
        <w:rPr>
          <w:rFonts w:ascii="Calibri" w:hAnsi="Calibri" w:eastAsia="Yu Gothic"/>
        </w:rPr>
        <w:t xml:space="preserve"> を固定した。未使用30 seedのconfirmation 10,080条件を一度だけ実行し、8判定はすべて成立した。Confirmation artifact SHA-256は </w:t>
      </w:r>
      <w:r>
        <w:rPr>
          <w:rFonts w:ascii="Consolas" w:hAnsi="Consolas" w:eastAsia="Yu Gothic"/>
          <w:sz w:val="19"/>
        </w:rPr>
        <w:t>0830936f84f06f293cdaf79e2e50138a80c11cfa3df37ebab938b4b6d9cf635f</w:t>
      </w:r>
      <w:r>
        <w:rPr>
          <w:rFonts w:ascii="Calibri" w:hAnsi="Calibri" w:eastAsia="Yu Gothic"/>
        </w:rPr>
        <w:t xml:space="preserve"> である。従って主要記録範囲はEXP-2026-018までである。</w:t>
      </w:r>
    </w:p>
    <w:p>
      <w:r>
        <w:br w:type="page"/>
      </w:r>
    </w:p>
    <w:p>
      <w:pPr>
        <w:pStyle w:val="Heading1"/>
      </w:pPr>
      <w:r>
        <w:t>参考文献</w:t>
      </w:r>
    </w:p>
    <w:p>
      <w:pPr>
        <w:pStyle w:val="Bibliography"/>
        <w:jc w:val="left"/>
      </w:pPr>
      <w:r>
        <w:rPr>
          <w:rFonts w:ascii="Calibri" w:hAnsi="Calibri" w:eastAsia="Yu Gothic"/>
        </w:rPr>
        <w:t>[1] Kubota A, et al. Reservoir Computing Generalized. arXiv:2412.12104, 2024. https://arxiv.org/abs/2412.12104</w:t>
      </w:r>
    </w:p>
    <w:p>
      <w:pPr>
        <w:pStyle w:val="Bibliography"/>
        <w:jc w:val="left"/>
      </w:pPr>
      <w:r>
        <w:rPr>
          <w:rFonts w:ascii="Calibri" w:hAnsi="Calibri" w:eastAsia="Yu Gothic"/>
        </w:rPr>
        <w:t>[2] Grigoryeva L, Ortega JP. Echo State Networks are Universal. Neural Networks 108, 495–508, 2018. https://doi.org/10.1016/j.neunet.2018.08.025</w:t>
      </w:r>
    </w:p>
    <w:p>
      <w:pPr>
        <w:pStyle w:val="Bibliography"/>
        <w:jc w:val="left"/>
      </w:pPr>
      <w:r>
        <w:rPr>
          <w:rFonts w:ascii="Calibri" w:hAnsi="Calibri" w:eastAsia="Yu Gothic"/>
        </w:rPr>
        <w:t>[3] Menck PJ, et al. How Basin Stability Complements the Linear-Stability Paradigm. Nature Physics 9, 89–92, 2013. https://doi.org/10.1038/nphys2516</w:t>
      </w:r>
    </w:p>
    <w:p>
      <w:pPr>
        <w:pStyle w:val="Bibliography"/>
        <w:jc w:val="left"/>
      </w:pPr>
      <w:r>
        <w:rPr>
          <w:rFonts w:ascii="Calibri" w:hAnsi="Calibri" w:eastAsia="Yu Gothic"/>
        </w:rPr>
        <w:t>[4] Hellmann F, et al. Survivability of Deterministic Dynamical Systems. Scientific Reports 6, 29654, 2016. https://doi.org/10.1038/srep29654</w:t>
      </w:r>
    </w:p>
    <w:p>
      <w:pPr>
        <w:pStyle w:val="Bibliography"/>
        <w:jc w:val="left"/>
      </w:pPr>
      <w:r>
        <w:rPr>
          <w:rFonts w:ascii="Calibri" w:hAnsi="Calibri" w:eastAsia="Yu Gothic"/>
        </w:rPr>
        <w:t>[5] Hennequin G, Vogels TP, Gerstner W. Non-normal Amplification in Random Balanced Neuronal Networks. Physical Review E 86, 011909, 2012. https://doi.org/10.1103/PhysRevE.86.011909</w:t>
      </w:r>
    </w:p>
    <w:p>
      <w:pPr>
        <w:pStyle w:val="Bibliography"/>
        <w:jc w:val="left"/>
      </w:pPr>
      <w:r>
        <w:rPr>
          <w:rFonts w:ascii="Calibri" w:hAnsi="Calibri" w:eastAsia="Yu Gothic"/>
        </w:rPr>
        <w:t>[6] Grigoryeva L, Ortega JP. Universal Discrete-Time Reservoir Computers with Stochastic Inputs and Linear Readouts Using Non-Homogeneous State-Affine Systems. JMLR 19, 1–40, 2018. https://jmlr.org/papers/v19/18-020.html</w:t>
      </w:r>
    </w:p>
    <w:p>
      <w:pPr>
        <w:pStyle w:val="Bibliography"/>
        <w:jc w:val="left"/>
      </w:pPr>
      <w:r>
        <w:rPr>
          <w:rFonts w:ascii="Calibri" w:hAnsi="Calibri" w:eastAsia="Yu Gothic"/>
        </w:rPr>
        <w:t>[7] Sugiura T, et al. Nonessentiality of Reservoir’s Fading Memory for Universality of Reservoir Computing. IEEE TNNLS 35, 16801–16815, 2024. https://doi.org/10.1109/TNNLS.2023.3298013</w:t>
      </w:r>
    </w:p>
    <w:p>
      <w:pPr>
        <w:pStyle w:val="Bibliography"/>
        <w:jc w:val="left"/>
      </w:pPr>
      <w:r>
        <w:rPr>
          <w:rFonts w:ascii="Calibri" w:hAnsi="Calibri" w:eastAsia="Yu Gothic"/>
        </w:rPr>
        <w:t>[8] Dhadphale A, et al. Prediction Performance of Random Reservoirs with Different Topology for Nonlinear Dynamical Systems with Different Number of Degrees of Freedom. Chaos, 2026. https://doi.org/10.1063/5.0314081</w:t>
      </w:r>
    </w:p>
    <w:p>
      <w:pPr>
        <w:pStyle w:val="Bibliography"/>
        <w:jc w:val="left"/>
      </w:pPr>
      <w:r>
        <w:rPr>
          <w:rFonts w:ascii="Calibri" w:hAnsi="Calibri" w:eastAsia="Yu Gothic"/>
        </w:rPr>
        <w:t>[9] Park S, et al. Photonic Reservoir Computing with Complex Networks. arXiv:2607.23285, 2026. https://arxiv.org/abs/2607.23285</w:t>
      </w:r>
    </w:p>
    <w:p>
      <w:pPr>
        <w:pStyle w:val="Bibliography"/>
        <w:jc w:val="left"/>
      </w:pPr>
      <w:r>
        <w:rPr>
          <w:rFonts w:ascii="Calibri" w:hAnsi="Calibri" w:eastAsia="Yu Gothic"/>
        </w:rPr>
        <w:t>[10] Jiang ZP, Wang Y. Input-to-State Stability for Discrete-Time Nonlinear Systems. Automatica 37, 857–869, 2001. https://doi.org/10.1016/S0005-1098(01)00028-0</w:t>
      </w:r>
    </w:p>
    <w:p>
      <w:pPr>
        <w:pStyle w:val="Bibliography"/>
        <w:jc w:val="left"/>
      </w:pPr>
      <w:r>
        <w:rPr>
          <w:rFonts w:ascii="Calibri" w:hAnsi="Calibri" w:eastAsia="Yu Gothic"/>
        </w:rPr>
        <w:t>[11] Clark DG. Transient Dynamics of Associative Memory Models. Physical Review E 113, 054301, 2026. https://doi.org/10.1103/42y2-bsh1</w:t>
      </w:r>
    </w:p>
    <w:p>
      <w:pPr>
        <w:pStyle w:val="Bibliography"/>
        <w:jc w:val="left"/>
      </w:pPr>
      <w:r>
        <w:rPr>
          <w:rFonts w:ascii="Calibri" w:hAnsi="Calibri" w:eastAsia="Yu Gothic"/>
        </w:rPr>
        <w:t>[12] Poggialini A, et al. Non-normal Dynamics on Nonreciprocal Networks: Reactivity and Effective Dimensionality in Neural Circuits. Physical Review E, accepted 16 July 2026. https://doi.org/10.1103/jv6l-3s5z</w:t>
      </w:r>
    </w:p>
    <w:p>
      <w:pPr>
        <w:pStyle w:val="Bibliography"/>
        <w:jc w:val="left"/>
      </w:pPr>
      <w:r>
        <w:rPr>
          <w:rFonts w:ascii="Calibri" w:hAnsi="Calibri" w:eastAsia="Yu Gothic"/>
        </w:rPr>
        <w:t>[13] Driscoll L, Shenoy KV, Sussillo D. Flexible Multitask Computation in Recurrent Networks Utilizes Shared Dynamical Motifs. Nature Neuroscience 27, 1349–1363, 2024. https://doi.org/10.1038/s41593-024-01668-6</w:t>
      </w:r>
    </w:p>
    <w:p>
      <w:pPr>
        <w:pStyle w:val="Bibliography"/>
        <w:jc w:val="left"/>
      </w:pPr>
      <w:r>
        <w:rPr>
          <w:rFonts w:ascii="Calibri" w:hAnsi="Calibri" w:eastAsia="Yu Gothic"/>
        </w:rPr>
        <w:t>[14] Dohare S, et al. Loss of Plasticity in Deep Continual Learning. Nature 632, 768–774, 2024. https://doi.org/10.1038/s41586-024-07711-7</w:t>
      </w:r>
    </w:p>
    <w:p>
      <w:pPr>
        <w:pStyle w:val="Bibliography"/>
        <w:jc w:val="left"/>
      </w:pPr>
      <w:r>
        <w:rPr>
          <w:rFonts w:ascii="Calibri" w:hAnsi="Calibri" w:eastAsia="Yu Gothic"/>
        </w:rPr>
        <w:t>[15] McClelland JL, McNaughton BL, O’Reilly RC. Why There Are Complementary Learning Systems in the Hippocampus and Neocortex. Psychological Review 102, 419–457, 1995. https://doi.org/10.1037/0033-295X.102.3.419</w:t>
      </w:r>
    </w:p>
    <w:p>
      <w:pPr>
        <w:pStyle w:val="Bibliography"/>
        <w:jc w:val="left"/>
      </w:pPr>
      <w:r>
        <w:rPr>
          <w:rFonts w:ascii="Calibri" w:hAnsi="Calibri" w:eastAsia="Yu Gothic"/>
        </w:rPr>
        <w:t>[16] Wainberg M, et al. Genetic Architecture of the Structural Connectome. Nature Communications 15, 1962, 2024. https://doi.org/10.1038/s41467-024-46023-2</w:t>
      </w:r>
    </w:p>
    <w:p>
      <w:pPr>
        <w:pStyle w:val="Bibliography"/>
        <w:jc w:val="left"/>
      </w:pPr>
      <w:r>
        <w:rPr>
          <w:rFonts w:ascii="Calibri" w:hAnsi="Calibri" w:eastAsia="Yu Gothic"/>
        </w:rPr>
        <w:t>[17] Xia J, et al. Multiscale Structural Connectome Eigenmodes Constrain Human Brain Functional Dynamics. Communications Biology, 2026. https://doi.org/10.1038/s42003-026-10558-5</w:t>
      </w:r>
    </w:p>
    <w:p>
      <w:pPr>
        <w:pStyle w:val="Bibliography"/>
        <w:jc w:val="left"/>
      </w:pPr>
      <w:r>
        <w:rPr>
          <w:rFonts w:ascii="Calibri" w:hAnsi="Calibri" w:eastAsia="Yu Gothic"/>
        </w:rPr>
        <w:t>[18] Cahill MK, et al. Local and Transient Inputs to Astrocytes Generate Larger and Longer-Lasting Calcium Signals. Nature, 2024. https://doi.org/10.1038/s41586-024-07311-5</w:t>
      </w:r>
    </w:p>
    <w:p>
      <w:pPr>
        <w:pStyle w:val="Bibliography"/>
        <w:jc w:val="left"/>
      </w:pPr>
      <w:r>
        <w:rPr>
          <w:rFonts w:ascii="Calibri" w:hAnsi="Calibri" w:eastAsia="Yu Gothic"/>
        </w:rPr>
        <w:t>[19] Centripetal Integration of Past Events in Hippocampal Astrocytes Regulated by the Locus Coeruleus. Nature Neuroscience, 2024. https://doi.org/10.1038/s41593-024-01612-8</w:t>
      </w:r>
    </w:p>
    <w:p>
      <w:pPr>
        <w:pStyle w:val="Bibliography"/>
        <w:jc w:val="left"/>
      </w:pPr>
      <w:r>
        <w:rPr>
          <w:rFonts w:ascii="Calibri" w:hAnsi="Calibri" w:eastAsia="Yu Gothic"/>
        </w:rPr>
        <w:t>[20] Rapid Astrocyte Modulation of Local Extracellular Calcium Drives Striatal Cholinergic Interneurons and Dopamine Release. Nature Communications, 2024. https://doi.org/10.1038/s41467-024-54253-7</w:t>
      </w:r>
    </w:p>
    <w:p>
      <w:pPr>
        <w:pStyle w:val="Bibliography"/>
        <w:jc w:val="left"/>
      </w:pPr>
      <w:r>
        <w:rPr>
          <w:rFonts w:ascii="Calibri" w:hAnsi="Calibri" w:eastAsia="Yu Gothic"/>
        </w:rPr>
        <w:t>[21] Astrocytic Sodium Homeostasis Exhibits Cellular and Subcellular Heterogeneity and Controls Potassium Uptake. Nature Communications, 2026. https://doi.org/10.1038/s41467-026-73435-z</w:t>
      </w:r>
    </w:p>
    <w:p>
      <w:pPr>
        <w:pStyle w:val="Bibliography"/>
        <w:jc w:val="left"/>
      </w:pPr>
      <w:r>
        <w:rPr>
          <w:rFonts w:ascii="Calibri" w:hAnsi="Calibri" w:eastAsia="Yu Gothic"/>
        </w:rPr>
        <w:t>[22] Brain-State-Dependent Astrocytic Chloride. Nature Communications, 2023. https://doi.org/10.1038/s41467-023-37433-9</w:t>
      </w:r>
    </w:p>
    <w:p>
      <w:pPr>
        <w:pStyle w:val="Bibliography"/>
        <w:jc w:val="left"/>
      </w:pPr>
      <w:r>
        <w:rPr>
          <w:rFonts w:ascii="Calibri" w:hAnsi="Calibri" w:eastAsia="Yu Gothic"/>
        </w:rPr>
        <w:t>[23] Acetylcholine–Dopamine Waves as a Reaction–Diffusion System. Nature Communications, 2023. https://doi.org/10.1038/s41467-023-42311-5</w:t>
      </w:r>
    </w:p>
    <w:p>
      <w:pPr>
        <w:pStyle w:val="Bibliography"/>
        <w:jc w:val="left"/>
      </w:pPr>
      <w:r>
        <w:rPr>
          <w:rFonts w:ascii="Calibri" w:hAnsi="Calibri" w:eastAsia="Yu Gothic"/>
        </w:rPr>
        <w:t>[24] Dopamine Builds and Reveals Latent Behavioral Attractors. Nature Communications, 2024. https://doi.org/10.1038/s41467-024-53976-x</w:t>
      </w:r>
    </w:p>
    <w:p>
      <w:pPr>
        <w:pStyle w:val="Bibliography"/>
        <w:jc w:val="left"/>
      </w:pPr>
      <w:r>
        <w:rPr>
          <w:rFonts w:ascii="Calibri" w:hAnsi="Calibri" w:eastAsia="Yu Gothic"/>
        </w:rPr>
        <w:t>[25] Dashkovskiy SN, Rüffer BS, Wirth FR. Small Gain Theorems for Large Scale Systems and Construction of ISS Lyapunov Functions. SIAM Journal on Control and Optimization 48, 4089–4118, 2010. https://doi.org/10.1137/090746483</w:t>
      </w:r>
    </w:p>
    <w:p>
      <w:pPr>
        <w:pStyle w:val="Bibliography"/>
        <w:jc w:val="left"/>
      </w:pPr>
      <w:r>
        <w:rPr>
          <w:rFonts w:ascii="Calibri" w:hAnsi="Calibri" w:eastAsia="Yu Gothic"/>
        </w:rPr>
        <w:t>[26] Zhang S, Xiu Y, Qu G, Fan C. Compositional Neural Certificates for Networked Dynamical Systems. Proceedings of L4DC, PMLR 211, 272–285, 2023. https://proceedings.mlr.press/v211/zhang23a.html</w:t>
      </w:r>
    </w:p>
    <w:p>
      <w:pPr>
        <w:pStyle w:val="Bibliography"/>
        <w:jc w:val="left"/>
      </w:pPr>
      <w:r>
        <w:rPr>
          <w:rFonts w:ascii="Calibri" w:hAnsi="Calibri" w:eastAsia="Yu Gothic"/>
        </w:rPr>
        <w:t>[27] Pradhan N, Dasgupta S, Sinha S. Modular Organization Enhances the Robustness of Attractor Network Dynamics. Europhysics Letters 94, 38004, 2011. https://doi.org/10.1209/0295-5075/94/38004</w:t>
      </w:r>
    </w:p>
    <w:p>
      <w:pPr>
        <w:pStyle w:val="Bibliography"/>
        <w:jc w:val="left"/>
      </w:pPr>
      <w:r>
        <w:rPr>
          <w:rFonts w:ascii="Calibri" w:hAnsi="Calibri" w:eastAsia="Yu Gothic"/>
        </w:rPr>
        <w:t>[28] Zhou Y, Liu S, Fan C. Scalable Input-to-State Stability Certificates for Interconnected Discrete-Time Systems. arXiv:2509.10118, 2025. https://arxiv.org/abs/2509.10118</w:t>
      </w:r>
    </w:p>
    <w:p>
      <w:pPr>
        <w:pStyle w:val="Bibliography"/>
        <w:jc w:val="left"/>
      </w:pPr>
      <w:r>
        <w:rPr>
          <w:rFonts w:ascii="Calibri" w:hAnsi="Calibri" w:eastAsia="Yu Gothic"/>
        </w:rPr>
        <w:t>[29] Diez I, et al. Developmental Timing Shapes Structural Connectivity and Centrality in the Human Connectome. Nature Communications 17, 2026. https://doi.org/10.1038/s41467-025-67785-3</w:t>
      </w:r>
    </w:p>
    <w:p>
      <w:pPr>
        <w:pStyle w:val="Bibliography"/>
        <w:jc w:val="left"/>
      </w:pPr>
      <w:r>
        <w:rPr>
          <w:rFonts w:ascii="Calibri" w:hAnsi="Calibri" w:eastAsia="Yu Gothic"/>
        </w:rPr>
        <w:t>[30] Nano PR, et al. Gene Co-expression Networks Underlying Cell-type Specification in the Developing Human Cortex. Nature Neuroscience, 2025. https://doi.org/10.1038/s41593-025-01933-2</w:t>
      </w:r>
    </w:p>
    <w:p>
      <w:pPr>
        <w:pStyle w:val="Bibliography"/>
        <w:jc w:val="left"/>
      </w:pPr>
      <w:r>
        <w:rPr>
          <w:rFonts w:ascii="Calibri" w:hAnsi="Calibri" w:eastAsia="Yu Gothic"/>
        </w:rPr>
        <w:t>[31] Karrer B, Levina E, Newman MEJ. Robustness of Community Structure in Networks. Physical Review E 77, 046119, 2008. https://doi.org/10.1103/PhysRevE.77.046119</w:t>
      </w:r>
    </w:p>
    <w:p>
      <w:pPr>
        <w:pStyle w:val="Bibliography"/>
        <w:jc w:val="left"/>
      </w:pPr>
      <w:r>
        <w:rPr>
          <w:rFonts w:ascii="Calibri" w:hAnsi="Calibri" w:eastAsia="Yu Gothic"/>
        </w:rPr>
        <w:t>[32] Peixoto TP. Revealing Consensus and Dissensus between Network Partitions. Physical Review X 11, 021003, 2021. https://doi.org/10.1103/PhysRevX.11.021003</w:t>
      </w:r>
    </w:p>
    <w:p>
      <w:pPr>
        <w:pStyle w:val="Bibliography"/>
        <w:jc w:val="left"/>
      </w:pPr>
      <w:r>
        <w:rPr>
          <w:rFonts w:ascii="Calibri" w:hAnsi="Calibri" w:eastAsia="Yu Gothic"/>
        </w:rPr>
        <w:t>[33] Béna G, Goodman DFM. Dynamics of Specialization in Neural Modules under Resource Constraints. Nature Communications 16, 187, 2025. https://doi.org/10.1038/s41467-024-55188-9</w:t>
      </w:r>
    </w:p>
    <w:p>
      <w:pPr>
        <w:pStyle w:val="Bibliography"/>
        <w:jc w:val="left"/>
      </w:pPr>
      <w:r>
        <w:rPr>
          <w:rFonts w:ascii="Calibri" w:hAnsi="Calibri" w:eastAsia="Yu Gothic"/>
        </w:rPr>
        <w:t>[34] Yang H, et al. Connectional Axis of Individual Functional Variability: Patterns, Structural Correlates, and Relevance for Development and Cognition. Proceedings of the National Academy of Sciences 122, e2420228122, 2025. https://doi.org/10.1073/pnas.2420228122</w:t>
      </w:r>
    </w:p>
    <w:sectPr w:rsidR="00FC693F" w:rsidRPr="0006063C" w:rsidSect="00034616">
      <w:headerReference w:type="default" r:id="rId9"/>
      <w:headerReference w:type="even" r:id="rId10"/>
      <w:footerReference w:type="default" r:id="rId11"/>
      <w:footerReference w:type="even" r:id="rId12"/>
      <w:pgSz w:w="12240" w:h="15840"/>
      <w:pgMar w:top="1440" w:right="1440" w:bottom="1728"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Yu Gothic"/>
        <w:color w:val="5B6573"/>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Yu Gothic"/>
        <w:color w:val="5B65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Yu Gothic"/>
        <w:color w:val="5B6573"/>
        <w:sz w:val="17"/>
      </w:rPr>
      <w:t>Reservoir Dynamics Research</w:t>
    </w:r>
    <w:r>
      <w:tab/>
    </w:r>
    <w:r>
      <w:rPr>
        <w:rFonts w:ascii="Calibri" w:hAnsi="Calibri" w:eastAsia="Yu Gothic"/>
        <w:color w:val="5B6573"/>
        <w:sz w:val="17"/>
      </w:rPr>
      <w:t>研究草稿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Yu Gothic"/>
        <w:color w:val="5B6573"/>
        <w:sz w:val="17"/>
      </w:rPr>
      <w:t>Reservoir Dynamics Research</w:t>
    </w:r>
    <w:r>
      <w:tab/>
    </w:r>
    <w:r>
      <w:rPr>
        <w:rFonts w:ascii="Calibri" w:hAnsi="Calibri" w:eastAsia="Yu Gothic"/>
        <w:color w:val="5B6573"/>
        <w:sz w:val="17"/>
      </w:rPr>
      <w:t>研究草稿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260"/>
        </w:tabs>
        <w:ind w:left="540" w:hanging="280"/>
        <w:spacing w:after="80" w:line="29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Yu Gothi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Title">
    <w:name w:val="Academic Title"/>
    <w:pPr>
      <w:keepNext/>
      <w:spacing w:before="400" w:after="120"/>
      <w:jc w:val="center"/>
    </w:pPr>
    <w:rPr>
      <w:rFonts w:ascii="Calibri" w:hAnsi="Calibri" w:eastAsia="Yu Gothic"/>
      <w:b/>
      <w:color w:val="0B2545"/>
      <w:sz w:val="48"/>
    </w:rPr>
  </w:style>
  <w:style w:type="paragraph" w:customStyle="1" w:styleId="AcademicSubtitle">
    <w:name w:val="Academic Subtitle"/>
    <w:pPr>
      <w:keepNext/>
      <w:spacing w:before="0" w:after="240"/>
      <w:jc w:val="center"/>
    </w:pPr>
    <w:rPr>
      <w:rFonts w:ascii="Calibri" w:hAnsi="Calibri" w:eastAsia="Yu Gothic"/>
      <w:b w:val="0"/>
      <w:color w:val="1F4D78"/>
      <w:sz w:val="28"/>
    </w:rPr>
  </w:style>
  <w:style w:type="paragraph" w:customStyle="1" w:styleId="DraftMetadata">
    <w:name w:val="Draft Metadata"/>
    <w:pPr>
      <w:spacing w:before="0" w:after="40"/>
      <w:jc w:val="center"/>
    </w:pPr>
    <w:rPr>
      <w:rFonts w:ascii="Calibri" w:hAnsi="Calibri" w:eastAsia="Yu Gothic"/>
      <w:b w:val="0"/>
      <w:color w:val="5B6573"/>
      <w:sz w:val="19"/>
    </w:rPr>
  </w:style>
  <w:style w:type="paragraph" w:customStyle="1" w:styleId="Keywords">
    <w:name w:val="Keywords"/>
    <w:pPr>
      <w:spacing w:before="80" w:after="200" w:line="280" w:lineRule="auto"/>
    </w:pPr>
    <w:rPr>
      <w:rFonts w:ascii="Calibri" w:hAnsi="Calibri" w:eastAsia="Yu Gothic"/>
      <w:b w:val="0"/>
      <w:color w:val="5B6573"/>
      <w:sz w:val="19"/>
    </w:rPr>
  </w:style>
  <w:style w:type="paragraph" w:customStyle="1" w:styleId="DisplayEquation">
    <w:name w:val="Display Equation"/>
    <w:pPr>
      <w:keepLines/>
      <w:spacing w:before="120" w:after="160"/>
      <w:jc w:val="center"/>
    </w:pPr>
    <w:rPr>
      <w:rFonts w:ascii="Cambria Math" w:hAnsi="Cambria Math" w:eastAsia="Yu Gothic"/>
      <w:b w:val="0"/>
      <w:color w:val="000000"/>
      <w:sz w:val="21"/>
    </w:rPr>
  </w:style>
  <w:style w:type="paragraph" w:customStyle="1" w:styleId="Bibliography">
    <w:name w:val="Bibliography"/>
    <w:pPr>
      <w:spacing w:before="0" w:after="60" w:line="280" w:lineRule="auto"/>
      <w:ind w:left="432" w:hanging="432"/>
      <w:jc w:val="left"/>
    </w:pPr>
    <w:rPr>
      <w:rFonts w:ascii="Calibri" w:hAnsi="Calibri" w:eastAsia="Yu Gothic"/>
      <w:b w:val="0"/>
      <w:color w:val="222222"/>
      <w:sz w:val="19"/>
    </w:rPr>
  </w:style>
  <w:style w:type="paragraph" w:customStyle="1" w:styleId="Reproducibility">
    <w:name w:val="Reproducibility"/>
    <w:pPr>
      <w:spacing w:before="0" w:after="160" w:line="300" w:lineRule="auto"/>
      <w:jc w:val="left"/>
    </w:pPr>
    <w:rPr>
      <w:rFonts w:ascii="Calibri" w:hAnsi="Calibri" w:eastAsia="Yu Gothic"/>
      <w:b w:val="0"/>
      <w:color w:val="222222"/>
      <w:sz w:val="20"/>
    </w:rPr>
  </w:style>
  <w:style w:type="paragraph" w:customStyle="1" w:styleId="ScientificTableText">
    <w:name w:val="Scientific Table Text"/>
    <w:pPr>
      <w:spacing w:before="0" w:after="40" w:line="240" w:lineRule="auto"/>
    </w:pPr>
    <w:rPr>
      <w:rFonts w:ascii="Calibri" w:hAnsi="Calibri" w:eastAsia="Yu Gothic"/>
      <w:b w:val="0"/>
      <w:color w:val="11111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アトラクタ数を越えたリザバー評価</dc:title>
  <dc:subject>ロバスト・レパートリー余裕と外乱下記憶性能</dc:subject>
  <dc:creator>python-docx</dc:creator>
  <cp:keywords>reservoir computing; attractor; robust invariant set; RNN</cp:keywords>
  <dc:description>研究草稿 v0.9</dc:description>
  <cp:lastModifiedBy/>
  <cp:revision>1</cp:revision>
  <dcterms:created xsi:type="dcterms:W3CDTF">2013-12-23T23:15:00Z</dcterms:created>
  <dcterms:modified xsi:type="dcterms:W3CDTF">2013-12-23T23:15:00Z</dcterms:modified>
  <cp:category/>
</cp:coreProperties>
</file>