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rPr>
          <w:b/>
          <w:bCs/>
          <w:color w:val="9A6A12"/>
          <w:sz w:val="24"/>
          <w:szCs w:val="24"/>
        </w:rPr>
        <w:t xml:space="preserve">DIRISA Student Datathon Challenge 2026</w:t>
      </w:r>
    </w:p>
    <w:p>
      <w:pPr>
        <w:spacing w:after="120" w:before="200"/>
      </w:pPr>
      <w:r>
        <w:rPr>
          <w:b/>
          <w:bCs/>
          <w:color w:val="0E1A22"/>
          <w:sz w:val="60"/>
          <w:szCs w:val="60"/>
        </w:rPr>
        <w:t xml:space="preserve">Presentation plan and speaker script</w:t>
      </w:r>
    </w:p>
    <w:p>
      <w:pPr>
        <w:spacing w:after="360"/>
      </w:pPr>
      <w:r>
        <w:rPr>
          <w:color w:val="0E1A22"/>
          <w:sz w:val="30"/>
          <w:szCs w:val="30"/>
        </w:rPr>
        <w:t xml:space="preserve">Exploratory data analysis, machine learning and the live dashboard</w:t>
      </w:r>
    </w:p>
    <w:p>
      <w:pPr>
        <w:pBdr>
          <w:bottom w:val="single" w:color="9A6A12" w:sz="12" w:space="6"/>
        </w:pBdr>
        <w:spacing w:after="360"/>
      </w:pPr>
    </w:p>
    <w:p>
      <w:pPr>
        <w:spacing w:after="200" w:line="320"/>
      </w:pPr>
      <w:r>
        <w:rPr>
          <w:color w:val="52707C"/>
          <w:sz w:val="24"/>
          <w:szCs w:val="24"/>
        </w:rPr>
        <w:t xml:space="preserve">How the 15-minute video is shared between six presenters, and a word-for-word script for the four presenters covering the EDA, the machine learning model and the dashboard. Use it with the slide deck "Hung_Council_Watch_EDA_ML_Dashboard_Slides.pdf".</w:t>
      </w:r>
    </w:p>
    <w:p>
      <w:pPr>
        <w:spacing w:after="80" w:before="500"/>
      </w:pPr>
      <w:r>
        <w:rPr>
          <w:b/>
          <w:bCs/>
          <w:sz w:val="24"/>
          <w:szCs w:val="24"/>
        </w:rPr>
        <w:t xml:space="preserve">Team Eduvos</w:t>
      </w:r>
    </w:p>
    <w:p>
      <w:r>
        <w:rPr>
          <w:sz w:val="22"/>
          <w:szCs w:val="22"/>
        </w:rPr>
        <w:t xml:space="preserve">Live dashboard: </w:t>
      </w:r>
      <w:hyperlink w:history="1" r:id="rIdcmpy_m0mr9qtb8wsj1t-v">
        <w:r>
          <w:rPr>
            <w:rStyle w:val="Hyperlink"/>
          </w:rPr>
          <w:t xml:space="preserve">https://eduvos-hung-councils.netlify.app</w:t>
        </w:r>
      </w:hyperlink>
    </w:p>
    <w:p>
      <w:pPr>
        <w:pStyle w:val="Heading1"/>
        <w:pageBreakBefore/>
      </w:pPr>
      <w:r>
        <w:t xml:space="preserve">1. The 15-minute plan</w:t>
      </w:r>
    </w:p>
    <w:p>
      <w:pPr>
        <w:spacing w:after="140" w:line="300"/>
      </w:pPr>
      <w:r>
        <w:t xml:space="preserve">The submission requires a 15-minute recording in which </w:t>
      </w:r>
      <w:r>
        <w:rPr>
          <w:b/>
          <w:bCs/>
        </w:rPr>
        <w:t xml:space="preserve">every one of the six team members presents</w:t>
      </w:r>
      <w:r>
        <w:t xml:space="preserve">. The plan below gives each person a fair share and keeps the whole video within the limit. Write each presenter's name in the table before recording.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3700"/>
        <w:gridCol w:w="2400"/>
        <w:gridCol w:w="900"/>
        <w:gridCol w:w="2138"/>
      </w:tblGrid>
      <w:tr>
        <w:trPr>
          <w:tblHeader/>
        </w:trPr>
        <w:tc>
          <w:tcPr>
            <w:tcW w:type="dxa" w:w="500"/>
            <w:tcBorders>
              <w:top w:val="single" w:color="D3DCE0" w:sz="4"/>
              <w:left w:val="single" w:color="D3DCE0" w:sz="4"/>
              <w:bottom w:val="single" w:color="D3DCE0" w:sz="4"/>
              <w:right w:val="single" w:color="D3DCE0" w:sz="4"/>
            </w:tcBorders>
            <w:shd w:fill="0E1A22" w:color="auto" w:val="clear"/>
            <w:tcMar>
              <w:top w:type="dxa" w:w="80"/>
              <w:left w:type="dxa" w:w="110"/>
              <w:bottom w:type="dxa" w:w="80"/>
              <w:right w:type="dxa" w:w="110"/>
            </w:tcMar>
          </w:tcPr>
          <w:p>
            <w:pPr>
              <w:spacing w:after="0" w:line="270"/>
            </w:pPr>
            <w:r>
              <w:rPr>
                <w:b/>
                <w:bCs/>
                <w:color w:val="FFFFFF"/>
              </w:rPr>
              <w:t xml:space="preserve">#</w:t>
            </w:r>
          </w:p>
        </w:tc>
        <w:tc>
          <w:tcPr>
            <w:tcW w:type="dxa" w:w="3700"/>
            <w:tcBorders>
              <w:top w:val="single" w:color="D3DCE0" w:sz="4"/>
              <w:left w:val="single" w:color="D3DCE0" w:sz="4"/>
              <w:bottom w:val="single" w:color="D3DCE0" w:sz="4"/>
              <w:right w:val="single" w:color="D3DCE0" w:sz="4"/>
            </w:tcBorders>
            <w:shd w:fill="0E1A22" w:color="auto" w:val="clear"/>
            <w:tcMar>
              <w:top w:type="dxa" w:w="80"/>
              <w:left w:type="dxa" w:w="110"/>
              <w:bottom w:type="dxa" w:w="80"/>
              <w:right w:type="dxa" w:w="110"/>
            </w:tcMar>
          </w:tcPr>
          <w:p>
            <w:pPr>
              <w:spacing w:after="0" w:line="270"/>
            </w:pPr>
            <w:r>
              <w:rPr>
                <w:b/>
                <w:bCs/>
                <w:color w:val="FFFFFF"/>
              </w:rPr>
              <w:t xml:space="preserve">Section</w:t>
            </w:r>
          </w:p>
        </w:tc>
        <w:tc>
          <w:tcPr>
            <w:tcW w:type="dxa" w:w="2400"/>
            <w:tcBorders>
              <w:top w:val="single" w:color="D3DCE0" w:sz="4"/>
              <w:left w:val="single" w:color="D3DCE0" w:sz="4"/>
              <w:bottom w:val="single" w:color="D3DCE0" w:sz="4"/>
              <w:right w:val="single" w:color="D3DCE0" w:sz="4"/>
            </w:tcBorders>
            <w:shd w:fill="0E1A22" w:color="auto" w:val="clear"/>
            <w:tcMar>
              <w:top w:type="dxa" w:w="80"/>
              <w:left w:type="dxa" w:w="110"/>
              <w:bottom w:type="dxa" w:w="80"/>
              <w:right w:type="dxa" w:w="110"/>
            </w:tcMar>
          </w:tcPr>
          <w:p>
            <w:pPr>
              <w:spacing w:after="0" w:line="270"/>
            </w:pPr>
            <w:r>
              <w:rPr>
                <w:b/>
                <w:bCs/>
                <w:color w:val="FFFFFF"/>
              </w:rPr>
              <w:t xml:space="preserve">Presenter</w:t>
            </w:r>
          </w:p>
        </w:tc>
        <w:tc>
          <w:tcPr>
            <w:tcW w:type="dxa" w:w="900"/>
            <w:tcBorders>
              <w:top w:val="single" w:color="D3DCE0" w:sz="4"/>
              <w:left w:val="single" w:color="D3DCE0" w:sz="4"/>
              <w:bottom w:val="single" w:color="D3DCE0" w:sz="4"/>
              <w:right w:val="single" w:color="D3DCE0" w:sz="4"/>
            </w:tcBorders>
            <w:shd w:fill="0E1A22" w:color="auto" w:val="clear"/>
            <w:tcMar>
              <w:top w:type="dxa" w:w="80"/>
              <w:left w:type="dxa" w:w="110"/>
              <w:bottom w:type="dxa" w:w="80"/>
              <w:right w:type="dxa" w:w="110"/>
            </w:tcMar>
          </w:tcPr>
          <w:p>
            <w:pPr>
              <w:spacing w:after="0" w:line="270"/>
            </w:pPr>
            <w:r>
              <w:rPr>
                <w:b/>
                <w:bCs/>
                <w:color w:val="FFFFFF"/>
              </w:rPr>
              <w:t xml:space="preserve">Time</w:t>
            </w:r>
          </w:p>
        </w:tc>
        <w:tc>
          <w:tcPr>
            <w:tcW w:type="dxa" w:w="2138"/>
            <w:tcBorders>
              <w:top w:val="single" w:color="D3DCE0" w:sz="4"/>
              <w:left w:val="single" w:color="D3DCE0" w:sz="4"/>
              <w:bottom w:val="single" w:color="D3DCE0" w:sz="4"/>
              <w:right w:val="single" w:color="D3DCE0" w:sz="4"/>
            </w:tcBorders>
            <w:shd w:fill="0E1A22" w:color="auto" w:val="clear"/>
            <w:tcMar>
              <w:top w:type="dxa" w:w="80"/>
              <w:left w:type="dxa" w:w="110"/>
              <w:bottom w:type="dxa" w:w="80"/>
              <w:right w:type="dxa" w:w="110"/>
            </w:tcMar>
          </w:tcPr>
          <w:p>
            <w:pPr>
              <w:spacing w:after="0" w:line="270"/>
            </w:pPr>
            <w:r>
              <w:rPr>
                <w:b/>
                <w:bCs/>
                <w:color w:val="FFFFFF"/>
              </w:rPr>
              <w:t xml:space="preserve">Slides</w:t>
            </w:r>
          </w:p>
        </w:tc>
      </w:tr>
      <w:tr>
        <w:tc>
          <w:tcPr>
            <w:tcW w:type="dxa" w:w="5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1</w:t>
            </w:r>
          </w:p>
        </w:tc>
        <w:tc>
          <w:tcPr>
            <w:tcW w:type="dxa" w:w="37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Introduction and problem statement</w:t>
            </w:r>
          </w:p>
        </w:tc>
        <w:tc>
          <w:tcPr>
            <w:tcW w:type="dxa" w:w="24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Presenter 1: ______</w:t>
            </w:r>
          </w:p>
        </w:tc>
        <w:tc>
          <w:tcPr>
            <w:tcW w:type="dxa" w:w="9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2:15</w:t>
            </w:r>
          </w:p>
        </w:tc>
        <w:tc>
          <w:tcPr>
            <w:tcW w:type="dxa" w:w="2138"/>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Team slides</w:t>
            </w:r>
          </w:p>
        </w:tc>
      </w:tr>
      <w:tr>
        <w:tc>
          <w:tcPr>
            <w:tcW w:type="dxa" w:w="5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2</w:t>
            </w:r>
          </w:p>
        </w:tc>
        <w:tc>
          <w:tcPr>
            <w:tcW w:type="dxa" w:w="37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Data collection and cleaning</w:t>
            </w:r>
          </w:p>
        </w:tc>
        <w:tc>
          <w:tcPr>
            <w:tcW w:type="dxa" w:w="24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Presenter 2: ______</w:t>
            </w:r>
          </w:p>
        </w:tc>
        <w:tc>
          <w:tcPr>
            <w:tcW w:type="dxa" w:w="9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2:15</w:t>
            </w:r>
          </w:p>
        </w:tc>
        <w:tc>
          <w:tcPr>
            <w:tcW w:type="dxa" w:w="2138"/>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Team slides</w:t>
            </w:r>
          </w:p>
        </w:tc>
      </w:tr>
      <w:tr>
        <w:tc>
          <w:tcPr>
            <w:tcW w:type="dxa" w:w="5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3</w:t>
            </w:r>
          </w:p>
        </w:tc>
        <w:tc>
          <w:tcPr>
            <w:tcW w:type="dxa" w:w="37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rPr>
                <w:b/>
                <w:bCs/>
              </w:rPr>
              <w:t xml:space="preserve">EDA part 1:</w:t>
            </w:r>
            <w:r>
              <w:t xml:space="preserve"> the data and the collapse of dominance</w:t>
            </w:r>
          </w:p>
        </w:tc>
        <w:tc>
          <w:tcPr>
            <w:tcW w:type="dxa" w:w="24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Presenter 3: ______</w:t>
            </w:r>
          </w:p>
        </w:tc>
        <w:tc>
          <w:tcPr>
            <w:tcW w:type="dxa" w:w="9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2:15</w:t>
            </w:r>
          </w:p>
        </w:tc>
        <w:tc>
          <w:tcPr>
            <w:tcW w:type="dxa" w:w="2138"/>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This deck, slides 1–3</w:t>
            </w:r>
          </w:p>
        </w:tc>
      </w:tr>
      <w:tr>
        <w:tc>
          <w:tcPr>
            <w:tcW w:type="dxa" w:w="5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4</w:t>
            </w:r>
          </w:p>
        </w:tc>
        <w:tc>
          <w:tcPr>
            <w:tcW w:type="dxa" w:w="37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rPr>
                <w:b/>
                <w:bCs/>
              </w:rPr>
              <w:t xml:space="preserve">EDA part 2:</w:t>
            </w:r>
            <w:r>
              <w:t xml:space="preserve"> testing the hypothesis, and the pivot</w:t>
            </w:r>
          </w:p>
        </w:tc>
        <w:tc>
          <w:tcPr>
            <w:tcW w:type="dxa" w:w="24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Presenter 4: ______</w:t>
            </w:r>
          </w:p>
        </w:tc>
        <w:tc>
          <w:tcPr>
            <w:tcW w:type="dxa" w:w="9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2:15</w:t>
            </w:r>
          </w:p>
        </w:tc>
        <w:tc>
          <w:tcPr>
            <w:tcW w:type="dxa" w:w="2138"/>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This deck, slides 4–6</w:t>
            </w:r>
          </w:p>
        </w:tc>
      </w:tr>
      <w:tr>
        <w:tc>
          <w:tcPr>
            <w:tcW w:type="dxa" w:w="5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5</w:t>
            </w:r>
          </w:p>
        </w:tc>
        <w:tc>
          <w:tcPr>
            <w:tcW w:type="dxa" w:w="37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rPr>
                <w:b/>
                <w:bCs/>
              </w:rPr>
              <w:t xml:space="preserve">Machine learning:</w:t>
            </w:r>
            <w:r>
              <w:t xml:space="preserve"> models, testing, 2026 forecast</w:t>
            </w:r>
          </w:p>
        </w:tc>
        <w:tc>
          <w:tcPr>
            <w:tcW w:type="dxa" w:w="24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Presenter 5: ______</w:t>
            </w:r>
          </w:p>
        </w:tc>
        <w:tc>
          <w:tcPr>
            <w:tcW w:type="dxa" w:w="9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2:30</w:t>
            </w:r>
          </w:p>
        </w:tc>
        <w:tc>
          <w:tcPr>
            <w:tcW w:type="dxa" w:w="2138"/>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This deck, slides 7–9</w:t>
            </w:r>
          </w:p>
        </w:tc>
      </w:tr>
      <w:tr>
        <w:tc>
          <w:tcPr>
            <w:tcW w:type="dxa" w:w="5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6</w:t>
            </w:r>
          </w:p>
        </w:tc>
        <w:tc>
          <w:tcPr>
            <w:tcW w:type="dxa" w:w="37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rPr>
                <w:b/>
                <w:bCs/>
              </w:rPr>
              <w:t xml:space="preserve">Dashboard:</w:t>
            </w:r>
            <w:r>
              <w:t xml:space="preserve"> live demonstration</w:t>
            </w:r>
          </w:p>
        </w:tc>
        <w:tc>
          <w:tcPr>
            <w:tcW w:type="dxa" w:w="24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Presenter 6: ______</w:t>
            </w:r>
          </w:p>
        </w:tc>
        <w:tc>
          <w:tcPr>
            <w:tcW w:type="dxa" w:w="9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2:30</w:t>
            </w:r>
          </w:p>
        </w:tc>
        <w:tc>
          <w:tcPr>
            <w:tcW w:type="dxa" w:w="2138"/>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This deck, slides 10–12</w:t>
            </w:r>
          </w:p>
        </w:tc>
      </w:tr>
      <w:tr>
        <w:tc>
          <w:tcPr>
            <w:tcW w:type="dxa" w:w="5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7</w:t>
            </w:r>
          </w:p>
        </w:tc>
        <w:tc>
          <w:tcPr>
            <w:tcW w:type="dxa" w:w="37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Conclusion, limitations and recommendations</w:t>
            </w:r>
          </w:p>
        </w:tc>
        <w:tc>
          <w:tcPr>
            <w:tcW w:type="dxa" w:w="24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Presenter 1 or 2</w:t>
            </w:r>
          </w:p>
        </w:tc>
        <w:tc>
          <w:tcPr>
            <w:tcW w:type="dxa" w:w="9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1:00</w:t>
            </w:r>
          </w:p>
        </w:tc>
        <w:tc>
          <w:tcPr>
            <w:tcW w:type="dxa" w:w="2138"/>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Team slides</w:t>
            </w:r>
          </w:p>
        </w:tc>
      </w:tr>
      <w:tr>
        <w:tc>
          <w:tcPr>
            <w:tcW w:type="dxa" w:w="5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p>
        </w:tc>
        <w:tc>
          <w:tcPr>
            <w:tcW w:type="dxa" w:w="37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rPr>
                <w:b/>
                <w:bCs/>
              </w:rPr>
              <w:t xml:space="preserve">Total</w:t>
            </w:r>
          </w:p>
        </w:tc>
        <w:tc>
          <w:tcPr>
            <w:tcW w:type="dxa" w:w="24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p>
        </w:tc>
        <w:tc>
          <w:tcPr>
            <w:tcW w:type="dxa" w:w="9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rPr>
                <w:b/>
                <w:bCs/>
              </w:rPr>
              <w:t xml:space="preserve">15:00</w:t>
            </w:r>
          </w:p>
        </w:tc>
        <w:tc>
          <w:tcPr>
            <w:tcW w:type="dxa" w:w="2138"/>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p>
        </w:tc>
      </w:tr>
    </w:tbl>
    <w:p>
      <w:pPr>
        <w:spacing w:after="120"/>
      </w:pPr>
    </w:p>
    <w:p>
      <w:pPr>
        <w:spacing w:after="140" w:line="300"/>
      </w:pPr>
      <w:r>
        <w:t xml:space="preserve">The four sections in this script (EDA, machine learning and dashboard) take </w:t>
      </w:r>
      <w:r>
        <w:rPr>
          <w:b/>
          <w:bCs/>
        </w:rPr>
        <w:t xml:space="preserve">9 minutes 30 seconds</w:t>
      </w:r>
      <w:r>
        <w:t xml:space="preserve"> together. Each script is written at a relaxed speaking pace of about 130 words per minute, so it fits the time if read naturally, without rushing.</w:t>
      </w:r>
    </w:p>
    <w:p>
      <w:pPr>
        <w:pStyle w:val="Heading2"/>
      </w:pPr>
      <w:r>
        <w:t xml:space="preserve">What the other sections should cover (to avoid repeating each other)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4300"/>
        <w:gridCol w:w="2738"/>
      </w:tblGrid>
      <w:tr>
        <w:trPr>
          <w:tblHeader/>
        </w:trPr>
        <w:tc>
          <w:tcPr>
            <w:tcW w:type="dxa" w:w="2600"/>
            <w:tcBorders>
              <w:top w:val="single" w:color="D3DCE0" w:sz="4"/>
              <w:left w:val="single" w:color="D3DCE0" w:sz="4"/>
              <w:bottom w:val="single" w:color="D3DCE0" w:sz="4"/>
              <w:right w:val="single" w:color="D3DCE0" w:sz="4"/>
            </w:tcBorders>
            <w:shd w:fill="0E1A22" w:color="auto" w:val="clear"/>
            <w:tcMar>
              <w:top w:type="dxa" w:w="80"/>
              <w:left w:type="dxa" w:w="110"/>
              <w:bottom w:type="dxa" w:w="80"/>
              <w:right w:type="dxa" w:w="110"/>
            </w:tcMar>
          </w:tcPr>
          <w:p>
            <w:pPr>
              <w:spacing w:after="0" w:line="270"/>
            </w:pPr>
            <w:r>
              <w:rPr>
                <w:b/>
                <w:bCs/>
                <w:color w:val="FFFFFF"/>
              </w:rPr>
              <w:t xml:space="preserve">Section</w:t>
            </w:r>
          </w:p>
        </w:tc>
        <w:tc>
          <w:tcPr>
            <w:tcW w:type="dxa" w:w="4300"/>
            <w:tcBorders>
              <w:top w:val="single" w:color="D3DCE0" w:sz="4"/>
              <w:left w:val="single" w:color="D3DCE0" w:sz="4"/>
              <w:bottom w:val="single" w:color="D3DCE0" w:sz="4"/>
              <w:right w:val="single" w:color="D3DCE0" w:sz="4"/>
            </w:tcBorders>
            <w:shd w:fill="0E1A22" w:color="auto" w:val="clear"/>
            <w:tcMar>
              <w:top w:type="dxa" w:w="80"/>
              <w:left w:type="dxa" w:w="110"/>
              <w:bottom w:type="dxa" w:w="80"/>
              <w:right w:type="dxa" w:w="110"/>
            </w:tcMar>
          </w:tcPr>
          <w:p>
            <w:pPr>
              <w:spacing w:after="0" w:line="270"/>
            </w:pPr>
            <w:r>
              <w:rPr>
                <w:b/>
                <w:bCs/>
                <w:color w:val="FFFFFF"/>
              </w:rPr>
              <w:t xml:space="preserve">Cover</w:t>
            </w:r>
          </w:p>
        </w:tc>
        <w:tc>
          <w:tcPr>
            <w:tcW w:type="dxa" w:w="2738"/>
            <w:tcBorders>
              <w:top w:val="single" w:color="D3DCE0" w:sz="4"/>
              <w:left w:val="single" w:color="D3DCE0" w:sz="4"/>
              <w:bottom w:val="single" w:color="D3DCE0" w:sz="4"/>
              <w:right w:val="single" w:color="D3DCE0" w:sz="4"/>
            </w:tcBorders>
            <w:shd w:fill="0E1A22" w:color="auto" w:val="clear"/>
            <w:tcMar>
              <w:top w:type="dxa" w:w="80"/>
              <w:left w:type="dxa" w:w="110"/>
              <w:bottom w:type="dxa" w:w="80"/>
              <w:right w:type="dxa" w:w="110"/>
            </w:tcMar>
          </w:tcPr>
          <w:p>
            <w:pPr>
              <w:spacing w:after="0" w:line="270"/>
            </w:pPr>
            <w:r>
              <w:rPr>
                <w:b/>
                <w:bCs/>
                <w:color w:val="FFFFFF"/>
              </w:rPr>
              <w:t xml:space="preserve">Leave for later sections</w:t>
            </w:r>
          </w:p>
        </w:tc>
      </w:tr>
      <w:tr>
        <w:tc>
          <w:tcPr>
            <w:tcW w:type="dxa" w:w="26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Introduction and problem statement</w:t>
            </w:r>
          </w:p>
        </w:tc>
        <w:tc>
          <w:tcPr>
            <w:tcW w:type="dxa" w:w="43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Team, the 2026 elections, what a hung council is, why it matters and to whom, the research question</w:t>
            </w:r>
          </w:p>
        </w:tc>
        <w:tc>
          <w:tcPr>
            <w:tcW w:type="dxa" w:w="2738"/>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Detailed numbers and results</w:t>
            </w:r>
          </w:p>
        </w:tc>
      </w:tr>
      <w:tr>
        <w:tc>
          <w:tcPr>
            <w:tcW w:type="dxa" w:w="26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Data collection and cleaning</w:t>
            </w:r>
          </w:p>
        </w:tc>
        <w:tc>
          <w:tcPr>
            <w:tcW w:type="dxa" w:w="43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IEC sources for 2000–2021, how files were collected and cleaned, the cleaning log, linking municipalities</w:t>
            </w:r>
          </w:p>
        </w:tc>
        <w:tc>
          <w:tcPr>
            <w:tcW w:type="dxa" w:w="2738"/>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The collapse of dominance and hypothesis results (EDA covers these)</w:t>
            </w:r>
          </w:p>
        </w:tc>
      </w:tr>
      <w:tr>
        <w:tc>
          <w:tcPr>
            <w:tcW w:type="dxa" w:w="26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Conclusion</w:t>
            </w:r>
          </w:p>
        </w:tc>
        <w:tc>
          <w:tcPr>
            <w:tcW w:type="dxa" w:w="43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Three key findings, recommendations for voters, journalists, parties and the IEC, limitations, future work (for example IEC seat data and polling)</w:t>
            </w:r>
          </w:p>
        </w:tc>
        <w:tc>
          <w:tcPr>
            <w:tcW w:type="dxa" w:w="2738"/>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Re-explaining the model or dashboard</w:t>
            </w:r>
          </w:p>
        </w:tc>
      </w:tr>
    </w:tbl>
    <w:p>
      <w:pPr>
        <w:pStyle w:val="Heading1"/>
        <w:pageBreakBefore/>
      </w:pPr>
      <w:r>
        <w:t xml:space="preserve">2. EDA part 1: the data and the collapse of dominance</w:t>
      </w:r>
    </w:p>
    <w:p>
      <w:pPr>
        <w:spacing w:after="140" w:line="300"/>
      </w:pPr>
      <w:r>
        <w:rPr>
          <w:b/>
          <w:bCs/>
        </w:rPr>
        <w:t xml:space="preserve">Presenter 3  |  2 minutes 15 seconds  |  Slides 1–3</w:t>
      </w:r>
    </w:p>
    <w:p>
      <w:pPr>
        <w:pStyle w:val="Heading3"/>
      </w:pPr>
      <w:r>
        <w:t xml:space="preserve">Slide 1: Hung Council Watch (cover)</w:t>
      </w:r>
      <w:r>
        <w:rPr>
          <w:b w:val="false"/>
          <w:bCs w:val="false"/>
          <w:color w:val="52707C"/>
        </w:rPr>
        <w:t xml:space="preserve">   about 15 seconds</w:t>
      </w:r>
    </w:p>
    <w:p>
      <w:pPr>
        <w:pBdr>
          <w:left w:val="single" w:color="D3DCE0" w:sz="12" w:space="10"/>
        </w:pBdr>
        <w:spacing w:after="120" w:line="320"/>
        <w:ind w:left="280"/>
      </w:pPr>
      <w:r>
        <w:t xml:space="preserve">Thanks, [Presenter 2]. I'm [name], and I'll take you through the first half of our exploratory data analysis, which looks at how competition in our municipalities has changed since 2000.</w:t>
      </w:r>
    </w:p>
    <w:p>
      <w:pPr>
        <w:pStyle w:val="Heading3"/>
      </w:pPr>
      <w:r>
        <w:t xml:space="preserve">Slide 2: Five elections, one linked dataset</w:t>
      </w:r>
      <w:r>
        <w:rPr>
          <w:b w:val="false"/>
          <w:bCs w:val="false"/>
          <w:color w:val="52707C"/>
        </w:rPr>
        <w:t xml:space="preserve">   about 60 seconds</w:t>
      </w:r>
    </w:p>
    <w:p>
      <w:pPr>
        <w:pBdr>
          <w:left w:val="single" w:color="D3DCE0" w:sz="12" w:space="10"/>
        </w:pBdr>
        <w:spacing w:after="120" w:line="320"/>
        <w:ind w:left="280"/>
      </w:pPr>
      <w:r>
        <w:t xml:space="preserve">We started with the IEC results for all five local elections since 2000. Municipal boundaries and codes changed in 2006, 2011 and 2016, so we linked the records by name and code. That lets us follow 263 councils over 21 years, and covers all 213 municipalities that exist today.</w:t>
      </w:r>
    </w:p>
    <w:p>
      <w:pPr>
        <w:pBdr>
          <w:left w:val="single" w:color="D3DCE0" w:sz="12" w:space="10"/>
        </w:pBdr>
        <w:spacing w:after="120" w:line="320"/>
        <w:ind w:left="280"/>
      </w:pPr>
      <w:r>
        <w:t xml:space="preserve">For every municipality and election, we measured four things from the PR, or party, ballot: the leading party's share of the vote, where anything above 50% is a majority; the winning margin; turnout; and fragmentation.</w:t>
      </w:r>
    </w:p>
    <w:p>
      <w:pPr>
        <w:pBdr>
          <w:left w:val="single" w:color="D3DCE0" w:sz="12" w:space="10"/>
        </w:pBdr>
        <w:spacing w:after="120" w:line="320"/>
        <w:ind w:left="280"/>
      </w:pPr>
      <w:r>
        <w:t xml:space="preserve">For fragmentation we used the Effective Number of Parties. Simply counting parties is misleading: twenty parties on the ballot means little if one of them wins 90%. This measure weights parties by size, so one dominant party scores about 1.2, two equal parties score 2, and three equal parties score 3.</w:t>
      </w:r>
    </w:p>
    <w:p>
      <w:pPr>
        <w:pBdr>
          <w:left w:val="single" w:color="D3DCE0" w:sz="12" w:space="10"/>
        </w:pBdr>
        <w:spacing w:after="120" w:line="320"/>
        <w:ind w:left="280"/>
      </w:pPr>
      <w:r>
        <w:t xml:space="preserve">Two cleaning steps changed our results: we restored 22 Western Cape municipalities lost to Excel's row limit, and we proved that the 2016 turnout column counted only the leading party's votes, not everyone's.</w:t>
      </w:r>
    </w:p>
    <w:p>
      <w:pPr>
        <w:pStyle w:val="Heading3"/>
      </w:pPr>
      <w:r>
        <w:t xml:space="preserve">Slide 3: One-party dominance has collapsed</w:t>
      </w:r>
      <w:r>
        <w:rPr>
          <w:b w:val="false"/>
          <w:bCs w:val="false"/>
          <w:color w:val="52707C"/>
        </w:rPr>
        <w:t xml:space="preserve">   about 60 seconds</w:t>
      </w:r>
    </w:p>
    <w:p>
      <w:pPr>
        <w:pBdr>
          <w:left w:val="single" w:color="D3DCE0" w:sz="12" w:space="10"/>
        </w:pBdr>
        <w:spacing w:after="120" w:line="320"/>
        <w:ind w:left="280"/>
      </w:pPr>
      <w:r>
        <w:t xml:space="preserve">Our first clear finding is how much local politics has changed. In 2000, 70% of municipalities were dominated by one party. By 2021, only 16% were. Over the same period, highly fragmented councils went from 1% to 31%.</w:t>
      </w:r>
    </w:p>
    <w:p>
      <w:pPr>
        <w:spacing w:after="160"/>
        <w:ind w:left="280"/>
      </w:pPr>
      <w:r>
        <w:rPr>
          <w:b/>
          <w:bCs/>
          <w:color w:val="9A6A12"/>
          <w:sz w:val="20"/>
          <w:szCs w:val="20"/>
        </w:rPr>
        <w:t xml:space="preserve">On screen: </w:t>
      </w:r>
      <w:r>
        <w:rPr>
          <w:color w:val="52707C"/>
          <w:sz w:val="20"/>
          <w:szCs w:val="20"/>
        </w:rPr>
        <w:t xml:space="preserve">point to the rising orange boxes (fragmentation) and the shrinking one-party bars.</w:t>
      </w:r>
    </w:p>
    <w:p>
      <w:pPr>
        <w:pBdr>
          <w:left w:val="single" w:color="D3DCE0" w:sz="12" w:space="10"/>
        </w:pBdr>
        <w:spacing w:after="120" w:line="320"/>
        <w:ind w:left="280"/>
      </w:pPr>
      <w:r>
        <w:t xml:space="preserve">And here is the consequence. Hung councils, where no party has a majority, went from 27 after the 2016 election to 72 after 2021: more than double in a single election.</w:t>
      </w:r>
    </w:p>
    <w:p>
      <w:pPr>
        <w:pBdr>
          <w:left w:val="single" w:color="D3DCE0" w:sz="12" w:space="10"/>
        </w:pBdr>
        <w:spacing w:after="120" w:line="320"/>
        <w:ind w:left="280"/>
      </w:pPr>
      <w:r>
        <w:t xml:space="preserve">[Presenter 4] will now show what this meant for our original hypothesis.</w:t>
      </w:r>
    </w:p>
    <w:p>
      <w:pPr>
        <w:pStyle w:val="Heading1"/>
        <w:pageBreakBefore/>
      </w:pPr>
      <w:r>
        <w:t xml:space="preserve">3. EDA part 2: testing the hypothesis, and the pivot</w:t>
      </w:r>
    </w:p>
    <w:p>
      <w:pPr>
        <w:spacing w:after="140" w:line="300"/>
      </w:pPr>
      <w:r>
        <w:rPr>
          <w:b/>
          <w:bCs/>
        </w:rPr>
        <w:t xml:space="preserve">Presenter 4  |  2 minutes 15 seconds  |  Slides 4–6</w:t>
      </w:r>
    </w:p>
    <w:p>
      <w:pPr>
        <w:pStyle w:val="Heading3"/>
      </w:pPr>
      <w:r>
        <w:t xml:space="preserve">Slide 4: Our first hypothesis: does turnout follow an inverted U?</w:t>
      </w:r>
      <w:r>
        <w:rPr>
          <w:b w:val="false"/>
          <w:bCs w:val="false"/>
          <w:color w:val="52707C"/>
        </w:rPr>
        <w:t xml:space="preserve">   about 55 seconds</w:t>
      </w:r>
    </w:p>
    <w:p>
      <w:pPr>
        <w:pBdr>
          <w:left w:val="single" w:color="D3DCE0" w:sz="12" w:space="10"/>
        </w:pBdr>
        <w:spacing w:after="120" w:line="320"/>
        <w:ind w:left="280"/>
      </w:pPr>
      <w:r>
        <w:t xml:space="preserve">Thanks, [Presenter 3]. Our original hypothesis was about turnout. We expected an inverted U: low turnout in one-party towns where the result feels decided, the highest turnout in competitive battlegrounds, and low turnout again in fragmented councils where coalitions wear voters down.</w:t>
      </w:r>
    </w:p>
    <w:p>
      <w:pPr>
        <w:pBdr>
          <w:left w:val="single" w:color="D3DCE0" w:sz="12" w:space="10"/>
        </w:pBdr>
        <w:spacing w:after="120" w:line="320"/>
        <w:ind w:left="280"/>
      </w:pPr>
      <w:r>
        <w:t xml:space="preserve">We tested this with the Lind–Mehlum test, which checks that a curve genuinely rises and then falls within the data, instead of just looking curved. As the table shows, it was not supported in any election.</w:t>
      </w:r>
    </w:p>
    <w:p>
      <w:pPr>
        <w:pBdr>
          <w:left w:val="single" w:color="D3DCE0" w:sz="12" w:space="10"/>
        </w:pBdr>
        <w:spacing w:after="120" w:line="320"/>
        <w:ind w:left="280"/>
      </w:pPr>
      <w:r>
        <w:t xml:space="preserve">An early version of our analysis did find the curve in 2021, but it disappeared once the missing Western Cape municipalities were restored. That taught us how incomplete data can create a pattern that isn't real.</w:t>
      </w:r>
    </w:p>
    <w:p>
      <w:pPr>
        <w:pStyle w:val="Heading3"/>
      </w:pPr>
      <w:r>
        <w:t xml:space="preserve">Slide 5: Following the same municipality over time</w:t>
      </w:r>
      <w:r>
        <w:rPr>
          <w:b w:val="false"/>
          <w:bCs w:val="false"/>
          <w:color w:val="52707C"/>
        </w:rPr>
        <w:t xml:space="preserve">   about 45 seconds</w:t>
      </w:r>
    </w:p>
    <w:p>
      <w:pPr>
        <w:pBdr>
          <w:left w:val="single" w:color="D3DCE0" w:sz="12" w:space="10"/>
        </w:pBdr>
        <w:spacing w:after="120" w:line="320"/>
        <w:ind w:left="280"/>
      </w:pPr>
      <w:r>
        <w:t xml:space="preserve">Comparing different municipalities can mislead, so we also ran the strongest test: following the same municipality over time, after removing each council's usual turnout level and each election's national swing.</w:t>
      </w:r>
    </w:p>
    <w:p>
      <w:pPr>
        <w:pBdr>
          <w:left w:val="single" w:color="D3DCE0" w:sz="12" w:space="10"/>
        </w:pBdr>
        <w:spacing w:after="120" w:line="320"/>
        <w:ind w:left="280"/>
      </w:pPr>
      <w:r>
        <w:t xml:space="preserve">If our hypothesis were true, these points would form an arch. Instead they are flat. Fragmentation explains less than 1% of a municipality's changes in turnout. Between 2011 and 2021, turnout fell by a median of 10.8 points almost everywhere, whether a council became more fragmented or not. Turnout follows the national mood and regional differences, not competition.</w:t>
      </w:r>
    </w:p>
    <w:p>
      <w:pPr>
        <w:pStyle w:val="Heading3"/>
      </w:pPr>
      <w:r>
        <w:t xml:space="preserve">Slide 6: What the EDA told us, and where it led</w:t>
      </w:r>
      <w:r>
        <w:rPr>
          <w:b w:val="false"/>
          <w:bCs w:val="false"/>
          <w:color w:val="52707C"/>
        </w:rPr>
        <w:t xml:space="preserve">   about 35 seconds</w:t>
      </w:r>
    </w:p>
    <w:p>
      <w:pPr>
        <w:pBdr>
          <w:left w:val="single" w:color="D3DCE0" w:sz="12" w:space="10"/>
        </w:pBdr>
        <w:spacing w:after="120" w:line="320"/>
        <w:ind w:left="280"/>
      </w:pPr>
      <w:r>
        <w:t xml:space="preserve">So the EDA did three things. We tested our first idea, it was rejected, and the data showed something much stronger: the collapse of one-party dominance. That led us to the question that matters for November 2026: which councils are likely to be hung, and where coalition government will be needed.</w:t>
      </w:r>
    </w:p>
    <w:p>
      <w:pPr>
        <w:pBdr>
          <w:left w:val="single" w:color="D3DCE0" w:sz="12" w:space="10"/>
        </w:pBdr>
        <w:spacing w:after="120" w:line="320"/>
        <w:ind w:left="280"/>
      </w:pPr>
      <w:r>
        <w:t xml:space="preserve">[Presenter 5] will now show how we built a model to answer it.</w:t>
      </w:r>
    </w:p>
    <w:p>
      <w:pPr>
        <w:pStyle w:val="Heading1"/>
        <w:pageBreakBefore/>
      </w:pPr>
      <w:r>
        <w:t xml:space="preserve">4. Machine learning</w:t>
      </w:r>
    </w:p>
    <w:p>
      <w:pPr>
        <w:spacing w:after="140" w:line="300"/>
      </w:pPr>
      <w:r>
        <w:rPr>
          <w:b/>
          <w:bCs/>
        </w:rPr>
        <w:t xml:space="preserve">Presenter 5  |  2 minutes 30 seconds  |  Slides 7–9</w:t>
      </w:r>
    </w:p>
    <w:p>
      <w:pPr>
        <w:pStyle w:val="Heading3"/>
      </w:pPr>
      <w:r>
        <w:t xml:space="preserve">Slide 7: Two models, two different jobs</w:t>
      </w:r>
      <w:r>
        <w:rPr>
          <w:b w:val="false"/>
          <w:bCs w:val="false"/>
          <w:color w:val="52707C"/>
        </w:rPr>
        <w:t xml:space="preserve">   about 50 seconds</w:t>
      </w:r>
    </w:p>
    <w:p>
      <w:pPr>
        <w:pBdr>
          <w:left w:val="single" w:color="D3DCE0" w:sz="12" w:space="10"/>
        </w:pBdr>
        <w:spacing w:after="120" w:line="320"/>
        <w:ind w:left="280"/>
      </w:pPr>
      <w:r>
        <w:t xml:space="preserve">Thanks, [Presenter 4]. Our machine learning uses two techniques, each with a different job. An early prototype used KMeans to create labels, then trained XGBoost to predict those same labels from the same data. It scored 99%, but that was target leakage: the answer was already built into the inputs. So we separated the jobs.</w:t>
      </w:r>
    </w:p>
    <w:p>
      <w:pPr>
        <w:pBdr>
          <w:left w:val="single" w:color="D3DCE0" w:sz="12" w:space="10"/>
        </w:pBdr>
        <w:spacing w:after="120" w:line="320"/>
        <w:ind w:left="280"/>
      </w:pPr>
      <w:r>
        <w:t xml:space="preserve">KMeans describes. It groups municipalities into Dominant, Competitive and Fragmented using vote shares only, and the groups were identical across 20 random starts. The Fragmented group sits right on the 51% line, and it grew from a quarter of councils in 2000 to 62% in 2021. A separate supervised model then forecasts whether each council will be hung at the next election.</w:t>
      </w:r>
    </w:p>
    <w:p>
      <w:pPr>
        <w:pStyle w:val="Heading3"/>
      </w:pPr>
      <w:r>
        <w:t xml:space="preserve">Slide 8: Tested like an exam: 2021 was hidden until the end</w:t>
      </w:r>
      <w:r>
        <w:rPr>
          <w:b w:val="false"/>
          <w:bCs w:val="false"/>
          <w:color w:val="52707C"/>
        </w:rPr>
        <w:t xml:space="preserve">   about 60 seconds</w:t>
      </w:r>
    </w:p>
    <w:p>
      <w:pPr>
        <w:pBdr>
          <w:left w:val="single" w:color="D3DCE0" w:sz="12" w:space="10"/>
        </w:pBdr>
        <w:spacing w:after="120" w:line="320"/>
        <w:ind w:left="280"/>
      </w:pPr>
      <w:r>
        <w:t xml:space="preserve">Each training example pairs a municipality at one election with whether it was hung at the next. We learned from 2000 to 2016 and hid 2021 completely, like an exam.</w:t>
      </w:r>
    </w:p>
    <w:p>
      <w:pPr>
        <w:pBdr>
          <w:left w:val="single" w:color="D3DCE0" w:sz="12" w:space="10"/>
        </w:pBdr>
        <w:spacing w:after="120" w:line="320"/>
        <w:ind w:left="280"/>
      </w:pPr>
      <w:r>
        <w:t xml:space="preserve">We compared four approaches. To choose between them, we validated in time order, only ever learning from earlier elections, because standard cross-validation lets a model learn from the future. XGBoost looked best in grouped cross-validation, but in time order its patterns did not carry over between elections. The simple logistic regression, using the leading party's vote share, held up every time, so we chose it before looking at the test.</w:t>
      </w:r>
    </w:p>
    <w:p>
      <w:pPr>
        <w:pBdr>
          <w:left w:val="single" w:color="D3DCE0" w:sz="12" w:space="10"/>
        </w:pBdr>
        <w:spacing w:after="120" w:line="320"/>
        <w:ind w:left="280"/>
      </w:pPr>
      <w:r>
        <w:t xml:space="preserve">On the hidden 2021 election, it scored an ROC-AUC of 0.88 and flagged 62 of the 72 councils that became hung.</w:t>
      </w:r>
    </w:p>
    <w:p>
      <w:pPr>
        <w:pStyle w:val="Heading3"/>
      </w:pPr>
      <w:r>
        <w:t xml:space="preserve">Slide 9: The 2026 forecast</w:t>
      </w:r>
      <w:r>
        <w:rPr>
          <w:b w:val="false"/>
          <w:bCs w:val="false"/>
          <w:color w:val="52707C"/>
        </w:rPr>
        <w:t xml:space="preserve">   about 40 seconds</w:t>
      </w:r>
    </w:p>
    <w:p>
      <w:pPr>
        <w:pBdr>
          <w:left w:val="single" w:color="D3DCE0" w:sz="12" w:space="10"/>
        </w:pBdr>
        <w:spacing w:after="120" w:line="320"/>
        <w:ind w:left="280"/>
      </w:pPr>
      <w:r>
        <w:t xml:space="preserve">We then retrained on every election and forecast 2026 from each council's 2021 result. The model expects about 77 hung councils, with 61 at high risk. If leading parties lose another 6 points, as they did between 2016 and 2021, that rises to about 100. Gauteng, the Western Cape, the Northern Cape and KwaZulu-Natal carry the highest average risk.</w:t>
      </w:r>
    </w:p>
    <w:p>
      <w:pPr>
        <w:pBdr>
          <w:left w:val="single" w:color="D3DCE0" w:sz="12" w:space="10"/>
        </w:pBdr>
        <w:spacing w:after="120" w:line="320"/>
        <w:ind w:left="280"/>
      </w:pPr>
      <w:r>
        <w:t xml:space="preserve">[Presenter 6] will now show how anyone can explore this.</w:t>
      </w:r>
    </w:p>
    <w:p>
      <w:pPr>
        <w:pStyle w:val="Heading1"/>
        <w:pageBreakBefore/>
      </w:pPr>
      <w:r>
        <w:t xml:space="preserve">5. Dashboard: live demonstration</w:t>
      </w:r>
    </w:p>
    <w:p>
      <w:pPr>
        <w:spacing w:after="140" w:line="300"/>
      </w:pPr>
      <w:r>
        <w:rPr>
          <w:b/>
          <w:bCs/>
        </w:rPr>
        <w:t xml:space="preserve">Presenter 6  |  2 minutes 30 seconds  |  Slides 10–12, with a live screen share</w:t>
      </w:r>
    </w:p>
    <w:p>
      <w:pPr>
        <w:pBdr>
          <w:left w:val="single" w:color="9A6A12" w:sz="24" w:space="8"/>
        </w:pBdr>
        <w:shd w:fill="F3F6F7" w:color="auto" w:val="clear"/>
        <w:spacing w:after="0" w:before="120"/>
        <w:ind w:left="200" w:right="200"/>
      </w:pPr>
      <w:r>
        <w:rPr>
          <w:b/>
          <w:bCs/>
          <w:color w:val="9A6A12"/>
        </w:rPr>
        <w:t xml:space="preserve">Before recording</w:t>
      </w:r>
    </w:p>
    <w:p>
      <w:pPr>
        <w:pBdr>
          <w:left w:val="single" w:color="9A6A12" w:sz="24" w:space="8"/>
        </w:pBdr>
        <w:shd w:fill="F3F6F7" w:color="auto" w:val="clear"/>
        <w:spacing w:after="0" w:before="60" w:line="290"/>
        <w:ind w:left="200" w:right="200"/>
      </w:pPr>
      <w:r>
        <w:t xml:space="preserve">Open https://eduvos-hung-councils.netlify.app in a second browser tab, press </w:t>
      </w:r>
      <w:r>
        <w:rPr>
          <w:b/>
          <w:bCs/>
        </w:rPr>
        <w:t xml:space="preserve">No change</w:t>
      </w:r>
      <w:r>
        <w:t xml:space="preserve"> and </w:t>
      </w:r>
      <w:r>
        <w:rPr>
          <w:b/>
          <w:bCs/>
        </w:rPr>
        <w:t xml:space="preserve">Reset</w:t>
      </w:r>
      <w:r>
        <w:t xml:space="preserve"> so it starts from the baseline, and close other tabs and notifications.</w:t>
      </w:r>
    </w:p>
    <w:p>
      <w:pPr>
        <w:pBdr>
          <w:left w:val="single" w:color="9A6A12" w:sz="24" w:space="8"/>
        </w:pBdr>
        <w:shd w:fill="F3F6F7" w:color="auto" w:val="clear"/>
        <w:spacing w:after="200" w:before="60" w:line="290"/>
        <w:ind w:left="200" w:right="200"/>
      </w:pPr>
      <w:r>
        <w:t xml:space="preserve">If the live demo cannot be recorded, present the screenshots on slides 10 and 11 instead; the script works either way.</w:t>
      </w:r>
    </w:p>
    <w:p>
      <w:pPr>
        <w:pStyle w:val="Heading3"/>
      </w:pPr>
      <w:r>
        <w:t xml:space="preserve">Slide 10: Hung Council Watch, live for anyone to use</w:t>
      </w:r>
      <w:r>
        <w:rPr>
          <w:b w:val="false"/>
          <w:bCs w:val="false"/>
          <w:color w:val="52707C"/>
        </w:rPr>
        <w:t xml:space="preserve">   about 45 seconds</w:t>
      </w:r>
    </w:p>
    <w:p>
      <w:pPr>
        <w:pBdr>
          <w:left w:val="single" w:color="D3DCE0" w:sz="12" w:space="10"/>
        </w:pBdr>
        <w:spacing w:after="120" w:line="320"/>
        <w:ind w:left="280"/>
      </w:pPr>
      <w:r>
        <w:t xml:space="preserve">Thanks, [Presenter 5]. To make our model usable, we deployed it as a public dashboard called Hung Council Watch.</w:t>
      </w:r>
    </w:p>
    <w:p>
      <w:pPr>
        <w:spacing w:after="160"/>
        <w:ind w:left="280"/>
      </w:pPr>
      <w:r>
        <w:rPr>
          <w:b/>
          <w:bCs/>
          <w:color w:val="9A6A12"/>
          <w:sz w:val="20"/>
          <w:szCs w:val="20"/>
        </w:rPr>
        <w:t xml:space="preserve">On screen: </w:t>
      </w:r>
      <w:r>
        <w:rPr>
          <w:color w:val="52707C"/>
          <w:sz w:val="20"/>
          <w:szCs w:val="20"/>
        </w:rPr>
        <w:t xml:space="preserve">switch to the live dashboard.</w:t>
      </w:r>
    </w:p>
    <w:p>
      <w:pPr>
        <w:pBdr>
          <w:left w:val="single" w:color="D3DCE0" w:sz="12" w:space="10"/>
        </w:pBdr>
        <w:spacing w:after="120" w:line="320"/>
        <w:ind w:left="280"/>
      </w:pPr>
      <w:r>
        <w:t xml:space="preserve">The forecast tab maps all 213 councils by risk, from blue for low to red for high. The swing slider asks: what if leading parties lose more support? Watch the total when I press Repeat of 2021: it rises from 77 to about 104, and the map turns red. Below, the watch list shows councils that still have a majority but are closest to losing it.</w:t>
      </w:r>
    </w:p>
    <w:p>
      <w:pPr>
        <w:spacing w:after="160"/>
        <w:ind w:left="280"/>
      </w:pPr>
      <w:r>
        <w:rPr>
          <w:b/>
          <w:bCs/>
          <w:color w:val="9A6A12"/>
          <w:sz w:val="20"/>
          <w:szCs w:val="20"/>
        </w:rPr>
        <w:t xml:space="preserve">On screen: </w:t>
      </w:r>
      <w:r>
        <w:rPr>
          <w:color w:val="52707C"/>
          <w:sz w:val="20"/>
          <w:szCs w:val="20"/>
        </w:rPr>
        <w:t xml:space="preserve">press Repeat of 2021, then No change; scroll to the watch list.</w:t>
      </w:r>
    </w:p>
    <w:p>
      <w:pPr>
        <w:pStyle w:val="Heading3"/>
      </w:pPr>
      <w:r>
        <w:t xml:space="preserve">Slide 11: Election-day simulator: test any council</w:t>
      </w:r>
      <w:r>
        <w:rPr>
          <w:b w:val="false"/>
          <w:bCs w:val="false"/>
          <w:color w:val="52707C"/>
        </w:rPr>
        <w:t xml:space="preserve">   about 55 seconds</w:t>
      </w:r>
    </w:p>
    <w:p>
      <w:pPr>
        <w:spacing w:after="160"/>
        <w:ind w:left="280"/>
      </w:pPr>
      <w:r>
        <w:rPr>
          <w:b/>
          <w:bCs/>
          <w:color w:val="9A6A12"/>
          <w:sz w:val="20"/>
          <w:szCs w:val="20"/>
        </w:rPr>
        <w:t xml:space="preserve">On screen: </w:t>
      </w:r>
      <w:r>
        <w:rPr>
          <w:color w:val="52707C"/>
          <w:sz w:val="20"/>
          <w:szCs w:val="20"/>
        </w:rPr>
        <w:t xml:space="preserve">open the Election-day simulator tab and choose Mangaung.</w:t>
      </w:r>
    </w:p>
    <w:p>
      <w:pPr>
        <w:pBdr>
          <w:left w:val="single" w:color="D3DCE0" w:sz="12" w:space="10"/>
        </w:pBdr>
        <w:spacing w:after="120" w:line="320"/>
        <w:ind w:left="280"/>
      </w:pPr>
      <w:r>
        <w:t xml:space="preserve">The election-day simulator lets anyone test a single council. There are two controls: how many points the leading party gains or loses, and how much its supporters turn out compared with other voters. We deliberately left out a plain turnout slider, because our EDA showed turnout doesn't decide the result on its own. What matters is who stays home.</w:t>
      </w:r>
    </w:p>
    <w:p>
      <w:pPr>
        <w:pBdr>
          <w:left w:val="single" w:color="D3DCE0" w:sz="12" w:space="10"/>
        </w:pBdr>
        <w:spacing w:after="120" w:line="320"/>
        <w:ind w:left="280"/>
      </w:pPr>
      <w:r>
        <w:t xml:space="preserve">Take Mangaung. The ANC won 51.5%, so it is a battleground with a 42% risk. On a bad day, losing 3 points with its supporters turning out 10% less, it becomes likely hung at 55%. If that happened everywhere, expected hung councils would rise to 98.</w:t>
      </w:r>
    </w:p>
    <w:p>
      <w:pPr>
        <w:spacing w:after="160"/>
        <w:ind w:left="280"/>
      </w:pPr>
      <w:r>
        <w:rPr>
          <w:b/>
          <w:bCs/>
          <w:color w:val="9A6A12"/>
          <w:sz w:val="20"/>
          <w:szCs w:val="20"/>
        </w:rPr>
        <w:t xml:space="preserve">On screen: </w:t>
      </w:r>
      <w:r>
        <w:rPr>
          <w:color w:val="52707C"/>
          <w:sz w:val="20"/>
          <w:szCs w:val="20"/>
        </w:rPr>
        <w:t xml:space="preserve">press Bad day.</w:t>
      </w:r>
    </w:p>
    <w:p>
      <w:pPr>
        <w:pStyle w:val="Heading3"/>
      </w:pPr>
      <w:r>
        <w:t xml:space="preserve">Slide 12: Built to be reliable, honest and easy to use</w:t>
      </w:r>
      <w:r>
        <w:rPr>
          <w:b w:val="false"/>
          <w:bCs w:val="false"/>
          <w:color w:val="52707C"/>
        </w:rPr>
        <w:t xml:space="preserve">   about 35 seconds</w:t>
      </w:r>
    </w:p>
    <w:p>
      <w:pPr>
        <w:spacing w:after="160"/>
        <w:ind w:left="280"/>
      </w:pPr>
      <w:r>
        <w:rPr>
          <w:b/>
          <w:bCs/>
          <w:color w:val="9A6A12"/>
          <w:sz w:val="20"/>
          <w:szCs w:val="20"/>
        </w:rPr>
        <w:t xml:space="preserve">On screen: </w:t>
      </w:r>
      <w:r>
        <w:rPr>
          <w:color w:val="52707C"/>
          <w:sz w:val="20"/>
          <w:szCs w:val="20"/>
        </w:rPr>
        <w:t xml:space="preserve">switch back to the slides.</w:t>
      </w:r>
    </w:p>
    <w:p>
      <w:pPr>
        <w:pBdr>
          <w:left w:val="single" w:color="D3DCE0" w:sz="12" w:space="10"/>
        </w:pBdr>
        <w:spacing w:after="120" w:line="320"/>
        <w:ind w:left="280"/>
      </w:pPr>
      <w:r>
        <w:t xml:space="preserve">A few design choices make it reliable. The trained model runs inside the page, so every slider recalculates instantly with no server to fail. It is one self-contained file, hosted free and working even offline. And every number matches our notebooks. Please try it yourself using the QR code.</w:t>
      </w:r>
    </w:p>
    <w:p>
      <w:pPr>
        <w:pBdr>
          <w:left w:val="single" w:color="D3DCE0" w:sz="12" w:space="10"/>
        </w:pBdr>
        <w:spacing w:after="120" w:line="320"/>
        <w:ind w:left="280"/>
      </w:pPr>
      <w:r>
        <w:t xml:space="preserve">[Presenter 1 or 2] will now close with our conclusions and recommendations.</w:t>
      </w:r>
    </w:p>
    <w:p>
      <w:pPr>
        <w:pStyle w:val="Heading1"/>
        <w:pageBreakBefore/>
      </w:pPr>
      <w:r>
        <w:t xml:space="preserve">6. Recording tips and key numbers</w:t>
      </w:r>
    </w:p>
    <w:p>
      <w:pPr>
        <w:pStyle w:val="Heading2"/>
      </w:pPr>
      <w:r>
        <w:t xml:space="preserve">Recording tips</w:t>
      </w:r>
    </w:p>
    <w:p>
      <w:pPr>
        <w:pStyle w:val="ListParagraph"/>
        <w:numPr>
          <w:ilvl w:val="0"/>
          <w:numId w:val="2"/>
        </w:numPr>
        <w:spacing w:after="80" w:line="290"/>
      </w:pPr>
      <w:r>
        <w:rPr>
          <w:b/>
          <w:bCs/>
        </w:rPr>
        <w:t xml:space="preserve">Rehearse once with a timer.</w:t>
      </w:r>
      <w:r>
        <w:t xml:space="preserve"> If you run over, shorten sentences rather than speaking faster.</w:t>
      </w:r>
    </w:p>
    <w:p>
      <w:pPr>
        <w:pStyle w:val="ListParagraph"/>
        <w:numPr>
          <w:ilvl w:val="0"/>
          <w:numId w:val="2"/>
        </w:numPr>
        <w:spacing w:after="80" w:line="290"/>
      </w:pPr>
      <w:r>
        <w:rPr>
          <w:b/>
          <w:bCs/>
        </w:rPr>
        <w:t xml:space="preserve">Say your name</w:t>
      </w:r>
      <w:r>
        <w:t xml:space="preserve"> when you start your section, so the judges can see that everyone presented.</w:t>
      </w:r>
    </w:p>
    <w:p>
      <w:pPr>
        <w:pStyle w:val="ListParagraph"/>
        <w:numPr>
          <w:ilvl w:val="0"/>
          <w:numId w:val="2"/>
        </w:numPr>
        <w:spacing w:after="80" w:line="290"/>
      </w:pPr>
      <w:r>
        <w:rPr>
          <w:b/>
          <w:bCs/>
        </w:rPr>
        <w:t xml:space="preserve">Hand over by name</w:t>
      </w:r>
      <w:r>
        <w:t xml:space="preserve"> at the end of your section, using the handover line in your script.</w:t>
      </w:r>
    </w:p>
    <w:p>
      <w:pPr>
        <w:pStyle w:val="ListParagraph"/>
        <w:numPr>
          <w:ilvl w:val="0"/>
          <w:numId w:val="2"/>
        </w:numPr>
        <w:spacing w:after="80" w:line="290"/>
      </w:pPr>
      <w:r>
        <w:rPr>
          <w:b/>
          <w:bCs/>
        </w:rPr>
        <w:t xml:space="preserve">Use the same numbers as the slides.</w:t>
      </w:r>
      <w:r>
        <w:t xml:space="preserve"> The table below lists every figure used in these sections.</w:t>
      </w:r>
    </w:p>
    <w:p>
      <w:pPr>
        <w:pStyle w:val="ListParagraph"/>
        <w:numPr>
          <w:ilvl w:val="0"/>
          <w:numId w:val="2"/>
        </w:numPr>
        <w:spacing w:after="80" w:line="290"/>
      </w:pPr>
      <w:r>
        <w:rPr>
          <w:b/>
          <w:bCs/>
        </w:rPr>
        <w:t xml:space="preserve">Record the dashboard demo in one take,</w:t>
      </w:r>
      <w:r>
        <w:t xml:space="preserve"> at full-screen browser size, with notifications turned off.</w:t>
      </w:r>
    </w:p>
    <w:p>
      <w:pPr>
        <w:pStyle w:val="Heading2"/>
      </w:pPr>
      <w:r>
        <w:t xml:space="preserve">Key numbers (everyone should use exactly these)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00"/>
        <w:gridCol w:w="4838"/>
      </w:tblGrid>
      <w:tr>
        <w:trPr>
          <w:tblHeader/>
        </w:trPr>
        <w:tc>
          <w:tcPr>
            <w:tcW w:type="dxa" w:w="4800"/>
            <w:tcBorders>
              <w:top w:val="single" w:color="D3DCE0" w:sz="4"/>
              <w:left w:val="single" w:color="D3DCE0" w:sz="4"/>
              <w:bottom w:val="single" w:color="D3DCE0" w:sz="4"/>
              <w:right w:val="single" w:color="D3DCE0" w:sz="4"/>
            </w:tcBorders>
            <w:shd w:fill="0E1A22" w:color="auto" w:val="clear"/>
            <w:tcMar>
              <w:top w:type="dxa" w:w="80"/>
              <w:left w:type="dxa" w:w="110"/>
              <w:bottom w:type="dxa" w:w="80"/>
              <w:right w:type="dxa" w:w="110"/>
            </w:tcMar>
          </w:tcPr>
          <w:p>
            <w:pPr>
              <w:spacing w:after="0" w:line="270"/>
            </w:pPr>
            <w:r>
              <w:rPr>
                <w:b/>
                <w:bCs/>
                <w:color w:val="FFFFFF"/>
              </w:rPr>
              <w:t xml:space="preserve">Figure</w:t>
            </w:r>
          </w:p>
        </w:tc>
        <w:tc>
          <w:tcPr>
            <w:tcW w:type="dxa" w:w="4838"/>
            <w:tcBorders>
              <w:top w:val="single" w:color="D3DCE0" w:sz="4"/>
              <w:left w:val="single" w:color="D3DCE0" w:sz="4"/>
              <w:bottom w:val="single" w:color="D3DCE0" w:sz="4"/>
              <w:right w:val="single" w:color="D3DCE0" w:sz="4"/>
            </w:tcBorders>
            <w:shd w:fill="0E1A22" w:color="auto" w:val="clear"/>
            <w:tcMar>
              <w:top w:type="dxa" w:w="80"/>
              <w:left w:type="dxa" w:w="110"/>
              <w:bottom w:type="dxa" w:w="80"/>
              <w:right w:type="dxa" w:w="110"/>
            </w:tcMar>
          </w:tcPr>
          <w:p>
            <w:pPr>
              <w:spacing w:after="0" w:line="270"/>
            </w:pPr>
            <w:r>
              <w:rPr>
                <w:b/>
                <w:bCs/>
                <w:color w:val="FFFFFF"/>
              </w:rPr>
              <w:t xml:space="preserve">Value</w:t>
            </w:r>
          </w:p>
        </w:tc>
      </w:tr>
      <w:tr>
        <w:tc>
          <w:tcPr>
            <w:tcW w:type="dxa" w:w="48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Elections covered</w:t>
            </w:r>
          </w:p>
        </w:tc>
        <w:tc>
          <w:tcPr>
            <w:tcW w:type="dxa" w:w="4838"/>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2000, 2006, 2011, 2016, 2021</w:t>
            </w:r>
          </w:p>
        </w:tc>
      </w:tr>
      <w:tr>
        <w:tc>
          <w:tcPr>
            <w:tcW w:type="dxa" w:w="48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Municipalities today / councils linked over time</w:t>
            </w:r>
          </w:p>
        </w:tc>
        <w:tc>
          <w:tcPr>
            <w:tcW w:type="dxa" w:w="4838"/>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213 / 263</w:t>
            </w:r>
          </w:p>
        </w:tc>
      </w:tr>
      <w:tr>
        <w:tc>
          <w:tcPr>
            <w:tcW w:type="dxa" w:w="48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One-party dominant municipalities (fewer than 2 effective parties)</w:t>
            </w:r>
          </w:p>
        </w:tc>
        <w:tc>
          <w:tcPr>
            <w:tcW w:type="dxa" w:w="4838"/>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70% in 2000, 16% in 2021</w:t>
            </w:r>
          </w:p>
        </w:tc>
      </w:tr>
      <w:tr>
        <w:tc>
          <w:tcPr>
            <w:tcW w:type="dxa" w:w="48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Highly fragmented (3 or more effective parties)</w:t>
            </w:r>
          </w:p>
        </w:tc>
        <w:tc>
          <w:tcPr>
            <w:tcW w:type="dxa" w:w="4838"/>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1% in 2000, 31% in 2021</w:t>
            </w:r>
          </w:p>
        </w:tc>
      </w:tr>
      <w:tr>
        <w:tc>
          <w:tcPr>
            <w:tcW w:type="dxa" w:w="48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Hung councils after each election</w:t>
            </w:r>
          </w:p>
        </w:tc>
        <w:tc>
          <w:tcPr>
            <w:tcW w:type="dxa" w:w="4838"/>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23, 30, 33, 27, then 72 in 2021</w:t>
            </w:r>
          </w:p>
        </w:tc>
      </w:tr>
      <w:tr>
        <w:tc>
          <w:tcPr>
            <w:tcW w:type="dxa" w:w="48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Inverted U supported?</w:t>
            </w:r>
          </w:p>
        </w:tc>
        <w:tc>
          <w:tcPr>
            <w:tcW w:type="dxa" w:w="4838"/>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No, in no election (p-values 0.06, 0.96, 0.42, 0.42); within municipalities p = 0.98</w:t>
            </w:r>
          </w:p>
        </w:tc>
      </w:tr>
      <w:tr>
        <w:tc>
          <w:tcPr>
            <w:tcW w:type="dxa" w:w="48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Turnout change 2011 to 2021</w:t>
            </w:r>
          </w:p>
        </w:tc>
        <w:tc>
          <w:tcPr>
            <w:tcW w:type="dxa" w:w="4838"/>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Median drop of 10.8 points</w:t>
            </w:r>
          </w:p>
        </w:tc>
      </w:tr>
      <w:tr>
        <w:tc>
          <w:tcPr>
            <w:tcW w:type="dxa" w:w="48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Fragmented KMeans group</w:t>
            </w:r>
          </w:p>
        </w:tc>
        <w:tc>
          <w:tcPr>
            <w:tcW w:type="dxa" w:w="4838"/>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Centred on a 51% leading-party share; 25% of councils in 2000, 62% in 2021</w:t>
            </w:r>
          </w:p>
        </w:tc>
      </w:tr>
      <w:tr>
        <w:tc>
          <w:tcPr>
            <w:tcW w:type="dxa" w:w="48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Chosen model</w:t>
            </w:r>
          </w:p>
        </w:tc>
        <w:tc>
          <w:tcPr>
            <w:tcW w:type="dxa" w:w="4838"/>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Simple logistic regression on the leading party's vote share</w:t>
            </w:r>
          </w:p>
        </w:tc>
      </w:tr>
      <w:tr>
        <w:tc>
          <w:tcPr>
            <w:tcW w:type="dxa" w:w="48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Test on the hidden 2021 election</w:t>
            </w:r>
          </w:p>
        </w:tc>
        <w:tc>
          <w:tcPr>
            <w:tcW w:type="dxa" w:w="4838"/>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ROC-AUC 0.88; 62 of 72 hung councils flagged (XGBoost 0.79)</w:t>
            </w:r>
          </w:p>
        </w:tc>
      </w:tr>
      <w:tr>
        <w:tc>
          <w:tcPr>
            <w:tcW w:type="dxa" w:w="48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2026 forecast</w:t>
            </w:r>
          </w:p>
        </w:tc>
        <w:tc>
          <w:tcPr>
            <w:tcW w:type="dxa" w:w="4838"/>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About 77 hung councils; 61 high risk, 72 battlegrounds, 80 safe</w:t>
            </w:r>
          </w:p>
        </w:tc>
      </w:tr>
      <w:tr>
        <w:tc>
          <w:tcPr>
            <w:tcW w:type="dxa" w:w="48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With a 6-point swing against leaders / with "Repeat of 2021" (6.8 points)</w:t>
            </w:r>
          </w:p>
        </w:tc>
        <w:tc>
          <w:tcPr>
            <w:tcW w:type="dxa" w:w="4838"/>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About 100 / about 104</w:t>
            </w:r>
          </w:p>
        </w:tc>
      </w:tr>
      <w:tr>
        <w:tc>
          <w:tcPr>
            <w:tcW w:type="dxa" w:w="48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Simulator example: Mangaung</w:t>
            </w:r>
          </w:p>
        </w:tc>
        <w:tc>
          <w:tcPr>
            <w:tcW w:type="dxa" w:w="4838"/>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51.5% → Battleground, 42%; Bad day → Likely hung, 55%; nationally 98</w:t>
            </w:r>
          </w:p>
        </w:tc>
      </w:tr>
      <w:tr>
        <w:tc>
          <w:tcPr>
            <w:tcW w:type="dxa" w:w="4800"/>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Dashboard address</w:t>
            </w:r>
          </w:p>
        </w:tc>
        <w:tc>
          <w:tcPr>
            <w:tcW w:type="dxa" w:w="4838"/>
            <w:tcBorders>
              <w:top w:val="single" w:color="D3DCE0" w:sz="4"/>
              <w:left w:val="single" w:color="D3DCE0" w:sz="4"/>
              <w:bottom w:val="single" w:color="D3DCE0" w:sz="4"/>
              <w:right w:val="single" w:color="D3DCE0" w:sz="4"/>
            </w:tcBorders>
            <w:tcMar>
              <w:top w:type="dxa" w:w="80"/>
              <w:left w:type="dxa" w:w="110"/>
              <w:bottom w:type="dxa" w:w="80"/>
              <w:right w:type="dxa" w:w="110"/>
            </w:tcMar>
          </w:tcPr>
          <w:p>
            <w:pPr>
              <w:spacing w:after="0" w:line="270"/>
            </w:pPr>
            <w:r>
              <w:t xml:space="preserve">https://eduvos-hung-councils.netlify.app</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2707C"/>
        <w:sz w:val="18"/>
        <w:szCs w:val="18"/>
      </w:rPr>
      <w:t xml:space="preserve">Presentation script  |  Team Eduvos  |  Page </w:t>
    </w:r>
    <w:r>
      <w:rPr>
        <w:color w:val="52707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E1A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0"/>
      <w:outlineLvl w:val="0"/>
    </w:pPr>
    <w:rPr>
      <w:rFonts w:ascii="Calibri" w:cs="Calibri" w:eastAsia="Calibri" w:hAnsi="Calibri"/>
      <w:b/>
      <w:bCs/>
      <w:color w:val="0E1A22"/>
      <w:sz w:val="36"/>
      <w:szCs w:val="36"/>
    </w:rPr>
  </w:style>
  <w:style w:type="paragraph" w:styleId="Heading2">
    <w:name w:val="Heading 2"/>
    <w:basedOn w:val="Normal"/>
    <w:next w:val="Normal"/>
    <w:qFormat/>
    <w:pPr>
      <w:keepNext/>
      <w:spacing w:after="120" w:before="300"/>
      <w:outlineLvl w:val="1"/>
    </w:pPr>
    <w:rPr>
      <w:rFonts w:ascii="Calibri" w:cs="Calibri" w:eastAsia="Calibri" w:hAnsi="Calibri"/>
      <w:b/>
      <w:bCs/>
      <w:color w:val="9A6A12"/>
      <w:sz w:val="27"/>
      <w:szCs w:val="27"/>
    </w:rPr>
  </w:style>
  <w:style w:type="paragraph" w:styleId="Heading3">
    <w:name w:val="Heading 3"/>
    <w:basedOn w:val="Normal"/>
    <w:next w:val="Normal"/>
    <w:qFormat/>
    <w:pPr>
      <w:keepNext/>
      <w:spacing w:after="80" w:before="200"/>
      <w:outlineLvl w:val="2"/>
    </w:pPr>
    <w:rPr>
      <w:rFonts w:ascii="Calibri" w:cs="Calibri" w:eastAsia="Calibri" w:hAnsi="Calibri"/>
      <w:b/>
      <w:bCs/>
      <w:color w:val="0E1A2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cmpy_m0mr9qtb8wsj1t-v" Type="http://schemas.openxmlformats.org/officeDocument/2006/relationships/hyperlink" Target="https://eduvos-hung-councils.netlify.app"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Hung Council Watch: presentation plan and speaker script</dc:title>
  <dc:creator>Team Eduvos</dc:creator>
  <cp:lastModifiedBy>Un-named</cp:lastModifiedBy>
  <cp:revision>1</cp:revision>
  <dcterms:created xsi:type="dcterms:W3CDTF">2026-09-25T19:48:45.335Z</dcterms:created>
  <dcterms:modified xsi:type="dcterms:W3CDTF">2026-09-25T19:48:45.335Z</dcterms:modified>
</cp:coreProperties>
</file>

<file path=docProps/custom.xml><?xml version="1.0" encoding="utf-8"?>
<Properties xmlns="http://schemas.openxmlformats.org/officeDocument/2006/custom-properties" xmlns:vt="http://schemas.openxmlformats.org/officeDocument/2006/docPropsVTypes"/>
</file>