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jc w:val="center"/>
        <w:rPr/>
      </w:pPr>
      <w:r>
        <w:rPr>
          <w:rFonts w:eastAsia="Segoe UI Emoji" w:cs="Segoe UI Emoji" w:ascii="Segoe UI Emoji" w:hAnsi="Segoe UI Emoji"/>
          <w:sz w:val="96"/>
          <w:szCs w:val="96"/>
        </w:rPr>
        <w:t>⚡</w:t>
      </w:r>
    </w:p>
    <w:p>
      <w:pPr>
        <w:pStyle w:val="Normal"/>
        <w:spacing w:before="400" w:after="80"/>
        <w:jc w:val="center"/>
        <w:rPr/>
      </w:pPr>
      <w:r>
        <w:rPr>
          <w:rFonts w:eastAsia="Arial" w:cs="Arial"/>
          <w:b/>
          <w:bCs/>
          <w:color w:val="1E40AF"/>
          <w:sz w:val="60"/>
          <w:szCs w:val="60"/>
        </w:rPr>
        <w:t>WiredSpace S.r.l.</w:t>
      </w:r>
    </w:p>
    <w:p>
      <w:pPr>
        <w:pStyle w:val="Normal"/>
        <w:spacing w:before="0" w:after="200"/>
        <w:jc w:val="center"/>
        <w:rPr/>
      </w:pPr>
      <w:r>
        <w:rPr>
          <w:rFonts w:eastAsia="Arial" w:cs="Arial"/>
          <w:color w:val="0891B2"/>
          <w:sz w:val="28"/>
          <w:szCs w:val="28"/>
        </w:rPr>
        <w:t>Smart Building &amp; Domotica Professionale</w:t>
      </w:r>
    </w:p>
    <w:p>
      <w:pPr>
        <w:pStyle w:val="Normal"/>
        <w:pBdr>
          <w:top w:val="single" w:sz="4" w:space="6" w:color="1E40AF"/>
          <w:bottom w:val="single" w:sz="4" w:space="6" w:color="1E40AF"/>
        </w:pBdr>
        <w:spacing w:before="600" w:after="80"/>
        <w:jc w:val="center"/>
        <w:rPr/>
      </w:pPr>
      <w:r>
        <w:rPr>
          <w:rFonts w:eastAsia="Arial" w:cs="Arial"/>
          <w:b/>
          <w:bCs/>
          <w:color w:val="1E3A5F"/>
          <w:sz w:val="48"/>
          <w:szCs w:val="48"/>
        </w:rPr>
        <w:t>BUSINESS PLAN</w:t>
      </w:r>
    </w:p>
    <w:p>
      <w:pPr>
        <w:pStyle w:val="Normal"/>
        <w:spacing w:before="80" w:after="200"/>
        <w:jc w:val="center"/>
        <w:rPr/>
      </w:pPr>
      <w:r>
        <w:rPr>
          <w:rFonts w:eastAsia="Arial" w:cs="Arial"/>
          <w:color w:val="0891B2"/>
          <w:sz w:val="26"/>
          <w:szCs w:val="26"/>
        </w:rPr>
        <w:t>Anno Scolastico 2024 / 2025</w:t>
      </w:r>
    </w:p>
    <w:p>
      <w:pPr>
        <w:pStyle w:val="Normal"/>
        <w:spacing w:before="0" w:after="80"/>
        <w:rPr/>
      </w:pPr>
      <w:r>
        <w:rPr/>
      </w:r>
    </w:p>
    <w:p>
      <w:pPr>
        <w:pStyle w:val="Normal"/>
        <w:spacing w:before="0" w:after="80"/>
        <w:rPr/>
      </w:pPr>
      <w:r>
        <w:rPr/>
      </w:r>
    </w:p>
    <w:p>
      <w:pPr>
        <w:pStyle w:val="Normal"/>
        <w:spacing w:before="400" w:after="60"/>
        <w:jc w:val="center"/>
        <w:rPr/>
      </w:pPr>
      <w:r>
        <w:rPr>
          <w:rFonts w:eastAsia="Arial" w:cs="Arial"/>
          <w:color w:val="374151"/>
          <w:sz w:val="20"/>
          <w:szCs w:val="20"/>
        </w:rPr>
        <w:t>Progetto GPOI — Gestione di Progetto e Organizzazione d'Impresa</w:t>
      </w:r>
    </w:p>
    <w:p>
      <w:pPr>
        <w:pStyle w:val="Normal"/>
        <w:jc w:val="center"/>
        <w:rPr/>
      </w:pPr>
      <w:r>
        <w:rPr>
          <w:rFonts w:eastAsia="Arial" w:cs="Arial"/>
          <w:color w:val="374151"/>
          <w:sz w:val="20"/>
          <w:szCs w:val="20"/>
        </w:rPr>
        <w:t>Classe 5ª Informatica e Telecomunicazioni</w:t>
      </w:r>
    </w:p>
    <w:p>
      <w:pPr>
        <w:pStyle w:val="Normal"/>
        <w:spacing w:before="0" w:after="80"/>
        <w:rPr/>
      </w:pPr>
      <w:r>
        <w:rPr/>
      </w:r>
    </w:p>
    <w:p>
      <w:pPr>
        <w:pStyle w:val="Normal"/>
        <w:jc w:val="center"/>
        <w:rPr/>
      </w:pPr>
      <w:r>
        <w:rPr>
          <w:rFonts w:eastAsia="Arial" w:cs="Arial"/>
          <w:b/>
          <w:bCs/>
          <w:color w:val="1E40AF"/>
          <w:sz w:val="20"/>
          <w:szCs w:val="20"/>
        </w:rPr>
        <w:t>Brescia, Italia — 2025</w:t>
      </w:r>
    </w:p>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Indice dei Contenuti</w:t>
      </w:r>
    </w:p>
    <w:tbl>
      <w:tblPr>
        <w:tblW w:w="9638" w:type="dxa"/>
        <w:jc w:val="left"/>
        <w:tblInd w:w="0" w:type="dxa"/>
        <w:tblLayout w:type="fixed"/>
        <w:tblCellMar>
          <w:top w:w="80" w:type="dxa"/>
          <w:left w:w="120" w:type="dxa"/>
          <w:bottom w:w="80" w:type="dxa"/>
          <w:right w:w="120" w:type="dxa"/>
        </w:tblCellMar>
      </w:tblPr>
      <w:tblGrid>
        <w:gridCol w:w="7500"/>
        <w:gridCol w:w="2137"/>
      </w:tblGrid>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1. Executive Summary</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3</w:t>
            </w:r>
          </w:p>
        </w:tc>
      </w:tr>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2. Descrizione dell'Azienda</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w:t>
            </w:r>
          </w:p>
        </w:tc>
      </w:tr>
      <w:tr>
        <w:trPr/>
        <w:tc>
          <w:tcPr>
            <w:tcW w:w="7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3. Analisi di Mercato</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4</w:t>
            </w:r>
          </w:p>
        </w:tc>
      </w:tr>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4. Analisi SWOT</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5</w:t>
            </w:r>
          </w:p>
        </w:tc>
      </w:tr>
      <w:tr>
        <w:trPr/>
        <w:tc>
          <w:tcPr>
            <w:tcW w:w="7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5. Struttura Organizzativa e Team</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5</w:t>
            </w:r>
          </w:p>
        </w:tc>
      </w:tr>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6. Piano dei Servizi e Offerta Commerciale</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6</w:t>
            </w:r>
          </w:p>
        </w:tc>
      </w:tr>
      <w:tr>
        <w:trPr/>
        <w:tc>
          <w:tcPr>
            <w:tcW w:w="7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7. Piano di Marketing e Commerciale</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6</w:t>
            </w:r>
          </w:p>
        </w:tc>
      </w:tr>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8. Piano Operativo — Processo di Erogazione</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7</w:t>
            </w:r>
          </w:p>
        </w:tc>
      </w:tr>
      <w:tr>
        <w:trPr/>
        <w:tc>
          <w:tcPr>
            <w:tcW w:w="7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9. WBS — Work Breakdown Structure (Progetto Web)</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7</w:t>
            </w:r>
          </w:p>
        </w:tc>
      </w:tr>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10. RBS — Risk Breakdown Structure</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8</w:t>
            </w:r>
          </w:p>
        </w:tc>
      </w:tr>
      <w:tr>
        <w:trPr/>
        <w:tc>
          <w:tcPr>
            <w:tcW w:w="7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11. Diagramma di Gantt — Timeline Progetto</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9</w:t>
            </w:r>
          </w:p>
        </w:tc>
      </w:tr>
      <w:tr>
        <w:trPr/>
        <w:tc>
          <w:tcPr>
            <w:tcW w:w="7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12. Piano Finanziario</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10</w:t>
            </w:r>
          </w:p>
        </w:tc>
      </w:tr>
      <w:tr>
        <w:trPr/>
        <w:tc>
          <w:tcPr>
            <w:tcW w:w="7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13. Conclusioni</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11</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1. Executive Summary</w:t>
      </w:r>
    </w:p>
    <w:p>
      <w:pPr>
        <w:pStyle w:val="Normal"/>
        <w:spacing w:before="60" w:after="100"/>
        <w:jc w:val="both"/>
        <w:rPr/>
      </w:pPr>
      <w:r>
        <w:rPr>
          <w:rFonts w:eastAsia="Arial" w:cs="Arial"/>
          <w:color w:val="374151"/>
          <w:sz w:val="20"/>
          <w:szCs w:val="20"/>
        </w:rPr>
        <w:t>WiredSpace S.r.l. è una startup innovativa fondata a Brescia nel 2025, specializzata nella progettazione, installazione e manutenzione di impianti domotici KNX avanzati per il segmento B2B. L'azienda si posiziona come partner tecnologico di riferimento per uffici, aziende, edifici pubblici e strutture ricettive in tutto il Nord Italia.</w:t>
      </w:r>
    </w:p>
    <w:p>
      <w:pPr>
        <w:pStyle w:val="Normal"/>
        <w:spacing w:before="0" w:after="80"/>
        <w:rPr/>
      </w:pPr>
      <w:r>
        <w:rPr/>
      </w:r>
    </w:p>
    <w:p>
      <w:pPr>
        <w:pStyle w:val="Normal"/>
        <w:spacing w:before="60" w:after="100"/>
        <w:jc w:val="both"/>
        <w:rPr/>
      </w:pPr>
      <w:r>
        <w:rPr>
          <w:rFonts w:eastAsia="Arial" w:cs="Arial"/>
          <w:color w:val="374151"/>
          <w:sz w:val="20"/>
          <w:szCs w:val="20"/>
        </w:rPr>
        <w:t>Il progetto nasce dall'osservazione di un mercato in forte espansione: la direttiva europea EPBD 2024 impone la riqualificazione energetica degli edifici commerciali, creando una domanda strutturale per soluzioni di building automation. WiredSpace si differenzia dalla concorrenza attraverso la certificazione KNX Partner, l'integrazione di dashboard IoT in tempo reale e un modello di assistenza H24.</w:t>
      </w:r>
    </w:p>
    <w:p>
      <w:pPr>
        <w:pStyle w:val="Normal"/>
        <w:spacing w:before="0" w:after="80"/>
        <w:rPr/>
      </w:pPr>
      <w:r>
        <w:rPr/>
      </w:r>
    </w:p>
    <w:p>
      <w:pPr>
        <w:pStyle w:val="Normal"/>
        <w:spacing w:before="60" w:after="100"/>
        <w:jc w:val="both"/>
        <w:rPr/>
      </w:pPr>
      <w:r>
        <w:rPr>
          <w:rFonts w:eastAsia="Arial" w:cs="Arial"/>
          <w:color w:val="374151"/>
          <w:sz w:val="20"/>
          <w:szCs w:val="20"/>
        </w:rPr>
        <w:t>Il presente Business Plan descrive il piano strategico quinquennale, la struttura del progetto informatico (sito web PHP+MySQL), le metodologie di project management adottate (WBS, RBS, Gantt) e le proiezioni economico-finanziarie per il triennio 2025–2028.</w:t>
      </w:r>
    </w:p>
    <w:p>
      <w:pPr>
        <w:pStyle w:val="Heading2"/>
        <w:spacing w:before="300" w:after="120"/>
        <w:rPr/>
      </w:pPr>
      <w:r>
        <w:rPr>
          <w:rFonts w:eastAsia="Arial" w:cs="Arial" w:ascii="Arial" w:hAnsi="Arial"/>
          <w:b/>
          <w:bCs/>
          <w:color w:val="0891B2"/>
          <w:sz w:val="26"/>
          <w:szCs w:val="26"/>
        </w:rPr>
        <w:t>Punti chiave</w:t>
      </w:r>
    </w:p>
    <w:p>
      <w:pPr>
        <w:pStyle w:val="ListParagraph"/>
        <w:numPr>
          <w:ilvl w:val="0"/>
          <w:numId w:val="3"/>
        </w:numPr>
        <w:spacing w:before="40" w:after="60"/>
        <w:rPr/>
      </w:pPr>
      <w:r>
        <w:rPr>
          <w:rFonts w:eastAsia="Arial" w:cs="Arial"/>
          <w:b w:val="false"/>
          <w:bCs w:val="false"/>
          <w:color w:val="374151"/>
          <w:sz w:val="20"/>
          <w:szCs w:val="20"/>
        </w:rPr>
        <w:t>Mercato domotica Italia: +12% CAGR al 2028, valore stimato 3,2 miliardi €</w:t>
      </w:r>
    </w:p>
    <w:p>
      <w:pPr>
        <w:pStyle w:val="ListParagraph"/>
        <w:numPr>
          <w:ilvl w:val="0"/>
          <w:numId w:val="1"/>
        </w:numPr>
        <w:spacing w:before="40" w:after="60"/>
        <w:rPr/>
      </w:pPr>
      <w:r>
        <w:rPr>
          <w:rFonts w:eastAsia="Arial" w:cs="Arial"/>
          <w:b w:val="false"/>
          <w:bCs w:val="false"/>
          <w:color w:val="374151"/>
          <w:sz w:val="20"/>
          <w:szCs w:val="20"/>
        </w:rPr>
        <w:t>Target: PMI e enti pubblici con immobili da 200 a 5.000 m² nel Nord Italia</w:t>
      </w:r>
    </w:p>
    <w:p>
      <w:pPr>
        <w:pStyle w:val="ListParagraph"/>
        <w:numPr>
          <w:ilvl w:val="0"/>
          <w:numId w:val="1"/>
        </w:numPr>
        <w:spacing w:before="40" w:after="60"/>
        <w:rPr/>
      </w:pPr>
      <w:r>
        <w:rPr>
          <w:rFonts w:eastAsia="Arial" w:cs="Arial"/>
          <w:b w:val="false"/>
          <w:bCs w:val="false"/>
          <w:color w:val="374151"/>
          <w:sz w:val="20"/>
          <w:szCs w:val="20"/>
        </w:rPr>
        <w:t>Vantaggio competitivo: unica azienda KNX Certified + ISO 9001:2015 nella provincia di Brescia</w:t>
      </w:r>
    </w:p>
    <w:p>
      <w:pPr>
        <w:pStyle w:val="ListParagraph"/>
        <w:numPr>
          <w:ilvl w:val="0"/>
          <w:numId w:val="1"/>
        </w:numPr>
        <w:spacing w:before="40" w:after="60"/>
        <w:rPr/>
      </w:pPr>
      <w:r>
        <w:rPr>
          <w:rFonts w:eastAsia="Arial" w:cs="Arial"/>
          <w:b w:val="false"/>
          <w:bCs w:val="false"/>
          <w:color w:val="374151"/>
          <w:sz w:val="20"/>
          <w:szCs w:val="20"/>
        </w:rPr>
        <w:t>Obiettivo anno 1: 15 contratti, fatturato 480.000 € con margine operativo del 28%</w:t>
      </w:r>
    </w:p>
    <w:p>
      <w:pPr>
        <w:pStyle w:val="ListParagraph"/>
        <w:numPr>
          <w:ilvl w:val="0"/>
          <w:numId w:val="1"/>
        </w:numPr>
        <w:spacing w:before="40" w:after="60"/>
        <w:rPr/>
      </w:pPr>
      <w:r>
        <w:rPr>
          <w:rFonts w:eastAsia="Arial" w:cs="Arial"/>
          <w:b w:val="false"/>
          <w:bCs w:val="false"/>
          <w:color w:val="374151"/>
          <w:sz w:val="20"/>
          <w:szCs w:val="20"/>
        </w:rPr>
        <w:t>Progetto GPOI: sviluppo sito web dinamico PHP 8 + MySQL + JavaScript + Animate.css</w:t>
      </w:r>
    </w:p>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2. Descrizione dell'Azienda</w:t>
      </w:r>
    </w:p>
    <w:p>
      <w:pPr>
        <w:pStyle w:val="Heading2"/>
        <w:spacing w:before="300" w:after="120"/>
        <w:rPr/>
      </w:pPr>
      <w:r>
        <w:rPr>
          <w:rFonts w:eastAsia="Arial" w:cs="Arial" w:ascii="Arial" w:hAnsi="Arial"/>
          <w:b/>
          <w:bCs/>
          <w:color w:val="0891B2"/>
          <w:sz w:val="26"/>
          <w:szCs w:val="26"/>
        </w:rPr>
        <w:t>2.1 Profilo aziendale</w:t>
      </w:r>
    </w:p>
    <w:tbl>
      <w:tblPr>
        <w:tblW w:w="9638" w:type="dxa"/>
        <w:jc w:val="left"/>
        <w:tblInd w:w="0" w:type="dxa"/>
        <w:tblLayout w:type="fixed"/>
        <w:tblCellMar>
          <w:top w:w="80" w:type="dxa"/>
          <w:left w:w="120" w:type="dxa"/>
          <w:bottom w:w="80" w:type="dxa"/>
          <w:right w:w="120" w:type="dxa"/>
        </w:tblCellMar>
      </w:tblPr>
      <w:tblGrid>
        <w:gridCol w:w="3000"/>
        <w:gridCol w:w="6637"/>
      </w:tblGrid>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Ragione Sociale</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WiredSpace S.r.l.</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Sede Legale</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Via Tecnologia 12, 25100 Brescia (BS)</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Forma Giuridica</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Società a Responsabilità Limitata (S.r.l.)</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Capitale Sociale</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 xml:space="preserve">€ </w:t>
            </w:r>
            <w:r>
              <w:rPr>
                <w:rFonts w:eastAsia="Arial" w:cs="Arial"/>
                <w:b w:val="false"/>
                <w:bCs w:val="false"/>
                <w:color w:val="374151"/>
                <w:sz w:val="19"/>
                <w:szCs w:val="19"/>
              </w:rPr>
              <w:t>30.000 (interamente versato)</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P. IVA</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01234567890</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Codice ATECO</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43.21.09 — Installazione impianti elettrici e domotici</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Certificazioni</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KNX Partner Certified — ISO 9001:2015 — SOA Cat. OG10</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Sito Web</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www.wiredspace.it  (progetto GPOI)</w:t>
            </w:r>
          </w:p>
        </w:tc>
      </w:tr>
      <w:tr>
        <w:trPr/>
        <w:tc>
          <w:tcPr>
            <w:tcW w:w="3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Contatti</w:t>
            </w:r>
          </w:p>
        </w:tc>
        <w:tc>
          <w:tcPr>
            <w:tcW w:w="6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+39 02 1234567 — info@wiredspace.it</w:t>
            </w:r>
          </w:p>
        </w:tc>
      </w:tr>
    </w:tbl>
    <w:p>
      <w:pPr>
        <w:pStyle w:val="Normal"/>
        <w:spacing w:before="0" w:after="80"/>
        <w:rPr/>
      </w:pPr>
      <w:r>
        <w:rPr/>
      </w:r>
    </w:p>
    <w:p>
      <w:pPr>
        <w:pStyle w:val="Heading2"/>
        <w:spacing w:before="300" w:after="120"/>
        <w:rPr/>
      </w:pPr>
      <w:r>
        <w:rPr>
          <w:rFonts w:eastAsia="Arial" w:cs="Arial" w:ascii="Arial" w:hAnsi="Arial"/>
          <w:b/>
          <w:bCs/>
          <w:color w:val="0891B2"/>
          <w:sz w:val="26"/>
          <w:szCs w:val="26"/>
        </w:rPr>
        <w:t>2.2 Mission e Vision</w:t>
      </w:r>
    </w:p>
    <w:p>
      <w:pPr>
        <w:pStyle w:val="Normal"/>
        <w:spacing w:before="200" w:after="80"/>
        <w:rPr/>
      </w:pPr>
      <w:r>
        <w:rPr>
          <w:rFonts w:eastAsia="Arial" w:cs="Arial"/>
          <w:b/>
          <w:bCs/>
          <w:color w:val="374151"/>
          <w:sz w:val="22"/>
          <w:szCs w:val="22"/>
        </w:rPr>
        <w:t>Mission</w:t>
      </w:r>
    </w:p>
    <w:p>
      <w:pPr>
        <w:pStyle w:val="Normal"/>
        <w:spacing w:before="60" w:after="100"/>
        <w:jc w:val="both"/>
        <w:rPr/>
      </w:pPr>
      <w:r>
        <w:rPr>
          <w:rFonts w:eastAsia="Arial" w:cs="Arial"/>
          <w:color w:val="374151"/>
          <w:sz w:val="20"/>
          <w:szCs w:val="20"/>
        </w:rPr>
        <w:t>Trasformare gli edifici commerciali e pubblici del Nord Italia in ambienti intelligenti, efficienti e sicuri, attraverso l'implementazione di sistemi domotici KNX certificati che riducono i costi operativi fino al 40% e migliorano la qualità del lavoro.</w:t>
      </w:r>
    </w:p>
    <w:p>
      <w:pPr>
        <w:pStyle w:val="Normal"/>
        <w:spacing w:before="200" w:after="80"/>
        <w:rPr/>
      </w:pPr>
      <w:r>
        <w:rPr>
          <w:rFonts w:eastAsia="Arial" w:cs="Arial"/>
          <w:b/>
          <w:bCs/>
          <w:color w:val="374151"/>
          <w:sz w:val="22"/>
          <w:szCs w:val="22"/>
        </w:rPr>
        <w:t>Vision</w:t>
      </w:r>
    </w:p>
    <w:p>
      <w:pPr>
        <w:pStyle w:val="Normal"/>
        <w:spacing w:before="60" w:after="100"/>
        <w:jc w:val="both"/>
        <w:rPr/>
      </w:pPr>
      <w:r>
        <w:rPr>
          <w:rFonts w:eastAsia="Arial" w:cs="Arial"/>
          <w:color w:val="374151"/>
          <w:sz w:val="20"/>
          <w:szCs w:val="20"/>
        </w:rPr>
        <w:t>Diventare entro il 2030 il principale integratore di building automation nel Nord-Est Italia, con un portafoglio di 200 impianti attivi e un team di 25 tecnici certificati, contribuendo attivamente alla transizione energetica degli edifici prevista dalla direttiva EPBD.</w:t>
      </w:r>
    </w:p>
    <w:p>
      <w:pPr>
        <w:pStyle w:val="Heading2"/>
        <w:spacing w:before="300" w:after="120"/>
        <w:rPr/>
      </w:pPr>
      <w:r>
        <w:rPr>
          <w:rFonts w:eastAsia="Arial" w:cs="Arial" w:ascii="Arial" w:hAnsi="Arial"/>
          <w:b/>
          <w:bCs/>
          <w:color w:val="0891B2"/>
          <w:sz w:val="26"/>
          <w:szCs w:val="26"/>
        </w:rPr>
        <w:t>2.3 Valori aziendali</w:t>
      </w:r>
    </w:p>
    <w:p>
      <w:pPr>
        <w:pStyle w:val="ListParagraph"/>
        <w:numPr>
          <w:ilvl w:val="0"/>
          <w:numId w:val="1"/>
        </w:numPr>
        <w:spacing w:before="40" w:after="60"/>
        <w:rPr/>
      </w:pPr>
      <w:r>
        <w:rPr>
          <w:rFonts w:eastAsia="Arial" w:cs="Arial"/>
          <w:b w:val="false"/>
          <w:bCs w:val="false"/>
          <w:color w:val="374151"/>
          <w:sz w:val="20"/>
          <w:szCs w:val="20"/>
        </w:rPr>
        <w:t>Innovazione: adozione continua delle tecnologie più avanzate del settore KNX</w:t>
      </w:r>
    </w:p>
    <w:p>
      <w:pPr>
        <w:pStyle w:val="ListParagraph"/>
        <w:numPr>
          <w:ilvl w:val="0"/>
          <w:numId w:val="1"/>
        </w:numPr>
        <w:spacing w:before="40" w:after="60"/>
        <w:rPr/>
      </w:pPr>
      <w:r>
        <w:rPr>
          <w:rFonts w:eastAsia="Arial" w:cs="Arial"/>
          <w:b w:val="false"/>
          <w:bCs w:val="false"/>
          <w:color w:val="374151"/>
          <w:sz w:val="20"/>
          <w:szCs w:val="20"/>
        </w:rPr>
        <w:t>Affidabilità: garanzia di uptime 99,9% e assistenza H24 su tutti gli impianti</w:t>
      </w:r>
    </w:p>
    <w:p>
      <w:pPr>
        <w:pStyle w:val="ListParagraph"/>
        <w:numPr>
          <w:ilvl w:val="0"/>
          <w:numId w:val="1"/>
        </w:numPr>
        <w:spacing w:before="40" w:after="60"/>
        <w:rPr/>
      </w:pPr>
      <w:r>
        <w:rPr>
          <w:rFonts w:eastAsia="Arial" w:cs="Arial"/>
          <w:b w:val="false"/>
          <w:bCs w:val="false"/>
          <w:color w:val="374151"/>
          <w:sz w:val="20"/>
          <w:szCs w:val="20"/>
        </w:rPr>
        <w:t>Sostenibilità: ogni progetto riduce l'impronta carbonica dell'edificio</w:t>
      </w:r>
    </w:p>
    <w:p>
      <w:pPr>
        <w:pStyle w:val="ListParagraph"/>
        <w:numPr>
          <w:ilvl w:val="0"/>
          <w:numId w:val="1"/>
        </w:numPr>
        <w:spacing w:before="40" w:after="60"/>
        <w:rPr/>
      </w:pPr>
      <w:r>
        <w:rPr>
          <w:rFonts w:eastAsia="Arial" w:cs="Arial"/>
          <w:b w:val="false"/>
          <w:bCs w:val="false"/>
          <w:color w:val="374151"/>
          <w:sz w:val="20"/>
          <w:szCs w:val="20"/>
        </w:rPr>
        <w:t>Trasparenza: preventivi dettagliati, nessun costo nascosto, documentazione completa</w:t>
      </w:r>
    </w:p>
    <w:p>
      <w:pPr>
        <w:pStyle w:val="ListParagraph"/>
        <w:numPr>
          <w:ilvl w:val="0"/>
          <w:numId w:val="1"/>
        </w:numPr>
        <w:spacing w:before="40" w:after="60"/>
        <w:rPr/>
      </w:pPr>
      <w:r>
        <w:rPr>
          <w:rFonts w:eastAsia="Arial" w:cs="Arial"/>
          <w:b w:val="false"/>
          <w:bCs w:val="false"/>
          <w:color w:val="374151"/>
          <w:sz w:val="20"/>
          <w:szCs w:val="20"/>
        </w:rPr>
        <w:t>Certificazione: tutti i tecnici mantengono aggiornate le certificazioni KNX e ISO</w:t>
      </w:r>
    </w:p>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3. Analisi di Mercato</w:t>
      </w:r>
    </w:p>
    <w:p>
      <w:pPr>
        <w:pStyle w:val="Heading2"/>
        <w:spacing w:before="300" w:after="120"/>
        <w:rPr/>
      </w:pPr>
      <w:r>
        <w:rPr>
          <w:rFonts w:eastAsia="Arial" w:cs="Arial" w:ascii="Arial" w:hAnsi="Arial"/>
          <w:b/>
          <w:bCs/>
          <w:color w:val="0891B2"/>
          <w:sz w:val="26"/>
          <w:szCs w:val="26"/>
        </w:rPr>
        <w:t>3.1 Dimensione e trend del mercato</w:t>
      </w:r>
    </w:p>
    <w:p>
      <w:pPr>
        <w:pStyle w:val="Normal"/>
        <w:spacing w:before="60" w:after="100"/>
        <w:jc w:val="both"/>
        <w:rPr/>
      </w:pPr>
      <w:r>
        <w:rPr>
          <w:rFonts w:eastAsia="Arial" w:cs="Arial"/>
          <w:color w:val="374151"/>
          <w:sz w:val="20"/>
          <w:szCs w:val="20"/>
        </w:rPr>
        <w:t>Il mercato italiano della domotica professionale (Building Automation &amp; Control Systems — BACS) ha registrato nel 2024 un fatturato di 2,1 miliardi di euro, con una crescita del 14% rispetto all'anno precedente. Le stime di ANIE Automazione e Confindustria prevedono un tasso di crescita annuo composto (CAGR) del 12% fino al 2028, portando il mercato a 3,2 miliardi di euro.</w:t>
      </w:r>
    </w:p>
    <w:p>
      <w:pPr>
        <w:pStyle w:val="Normal"/>
        <w:spacing w:before="0" w:after="80"/>
        <w:rPr/>
      </w:pPr>
      <w:r>
        <w:rPr/>
      </w:r>
    </w:p>
    <w:p>
      <w:pPr>
        <w:pStyle w:val="Normal"/>
        <w:spacing w:before="60" w:after="100"/>
        <w:jc w:val="both"/>
        <w:rPr/>
      </w:pPr>
      <w:r>
        <w:rPr>
          <w:rFonts w:eastAsia="Arial" w:cs="Arial"/>
          <w:color w:val="374151"/>
          <w:sz w:val="20"/>
          <w:szCs w:val="20"/>
        </w:rPr>
        <w:t>I principali driver di crescita sono: la Direttiva EPBD 2024 che impone la classe energetica minima E per gli edifici commerciali entro il 2027, gli incentivi del Piano Transizione 5.0, la direttiva NIS2 sulla cybersecurity degli edifici e la crescente diffusione dello smart working che richiede spazi ultra-connessi.</w:t>
      </w:r>
    </w:p>
    <w:p>
      <w:pPr>
        <w:pStyle w:val="Heading2"/>
        <w:spacing w:before="300" w:after="120"/>
        <w:rPr/>
      </w:pPr>
      <w:r>
        <w:rPr>
          <w:rFonts w:eastAsia="Arial" w:cs="Arial" w:ascii="Arial" w:hAnsi="Arial"/>
          <w:b/>
          <w:bCs/>
          <w:color w:val="0891B2"/>
          <w:sz w:val="26"/>
          <w:szCs w:val="26"/>
        </w:rPr>
        <w:t>3.2 Segmentazione del mercato target</w:t>
      </w:r>
    </w:p>
    <w:tbl>
      <w:tblPr>
        <w:tblW w:w="9638" w:type="dxa"/>
        <w:jc w:val="left"/>
        <w:tblInd w:w="0" w:type="dxa"/>
        <w:tblLayout w:type="fixed"/>
        <w:tblCellMar>
          <w:top w:w="80" w:type="dxa"/>
          <w:left w:w="120" w:type="dxa"/>
          <w:bottom w:w="80" w:type="dxa"/>
          <w:right w:w="120" w:type="dxa"/>
        </w:tblCellMar>
      </w:tblPr>
      <w:tblGrid>
        <w:gridCol w:w="2500"/>
        <w:gridCol w:w="2500"/>
        <w:gridCol w:w="2000"/>
        <w:gridCol w:w="2637"/>
      </w:tblGrid>
      <w:tr>
        <w:trPr/>
        <w:tc>
          <w:tcPr>
            <w:tcW w:w="25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Segmento</w:t>
            </w:r>
          </w:p>
        </w:tc>
        <w:tc>
          <w:tcPr>
            <w:tcW w:w="25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Descrizione</w:t>
            </w:r>
          </w:p>
        </w:tc>
        <w:tc>
          <w:tcPr>
            <w:tcW w:w="2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Dimensione (BS)</w:t>
            </w:r>
          </w:p>
        </w:tc>
        <w:tc>
          <w:tcPr>
            <w:tcW w:w="2637"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Opportunità</w:t>
            </w:r>
          </w:p>
        </w:tc>
      </w:tr>
      <w:tr>
        <w:trPr/>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Uffici PMI</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200–2.000 m², 10–100 dipendenti</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~1.200 edifici</w:t>
            </w:r>
          </w:p>
        </w:tc>
        <w:tc>
          <w:tcPr>
            <w:tcW w:w="26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Alta domanda post-COVID</w:t>
            </w:r>
          </w:p>
        </w:tc>
      </w:tr>
      <w:tr>
        <w:trPr/>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Edifici pubblici</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Scuole, uffici comunali, ospedali</w:t>
            </w:r>
          </w:p>
        </w:tc>
        <w:tc>
          <w:tcPr>
            <w:tcW w:w="2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~350 strutture</w:t>
            </w:r>
          </w:p>
        </w:tc>
        <w:tc>
          <w:tcPr>
            <w:tcW w:w="2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PNRR + EPBD 2024</w:t>
            </w:r>
          </w:p>
        </w:tc>
      </w:tr>
      <w:tr>
        <w:trPr/>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Strutture ricettive</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Hotel 3-5 stelle, B&amp;B premium</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~180 strutture</w:t>
            </w:r>
          </w:p>
        </w:tc>
        <w:tc>
          <w:tcPr>
            <w:tcW w:w="26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Efficienza + guest exp.</w:t>
            </w:r>
          </w:p>
        </w:tc>
      </w:tr>
      <w:tr>
        <w:trPr/>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Industria leggera</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Capannoni, logistica, magazzini</w:t>
            </w:r>
          </w:p>
        </w:tc>
        <w:tc>
          <w:tcPr>
            <w:tcW w:w="2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~800 edifici</w:t>
            </w:r>
          </w:p>
        </w:tc>
        <w:tc>
          <w:tcPr>
            <w:tcW w:w="26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Automazione + sicurezza</w:t>
            </w:r>
          </w:p>
        </w:tc>
      </w:tr>
    </w:tbl>
    <w:p>
      <w:pPr>
        <w:pStyle w:val="Heading2"/>
        <w:spacing w:before="300" w:after="120"/>
        <w:rPr/>
      </w:pPr>
      <w:r>
        <w:rPr>
          <w:rFonts w:eastAsia="Arial" w:cs="Arial" w:ascii="Arial" w:hAnsi="Arial"/>
          <w:b/>
          <w:bCs/>
          <w:color w:val="0891B2"/>
          <w:sz w:val="26"/>
          <w:szCs w:val="26"/>
        </w:rPr>
        <w:t>3.3 Analisi della concorrenza</w:t>
      </w:r>
    </w:p>
    <w:tbl>
      <w:tblPr>
        <w:tblW w:w="9638" w:type="dxa"/>
        <w:jc w:val="left"/>
        <w:tblInd w:w="0" w:type="dxa"/>
        <w:tblLayout w:type="fixed"/>
        <w:tblCellMar>
          <w:top w:w="80" w:type="dxa"/>
          <w:left w:w="120" w:type="dxa"/>
          <w:bottom w:w="80" w:type="dxa"/>
          <w:right w:w="120" w:type="dxa"/>
        </w:tblCellMar>
      </w:tblPr>
      <w:tblGrid>
        <w:gridCol w:w="2200"/>
        <w:gridCol w:w="1799"/>
        <w:gridCol w:w="1801"/>
        <w:gridCol w:w="1799"/>
        <w:gridCol w:w="2039"/>
      </w:tblGrid>
      <w:tr>
        <w:trPr/>
        <w:tc>
          <w:tcPr>
            <w:tcW w:w="22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Competitor</w:t>
            </w:r>
          </w:p>
        </w:tc>
        <w:tc>
          <w:tcPr>
            <w:tcW w:w="17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Punti di forza</w:t>
            </w:r>
          </w:p>
        </w:tc>
        <w:tc>
          <w:tcPr>
            <w:tcW w:w="1801"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Punti deboli</w:t>
            </w:r>
          </w:p>
        </w:tc>
        <w:tc>
          <w:tcPr>
            <w:tcW w:w="17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Quota mercato</w:t>
            </w:r>
          </w:p>
        </w:tc>
        <w:tc>
          <w:tcPr>
            <w:tcW w:w="203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Posizionamento</w:t>
            </w:r>
          </w:p>
        </w:tc>
      </w:tr>
      <w:tr>
        <w:trPr/>
        <w:tc>
          <w:tcPr>
            <w:tcW w:w="2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Competitor A (Bergamo)</w:t>
            </w:r>
          </w:p>
        </w:tc>
        <w:tc>
          <w:tcPr>
            <w:tcW w:w="1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Brand noto, rete vendita</w:t>
            </w:r>
          </w:p>
        </w:tc>
        <w:tc>
          <w:tcPr>
            <w:tcW w:w="18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No certificazione KNX</w:t>
            </w:r>
          </w:p>
        </w:tc>
        <w:tc>
          <w:tcPr>
            <w:tcW w:w="1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~18%</w:t>
            </w:r>
          </w:p>
        </w:tc>
        <w:tc>
          <w:tcPr>
            <w:tcW w:w="203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Mid-market generalista</w:t>
            </w:r>
          </w:p>
        </w:tc>
      </w:tr>
      <w:tr>
        <w:trPr/>
        <w:tc>
          <w:tcPr>
            <w:tcW w:w="2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Competitor B (Milano)</w:t>
            </w:r>
          </w:p>
        </w:tc>
        <w:tc>
          <w:tcPr>
            <w:tcW w:w="1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Portafoglio enterprise</w:t>
            </w:r>
          </w:p>
        </w:tc>
        <w:tc>
          <w:tcPr>
            <w:tcW w:w="18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Costi elevati, no PMI</w:t>
            </w:r>
          </w:p>
        </w:tc>
        <w:tc>
          <w:tcPr>
            <w:tcW w:w="1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~25%</w:t>
            </w:r>
          </w:p>
        </w:tc>
        <w:tc>
          <w:tcPr>
            <w:tcW w:w="203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Premium enterprise</w:t>
            </w:r>
          </w:p>
        </w:tc>
      </w:tr>
      <w:tr>
        <w:trPr/>
        <w:tc>
          <w:tcPr>
            <w:tcW w:w="2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Competitor C (Brescia)</w:t>
            </w:r>
          </w:p>
        </w:tc>
        <w:tc>
          <w:tcPr>
            <w:tcW w:w="1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Presenza locale</w:t>
            </w:r>
          </w:p>
        </w:tc>
        <w:tc>
          <w:tcPr>
            <w:tcW w:w="18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Tecnologia datata</w:t>
            </w:r>
          </w:p>
        </w:tc>
        <w:tc>
          <w:tcPr>
            <w:tcW w:w="1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~12%</w:t>
            </w:r>
          </w:p>
        </w:tc>
        <w:tc>
          <w:tcPr>
            <w:tcW w:w="203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Low-cost locale</w:t>
            </w:r>
          </w:p>
        </w:tc>
      </w:tr>
      <w:tr>
        <w:trPr/>
        <w:tc>
          <w:tcPr>
            <w:tcW w:w="2200"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bCs/>
                <w:color w:val="374151"/>
                <w:sz w:val="19"/>
                <w:szCs w:val="19"/>
              </w:rPr>
              <w:t>WiredSpace S.r.l.</w:t>
            </w:r>
          </w:p>
        </w:tc>
        <w:tc>
          <w:tcPr>
            <w:tcW w:w="179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bCs/>
                <w:color w:val="374151"/>
                <w:sz w:val="19"/>
                <w:szCs w:val="19"/>
              </w:rPr>
              <w:t>KNX + ISO + IoT</w:t>
            </w:r>
          </w:p>
        </w:tc>
        <w:tc>
          <w:tcPr>
            <w:tcW w:w="1801"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Brand nuovo (startup)</w:t>
            </w:r>
          </w:p>
        </w:tc>
        <w:tc>
          <w:tcPr>
            <w:tcW w:w="179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Target 8% (anno 3)</w:t>
            </w:r>
          </w:p>
        </w:tc>
        <w:tc>
          <w:tcPr>
            <w:tcW w:w="203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Premium certificato PMI</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4. Analisi SWOT</w:t>
      </w:r>
    </w:p>
    <w:tbl>
      <w:tblPr>
        <w:tblW w:w="9638" w:type="dxa"/>
        <w:jc w:val="left"/>
        <w:tblInd w:w="0" w:type="dxa"/>
        <w:tblLayout w:type="fixed"/>
        <w:tblCellMar>
          <w:top w:w="80" w:type="dxa"/>
          <w:left w:w="120" w:type="dxa"/>
          <w:bottom w:w="80" w:type="dxa"/>
          <w:right w:w="120" w:type="dxa"/>
        </w:tblCellMar>
      </w:tblPr>
      <w:tblGrid>
        <w:gridCol w:w="4819"/>
        <w:gridCol w:w="4818"/>
      </w:tblGrid>
      <w:tr>
        <w:trPr/>
        <w:tc>
          <w:tcPr>
            <w:tcW w:w="481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STRENGTHS — Punti di Forza</w:t>
            </w:r>
          </w:p>
        </w:tc>
        <w:tc>
          <w:tcPr>
            <w:tcW w:w="4818"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WEAKNESSES — Punti di Debolezza</w:t>
            </w:r>
          </w:p>
        </w:tc>
      </w:tr>
      <w:tr>
        <w:trPr/>
        <w:tc>
          <w:tcPr>
            <w:tcW w:w="4819" w:type="dxa"/>
            <w:tcBorders>
              <w:top w:val="single" w:sz="2" w:space="0" w:color="E5E7EB"/>
              <w:left w:val="single" w:sz="2" w:space="0" w:color="E5E7EB"/>
              <w:bottom w:val="single" w:sz="2" w:space="0" w:color="E5E7EB"/>
              <w:right w:val="single" w:sz="2" w:space="0" w:color="E5E7EB"/>
            </w:tcBorders>
            <w:shd w:fill="D1FAE5" w:val="clear"/>
          </w:tcPr>
          <w:p>
            <w:pPr>
              <w:pStyle w:val="Normal"/>
              <w:spacing w:before="40" w:after="40"/>
              <w:rPr/>
            </w:pPr>
            <w:r>
              <w:rPr>
                <w:rFonts w:eastAsia="Arial" w:cs="Arial"/>
                <w:color w:val="374151"/>
                <w:sz w:val="18"/>
                <w:szCs w:val="18"/>
              </w:rPr>
              <w:t xml:space="preserve">•  </w:t>
            </w:r>
            <w:r>
              <w:rPr>
                <w:rFonts w:eastAsia="Arial" w:cs="Arial"/>
                <w:color w:val="374151"/>
                <w:sz w:val="18"/>
                <w:szCs w:val="18"/>
              </w:rPr>
              <w:t>Unica certificazione KNX Partner in provincia di BS</w:t>
            </w:r>
          </w:p>
          <w:p>
            <w:pPr>
              <w:pStyle w:val="Normal"/>
              <w:spacing w:before="40" w:after="40"/>
              <w:rPr/>
            </w:pPr>
            <w:r>
              <w:rPr>
                <w:rFonts w:eastAsia="Arial" w:cs="Arial"/>
                <w:color w:val="374151"/>
                <w:sz w:val="18"/>
                <w:szCs w:val="18"/>
              </w:rPr>
              <w:t xml:space="preserve">•  </w:t>
            </w:r>
            <w:r>
              <w:rPr>
                <w:rFonts w:eastAsia="Arial" w:cs="Arial"/>
                <w:color w:val="374151"/>
                <w:sz w:val="18"/>
                <w:szCs w:val="18"/>
              </w:rPr>
              <w:t>ISO 9001:2015 — garanzia qualita' processi</w:t>
            </w:r>
          </w:p>
          <w:p>
            <w:pPr>
              <w:pStyle w:val="Normal"/>
              <w:spacing w:before="40" w:after="40"/>
              <w:rPr/>
            </w:pPr>
            <w:r>
              <w:rPr>
                <w:rFonts w:eastAsia="Arial" w:cs="Arial"/>
                <w:color w:val="374151"/>
                <w:sz w:val="18"/>
                <w:szCs w:val="18"/>
              </w:rPr>
              <w:t xml:space="preserve">•  </w:t>
            </w:r>
            <w:r>
              <w:rPr>
                <w:rFonts w:eastAsia="Arial" w:cs="Arial"/>
                <w:color w:val="374151"/>
                <w:sz w:val="18"/>
                <w:szCs w:val="18"/>
              </w:rPr>
              <w:t>Piattaforma IoT proprietaria con dashboard real-time</w:t>
            </w:r>
          </w:p>
          <w:p>
            <w:pPr>
              <w:pStyle w:val="Normal"/>
              <w:spacing w:before="40" w:after="40"/>
              <w:rPr/>
            </w:pPr>
            <w:r>
              <w:rPr>
                <w:rFonts w:eastAsia="Arial" w:cs="Arial"/>
                <w:color w:val="374151"/>
                <w:sz w:val="18"/>
                <w:szCs w:val="18"/>
              </w:rPr>
              <w:t xml:space="preserve">•  </w:t>
            </w:r>
            <w:r>
              <w:rPr>
                <w:rFonts w:eastAsia="Arial" w:cs="Arial"/>
                <w:color w:val="374151"/>
                <w:sz w:val="18"/>
                <w:szCs w:val="18"/>
              </w:rPr>
              <w:t>Team tecnico senior (media 8 anni di esperienza)</w:t>
            </w:r>
          </w:p>
          <w:p>
            <w:pPr>
              <w:pStyle w:val="Normal"/>
              <w:spacing w:before="40" w:after="40"/>
              <w:rPr/>
            </w:pPr>
            <w:r>
              <w:rPr>
                <w:rFonts w:eastAsia="Arial" w:cs="Arial"/>
                <w:color w:val="374151"/>
                <w:sz w:val="18"/>
                <w:szCs w:val="18"/>
              </w:rPr>
              <w:t xml:space="preserve">•  </w:t>
            </w:r>
            <w:r>
              <w:rPr>
                <w:rFonts w:eastAsia="Arial" w:cs="Arial"/>
                <w:color w:val="374151"/>
                <w:sz w:val="18"/>
                <w:szCs w:val="18"/>
              </w:rPr>
              <w:t>Sito web dinamico con area clienti integrata</w:t>
            </w:r>
          </w:p>
          <w:p>
            <w:pPr>
              <w:pStyle w:val="Normal"/>
              <w:spacing w:before="40" w:after="40"/>
              <w:rPr/>
            </w:pPr>
            <w:r>
              <w:rPr>
                <w:rFonts w:eastAsia="Arial" w:cs="Arial"/>
                <w:color w:val="374151"/>
                <w:sz w:val="18"/>
                <w:szCs w:val="18"/>
              </w:rPr>
              <w:t xml:space="preserve">•  </w:t>
            </w:r>
            <w:r>
              <w:rPr>
                <w:rFonts w:eastAsia="Arial" w:cs="Arial"/>
                <w:color w:val="374151"/>
                <w:sz w:val="18"/>
                <w:szCs w:val="18"/>
              </w:rPr>
              <w:t>Assistenza H24 inclusa nei contratti di manutenzione</w:t>
            </w:r>
          </w:p>
        </w:tc>
        <w:tc>
          <w:tcPr>
            <w:tcW w:w="4818" w:type="dxa"/>
            <w:tcBorders>
              <w:top w:val="single" w:sz="2" w:space="0" w:color="E5E7EB"/>
              <w:left w:val="single" w:sz="2" w:space="0" w:color="E5E7EB"/>
              <w:bottom w:val="single" w:sz="2" w:space="0" w:color="E5E7EB"/>
              <w:right w:val="single" w:sz="2" w:space="0" w:color="E5E7EB"/>
            </w:tcBorders>
            <w:shd w:fill="FEF3C7" w:val="clear"/>
          </w:tcPr>
          <w:p>
            <w:pPr>
              <w:pStyle w:val="Normal"/>
              <w:spacing w:before="40" w:after="40"/>
              <w:rPr/>
            </w:pPr>
            <w:r>
              <w:rPr>
                <w:rFonts w:eastAsia="Arial" w:cs="Arial"/>
                <w:color w:val="374151"/>
                <w:sz w:val="18"/>
                <w:szCs w:val="18"/>
              </w:rPr>
              <w:t xml:space="preserve">•  </w:t>
            </w:r>
            <w:r>
              <w:rPr>
                <w:rFonts w:eastAsia="Arial" w:cs="Arial"/>
                <w:color w:val="374151"/>
                <w:sz w:val="18"/>
                <w:szCs w:val="18"/>
              </w:rPr>
              <w:t>Brand nuovo: nessuna reputazione consolidata</w:t>
            </w:r>
          </w:p>
          <w:p>
            <w:pPr>
              <w:pStyle w:val="Normal"/>
              <w:spacing w:before="40" w:after="40"/>
              <w:rPr/>
            </w:pPr>
            <w:r>
              <w:rPr>
                <w:rFonts w:eastAsia="Arial" w:cs="Arial"/>
                <w:color w:val="374151"/>
                <w:sz w:val="18"/>
                <w:szCs w:val="18"/>
              </w:rPr>
              <w:t xml:space="preserve">•  </w:t>
            </w:r>
            <w:r>
              <w:rPr>
                <w:rFonts w:eastAsia="Arial" w:cs="Arial"/>
                <w:color w:val="374151"/>
                <w:sz w:val="18"/>
                <w:szCs w:val="18"/>
              </w:rPr>
              <w:t>Capitale iniziale limitato (30.000 euro)</w:t>
            </w:r>
          </w:p>
          <w:p>
            <w:pPr>
              <w:pStyle w:val="Normal"/>
              <w:spacing w:before="40" w:after="40"/>
              <w:rPr/>
            </w:pPr>
            <w:r>
              <w:rPr>
                <w:rFonts w:eastAsia="Arial" w:cs="Arial"/>
                <w:color w:val="374151"/>
                <w:sz w:val="18"/>
                <w:szCs w:val="18"/>
              </w:rPr>
              <w:t xml:space="preserve">•  </w:t>
            </w:r>
            <w:r>
              <w:rPr>
                <w:rFonts w:eastAsia="Arial" w:cs="Arial"/>
                <w:color w:val="374151"/>
                <w:sz w:val="18"/>
                <w:szCs w:val="18"/>
              </w:rPr>
              <w:t>Dipendenza da fornitori KNX (Hager, ABB, Schneider)</w:t>
            </w:r>
          </w:p>
          <w:p>
            <w:pPr>
              <w:pStyle w:val="Normal"/>
              <w:spacing w:before="40" w:after="40"/>
              <w:rPr/>
            </w:pPr>
            <w:r>
              <w:rPr>
                <w:rFonts w:eastAsia="Arial" w:cs="Arial"/>
                <w:color w:val="374151"/>
                <w:sz w:val="18"/>
                <w:szCs w:val="18"/>
              </w:rPr>
              <w:t xml:space="preserve">•  </w:t>
            </w:r>
            <w:r>
              <w:rPr>
                <w:rFonts w:eastAsia="Arial" w:cs="Arial"/>
                <w:color w:val="374151"/>
                <w:sz w:val="18"/>
                <w:szCs w:val="18"/>
              </w:rPr>
              <w:t>Team piccolo: rischio collo di bottiglia operativo</w:t>
            </w:r>
          </w:p>
          <w:p>
            <w:pPr>
              <w:pStyle w:val="Normal"/>
              <w:spacing w:before="40" w:after="40"/>
              <w:rPr/>
            </w:pPr>
            <w:r>
              <w:rPr>
                <w:rFonts w:eastAsia="Arial" w:cs="Arial"/>
                <w:color w:val="374151"/>
                <w:sz w:val="18"/>
                <w:szCs w:val="18"/>
              </w:rPr>
              <w:t xml:space="preserve">•  </w:t>
            </w:r>
            <w:r>
              <w:rPr>
                <w:rFonts w:eastAsia="Arial" w:cs="Arial"/>
                <w:color w:val="374151"/>
                <w:sz w:val="18"/>
                <w:szCs w:val="18"/>
              </w:rPr>
              <w:t>Lunghi tempi di qualificazione vendor PA</w:t>
            </w:r>
          </w:p>
        </w:tc>
      </w:tr>
      <w:tr>
        <w:trPr/>
        <w:tc>
          <w:tcPr>
            <w:tcW w:w="481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OPPORTUNITIES — Opportunita'</w:t>
            </w:r>
          </w:p>
        </w:tc>
        <w:tc>
          <w:tcPr>
            <w:tcW w:w="4818"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THREATS — Minacce</w:t>
            </w:r>
          </w:p>
        </w:tc>
      </w:tr>
      <w:tr>
        <w:trPr/>
        <w:tc>
          <w:tcPr>
            <w:tcW w:w="4819" w:type="dxa"/>
            <w:tcBorders>
              <w:top w:val="single" w:sz="2" w:space="0" w:color="E5E7EB"/>
              <w:left w:val="single" w:sz="2" w:space="0" w:color="E5E7EB"/>
              <w:bottom w:val="single" w:sz="2" w:space="0" w:color="E5E7EB"/>
              <w:right w:val="single" w:sz="2" w:space="0" w:color="E5E7EB"/>
            </w:tcBorders>
            <w:shd w:fill="DBEAFE" w:val="clear"/>
          </w:tcPr>
          <w:p>
            <w:pPr>
              <w:pStyle w:val="Normal"/>
              <w:spacing w:before="40" w:after="40"/>
              <w:rPr/>
            </w:pPr>
            <w:r>
              <w:rPr>
                <w:rFonts w:eastAsia="Arial" w:cs="Arial"/>
                <w:color w:val="374151"/>
                <w:sz w:val="18"/>
                <w:szCs w:val="18"/>
              </w:rPr>
              <w:t xml:space="preserve">•  </w:t>
            </w:r>
            <w:r>
              <w:rPr>
                <w:rFonts w:eastAsia="Arial" w:cs="Arial"/>
                <w:color w:val="374151"/>
                <w:sz w:val="18"/>
                <w:szCs w:val="18"/>
              </w:rPr>
              <w:t>Direttiva EPBD 2024: riqualificazione obbligatoria</w:t>
            </w:r>
          </w:p>
          <w:p>
            <w:pPr>
              <w:pStyle w:val="Normal"/>
              <w:spacing w:before="40" w:after="40"/>
              <w:rPr/>
            </w:pPr>
            <w:r>
              <w:rPr>
                <w:rFonts w:eastAsia="Arial" w:cs="Arial"/>
                <w:color w:val="374151"/>
                <w:sz w:val="18"/>
                <w:szCs w:val="18"/>
              </w:rPr>
              <w:t xml:space="preserve">•  </w:t>
            </w:r>
            <w:r>
              <w:rPr>
                <w:rFonts w:eastAsia="Arial" w:cs="Arial"/>
                <w:color w:val="374151"/>
                <w:sz w:val="18"/>
                <w:szCs w:val="18"/>
              </w:rPr>
              <w:t>Piano Transizione 5.0: credito d'imposta 45%</w:t>
            </w:r>
          </w:p>
          <w:p>
            <w:pPr>
              <w:pStyle w:val="Normal"/>
              <w:spacing w:before="40" w:after="40"/>
              <w:rPr/>
            </w:pPr>
            <w:r>
              <w:rPr>
                <w:rFonts w:eastAsia="Arial" w:cs="Arial"/>
                <w:color w:val="374151"/>
                <w:sz w:val="18"/>
                <w:szCs w:val="18"/>
              </w:rPr>
              <w:t xml:space="preserve">•  </w:t>
            </w:r>
            <w:r>
              <w:rPr>
                <w:rFonts w:eastAsia="Arial" w:cs="Arial"/>
                <w:color w:val="374151"/>
                <w:sz w:val="18"/>
                <w:szCs w:val="18"/>
              </w:rPr>
              <w:t>PNRR: 6 miliardi per riqualificazione edifici pubblici</w:t>
            </w:r>
          </w:p>
          <w:p>
            <w:pPr>
              <w:pStyle w:val="Normal"/>
              <w:spacing w:before="40" w:after="40"/>
              <w:rPr/>
            </w:pPr>
            <w:r>
              <w:rPr>
                <w:rFonts w:eastAsia="Arial" w:cs="Arial"/>
                <w:color w:val="374151"/>
                <w:sz w:val="18"/>
                <w:szCs w:val="18"/>
              </w:rPr>
              <w:t xml:space="preserve">•  </w:t>
            </w:r>
            <w:r>
              <w:rPr>
                <w:rFonts w:eastAsia="Arial" w:cs="Arial"/>
                <w:color w:val="374151"/>
                <w:sz w:val="18"/>
                <w:szCs w:val="18"/>
              </w:rPr>
              <w:t>Crescita IoT industriale +18% annuo in Italia</w:t>
            </w:r>
          </w:p>
          <w:p>
            <w:pPr>
              <w:pStyle w:val="Normal"/>
              <w:spacing w:before="40" w:after="40"/>
              <w:rPr/>
            </w:pPr>
            <w:r>
              <w:rPr>
                <w:rFonts w:eastAsia="Arial" w:cs="Arial"/>
                <w:color w:val="374151"/>
                <w:sz w:val="18"/>
                <w:szCs w:val="18"/>
              </w:rPr>
              <w:t xml:space="preserve">•  </w:t>
            </w:r>
            <w:r>
              <w:rPr>
                <w:rFonts w:eastAsia="Arial" w:cs="Arial"/>
                <w:color w:val="374151"/>
                <w:sz w:val="18"/>
                <w:szCs w:val="18"/>
              </w:rPr>
              <w:t>Espansione verso AI Building Intelligence (2026-28)</w:t>
            </w:r>
          </w:p>
          <w:p>
            <w:pPr>
              <w:pStyle w:val="Normal"/>
              <w:spacing w:before="40" w:after="40"/>
              <w:rPr/>
            </w:pPr>
            <w:r>
              <w:rPr>
                <w:rFonts w:eastAsia="Arial" w:cs="Arial"/>
                <w:color w:val="374151"/>
                <w:sz w:val="18"/>
                <w:szCs w:val="18"/>
              </w:rPr>
              <w:t xml:space="preserve">•  </w:t>
            </w:r>
            <w:r>
              <w:rPr>
                <w:rFonts w:eastAsia="Arial" w:cs="Arial"/>
                <w:color w:val="374151"/>
                <w:sz w:val="18"/>
                <w:szCs w:val="18"/>
              </w:rPr>
              <w:t>Accordi con studi di architettura come partner tecnico</w:t>
            </w:r>
          </w:p>
        </w:tc>
        <w:tc>
          <w:tcPr>
            <w:tcW w:w="4818" w:type="dxa"/>
            <w:tcBorders>
              <w:top w:val="single" w:sz="2" w:space="0" w:color="E5E7EB"/>
              <w:left w:val="single" w:sz="2" w:space="0" w:color="E5E7EB"/>
              <w:bottom w:val="single" w:sz="2" w:space="0" w:color="E5E7EB"/>
              <w:right w:val="single" w:sz="2" w:space="0" w:color="E5E7EB"/>
            </w:tcBorders>
            <w:shd w:fill="FEE2E2" w:val="clear"/>
          </w:tcPr>
          <w:p>
            <w:pPr>
              <w:pStyle w:val="Normal"/>
              <w:spacing w:before="40" w:after="40"/>
              <w:rPr/>
            </w:pPr>
            <w:r>
              <w:rPr>
                <w:rFonts w:eastAsia="Arial" w:cs="Arial"/>
                <w:color w:val="374151"/>
                <w:sz w:val="18"/>
                <w:szCs w:val="18"/>
              </w:rPr>
              <w:t xml:space="preserve">•  </w:t>
            </w:r>
            <w:r>
              <w:rPr>
                <w:rFonts w:eastAsia="Arial" w:cs="Arial"/>
                <w:color w:val="374151"/>
                <w:sz w:val="18"/>
                <w:szCs w:val="18"/>
              </w:rPr>
              <w:t>Concorrenza da grandi integratori nazionali</w:t>
            </w:r>
          </w:p>
          <w:p>
            <w:pPr>
              <w:pStyle w:val="Normal"/>
              <w:spacing w:before="40" w:after="40"/>
              <w:rPr/>
            </w:pPr>
            <w:r>
              <w:rPr>
                <w:rFonts w:eastAsia="Arial" w:cs="Arial"/>
                <w:color w:val="374151"/>
                <w:sz w:val="18"/>
                <w:szCs w:val="18"/>
              </w:rPr>
              <w:t xml:space="preserve">•  </w:t>
            </w:r>
            <w:r>
              <w:rPr>
                <w:rFonts w:eastAsia="Arial" w:cs="Arial"/>
                <w:color w:val="374151"/>
                <w:sz w:val="18"/>
                <w:szCs w:val="18"/>
              </w:rPr>
              <w:t>Carenza di tecnici KNX certificati sul mercato</w:t>
            </w:r>
          </w:p>
          <w:p>
            <w:pPr>
              <w:pStyle w:val="Normal"/>
              <w:spacing w:before="40" w:after="40"/>
              <w:rPr/>
            </w:pPr>
            <w:r>
              <w:rPr>
                <w:rFonts w:eastAsia="Arial" w:cs="Arial"/>
                <w:color w:val="374151"/>
                <w:sz w:val="18"/>
                <w:szCs w:val="18"/>
              </w:rPr>
              <w:t xml:space="preserve">•  </w:t>
            </w:r>
            <w:r>
              <w:rPr>
                <w:rFonts w:eastAsia="Arial" w:cs="Arial"/>
                <w:color w:val="374151"/>
                <w:sz w:val="18"/>
                <w:szCs w:val="18"/>
              </w:rPr>
              <w:t>Volatilita' prezzi materie prime (rame, semiconduttori)</w:t>
            </w:r>
          </w:p>
          <w:p>
            <w:pPr>
              <w:pStyle w:val="Normal"/>
              <w:spacing w:before="40" w:after="40"/>
              <w:rPr/>
            </w:pPr>
            <w:r>
              <w:rPr>
                <w:rFonts w:eastAsia="Arial" w:cs="Arial"/>
                <w:color w:val="374151"/>
                <w:sz w:val="18"/>
                <w:szCs w:val="18"/>
              </w:rPr>
              <w:t xml:space="preserve">•  </w:t>
            </w:r>
            <w:r>
              <w:rPr>
                <w:rFonts w:eastAsia="Arial" w:cs="Arial"/>
                <w:color w:val="374151"/>
                <w:sz w:val="18"/>
                <w:szCs w:val="18"/>
              </w:rPr>
              <w:t>Rischio cyberattacchi su impianti IoT connessi</w:t>
            </w:r>
          </w:p>
          <w:p>
            <w:pPr>
              <w:pStyle w:val="Normal"/>
              <w:spacing w:before="40" w:after="40"/>
              <w:rPr/>
            </w:pPr>
            <w:r>
              <w:rPr>
                <w:rFonts w:eastAsia="Arial" w:cs="Arial"/>
                <w:color w:val="374151"/>
                <w:sz w:val="18"/>
                <w:szCs w:val="18"/>
              </w:rPr>
              <w:t xml:space="preserve">•  </w:t>
            </w:r>
            <w:r>
              <w:rPr>
                <w:rFonts w:eastAsia="Arial" w:cs="Arial"/>
                <w:color w:val="374151"/>
                <w:sz w:val="18"/>
                <w:szCs w:val="18"/>
              </w:rPr>
              <w:t>Cambiamenti normativi su incentivi fiscali</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5. Struttura Organizzativa e Team</w:t>
      </w:r>
    </w:p>
    <w:p>
      <w:pPr>
        <w:pStyle w:val="Heading2"/>
        <w:spacing w:before="300" w:after="120"/>
        <w:rPr/>
      </w:pPr>
      <w:r>
        <w:rPr>
          <w:rFonts w:eastAsia="Arial" w:cs="Arial" w:ascii="Arial" w:hAnsi="Arial"/>
          <w:b/>
          <w:bCs/>
          <w:color w:val="0891B2"/>
          <w:sz w:val="26"/>
          <w:szCs w:val="26"/>
        </w:rPr>
        <w:t>5.1 Forma societaria e soci fondatori</w:t>
      </w:r>
    </w:p>
    <w:p>
      <w:pPr>
        <w:pStyle w:val="Normal"/>
        <w:spacing w:before="60" w:after="100"/>
        <w:jc w:val="both"/>
        <w:rPr/>
      </w:pPr>
      <w:r>
        <w:rPr>
          <w:rFonts w:eastAsia="Arial" w:cs="Arial"/>
          <w:color w:val="374151"/>
          <w:sz w:val="20"/>
          <w:szCs w:val="20"/>
        </w:rPr>
        <w:t>WiredSpace S.r.l. è costituita da 3 soci fondatori con competenze complementari che coprono le aree chiave del business: gestione tecnica, sviluppo commerciale e amministrazione aziendale. La governance è garantita da un Consiglio di Amministrazione composto dai tre soci con deleghe operative distinte.</w:t>
      </w:r>
    </w:p>
    <w:p>
      <w:pPr>
        <w:pStyle w:val="Normal"/>
        <w:spacing w:before="0" w:after="80"/>
        <w:rPr/>
      </w:pPr>
      <w:r>
        <w:rPr/>
      </w:r>
    </w:p>
    <w:tbl>
      <w:tblPr>
        <w:tblW w:w="9638" w:type="dxa"/>
        <w:jc w:val="left"/>
        <w:tblInd w:w="0" w:type="dxa"/>
        <w:tblLayout w:type="fixed"/>
        <w:tblCellMar>
          <w:top w:w="80" w:type="dxa"/>
          <w:left w:w="120" w:type="dxa"/>
          <w:bottom w:w="80" w:type="dxa"/>
          <w:right w:w="120" w:type="dxa"/>
        </w:tblCellMar>
      </w:tblPr>
      <w:tblGrid>
        <w:gridCol w:w="2200"/>
        <w:gridCol w:w="2000"/>
        <w:gridCol w:w="1799"/>
        <w:gridCol w:w="3638"/>
      </w:tblGrid>
      <w:tr>
        <w:trPr/>
        <w:tc>
          <w:tcPr>
            <w:tcW w:w="22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Socio</w:t>
            </w:r>
          </w:p>
        </w:tc>
        <w:tc>
          <w:tcPr>
            <w:tcW w:w="2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Ruolo</w:t>
            </w:r>
          </w:p>
        </w:tc>
        <w:tc>
          <w:tcPr>
            <w:tcW w:w="17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Quota</w:t>
            </w:r>
          </w:p>
        </w:tc>
        <w:tc>
          <w:tcPr>
            <w:tcW w:w="3638"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Competenze</w:t>
            </w:r>
          </w:p>
        </w:tc>
      </w:tr>
      <w:tr>
        <w:trPr/>
        <w:tc>
          <w:tcPr>
            <w:tcW w:w="2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Padovani Aurora</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CEO &amp; CTO</w:t>
            </w:r>
          </w:p>
        </w:tc>
        <w:tc>
          <w:tcPr>
            <w:tcW w:w="1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40%</w:t>
            </w:r>
          </w:p>
        </w:tc>
        <w:tc>
          <w:tcPr>
            <w:tcW w:w="36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15 anni impianti KNX, certificatore KNX Partner</w:t>
            </w:r>
          </w:p>
        </w:tc>
      </w:tr>
      <w:tr>
        <w:trPr/>
        <w:tc>
          <w:tcPr>
            <w:tcW w:w="2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Paul Bianca</w:t>
            </w:r>
          </w:p>
        </w:tc>
        <w:tc>
          <w:tcPr>
            <w:tcW w:w="2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CCO &amp; CFO</w:t>
            </w:r>
          </w:p>
        </w:tc>
        <w:tc>
          <w:tcPr>
            <w:tcW w:w="1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35%</w:t>
            </w:r>
          </w:p>
        </w:tc>
        <w:tc>
          <w:tcPr>
            <w:tcW w:w="36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Commerciale B2B, 10 anni settore building automation</w:t>
            </w:r>
          </w:p>
        </w:tc>
      </w:tr>
      <w:tr>
        <w:trPr/>
        <w:tc>
          <w:tcPr>
            <w:tcW w:w="2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Rathugamage Piyumi</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COO &amp; Dev</w:t>
            </w:r>
          </w:p>
        </w:tc>
        <w:tc>
          <w:tcPr>
            <w:tcW w:w="1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25%</w:t>
            </w:r>
          </w:p>
        </w:tc>
        <w:tc>
          <w:tcPr>
            <w:tcW w:w="36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Sviluppo software IoT, progetto web GPOI</w:t>
            </w:r>
          </w:p>
        </w:tc>
      </w:tr>
    </w:tbl>
    <w:p>
      <w:pPr>
        <w:pStyle w:val="Heading2"/>
        <w:spacing w:before="300" w:after="120"/>
        <w:rPr/>
      </w:pPr>
      <w:r>
        <w:rPr>
          <w:rFonts w:eastAsia="Arial" w:cs="Arial" w:ascii="Arial" w:hAnsi="Arial"/>
          <w:b/>
          <w:bCs/>
          <w:color w:val="0891B2"/>
          <w:sz w:val="26"/>
          <w:szCs w:val="26"/>
        </w:rPr>
        <w:t>5.2 Organico e piano assunzioni</w:t>
      </w:r>
    </w:p>
    <w:tbl>
      <w:tblPr>
        <w:tblW w:w="9638" w:type="dxa"/>
        <w:jc w:val="left"/>
        <w:tblInd w:w="0" w:type="dxa"/>
        <w:tblLayout w:type="fixed"/>
        <w:tblCellMar>
          <w:top w:w="80" w:type="dxa"/>
          <w:left w:w="120" w:type="dxa"/>
          <w:bottom w:w="80" w:type="dxa"/>
          <w:right w:w="120" w:type="dxa"/>
        </w:tblCellMar>
      </w:tblPr>
      <w:tblGrid>
        <w:gridCol w:w="3499"/>
        <w:gridCol w:w="2001"/>
        <w:gridCol w:w="2000"/>
        <w:gridCol w:w="2137"/>
      </w:tblGrid>
      <w:tr>
        <w:trPr/>
        <w:tc>
          <w:tcPr>
            <w:tcW w:w="34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Figura professionale</w:t>
            </w:r>
          </w:p>
        </w:tc>
        <w:tc>
          <w:tcPr>
            <w:tcW w:w="2001"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Anno 1 (2025)</w:t>
            </w:r>
          </w:p>
        </w:tc>
        <w:tc>
          <w:tcPr>
            <w:tcW w:w="2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Anno 2 (2026)</w:t>
            </w:r>
          </w:p>
        </w:tc>
        <w:tc>
          <w:tcPr>
            <w:tcW w:w="2137"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Anno 3 (2027)</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Tecnici KNX installatori</w:t>
            </w:r>
          </w:p>
        </w:tc>
        <w:tc>
          <w:tcPr>
            <w:tcW w:w="2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 FTE</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4 FTE</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6 FTE</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Project Manager</w:t>
            </w:r>
          </w:p>
        </w:tc>
        <w:tc>
          <w:tcPr>
            <w:tcW w:w="2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1 FTE (socio)</w:t>
            </w:r>
          </w:p>
        </w:tc>
        <w:tc>
          <w:tcPr>
            <w:tcW w:w="2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2 FTE</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 FTE</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Sviluppatore software / IoT</w:t>
            </w:r>
          </w:p>
        </w:tc>
        <w:tc>
          <w:tcPr>
            <w:tcW w:w="2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 FTE (socio)</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 FTE</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3 FTE</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Commerciale / Account Manager</w:t>
            </w:r>
          </w:p>
        </w:tc>
        <w:tc>
          <w:tcPr>
            <w:tcW w:w="2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1 FTE (socio)</w:t>
            </w:r>
          </w:p>
        </w:tc>
        <w:tc>
          <w:tcPr>
            <w:tcW w:w="2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2 FTE</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 FTE</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Amministrazione e supporto</w:t>
            </w:r>
          </w:p>
        </w:tc>
        <w:tc>
          <w:tcPr>
            <w:tcW w:w="2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w:t>
            </w:r>
          </w:p>
        </w:tc>
        <w:tc>
          <w:tcPr>
            <w:tcW w:w="2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 FTE</w:t>
            </w:r>
          </w:p>
        </w:tc>
        <w:tc>
          <w:tcPr>
            <w:tcW w:w="21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 FTE</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TOTALE dipendenti + soci</w:t>
            </w:r>
          </w:p>
        </w:tc>
        <w:tc>
          <w:tcPr>
            <w:tcW w:w="2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3 + 2 = 5</w:t>
            </w:r>
          </w:p>
        </w:tc>
        <w:tc>
          <w:tcPr>
            <w:tcW w:w="2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3 + 8 = 11</w:t>
            </w:r>
          </w:p>
        </w:tc>
        <w:tc>
          <w:tcPr>
            <w:tcW w:w="21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3 + 13 = 16</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6. Piano dei Servizi e Offerta Commerciale</w:t>
      </w:r>
    </w:p>
    <w:p>
      <w:pPr>
        <w:pStyle w:val="Heading2"/>
        <w:spacing w:before="300" w:after="120"/>
        <w:rPr/>
      </w:pPr>
      <w:r>
        <w:rPr>
          <w:rFonts w:eastAsia="Arial" w:cs="Arial" w:ascii="Arial" w:hAnsi="Arial"/>
          <w:b/>
          <w:bCs/>
          <w:color w:val="0891B2"/>
          <w:sz w:val="26"/>
          <w:szCs w:val="26"/>
        </w:rPr>
        <w:t>6.1 Catalogo servizi</w:t>
      </w:r>
    </w:p>
    <w:tbl>
      <w:tblPr>
        <w:tblW w:w="9638" w:type="dxa"/>
        <w:jc w:val="left"/>
        <w:tblInd w:w="0" w:type="dxa"/>
        <w:tblLayout w:type="fixed"/>
        <w:tblCellMar>
          <w:top w:w="80" w:type="dxa"/>
          <w:left w:w="120" w:type="dxa"/>
          <w:bottom w:w="80" w:type="dxa"/>
          <w:right w:w="120" w:type="dxa"/>
        </w:tblCellMar>
      </w:tblPr>
      <w:tblGrid>
        <w:gridCol w:w="2799"/>
        <w:gridCol w:w="4000"/>
        <w:gridCol w:w="2839"/>
      </w:tblGrid>
      <w:tr>
        <w:trPr/>
        <w:tc>
          <w:tcPr>
            <w:tcW w:w="27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Servizio</w:t>
            </w:r>
          </w:p>
        </w:tc>
        <w:tc>
          <w:tcPr>
            <w:tcW w:w="4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Descrizione</w:t>
            </w:r>
          </w:p>
        </w:tc>
        <w:tc>
          <w:tcPr>
            <w:tcW w:w="283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Valore contratto medio</w:t>
            </w:r>
          </w:p>
        </w:tc>
      </w:tr>
      <w:tr>
        <w:trPr/>
        <w:tc>
          <w:tcPr>
            <w:tcW w:w="2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Domotica Integrata KNX</w:t>
            </w:r>
          </w:p>
        </w:tc>
        <w:tc>
          <w:tcPr>
            <w:tcW w:w="4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Impianto completo KNX con programmazione ETS6, touchscreen, app mobile</w:t>
            </w:r>
          </w:p>
        </w:tc>
        <w:tc>
          <w:tcPr>
            <w:tcW w:w="283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35.000 – 80.000</w:t>
            </w:r>
          </w:p>
        </w:tc>
      </w:tr>
      <w:tr>
        <w:trPr/>
        <w:tc>
          <w:tcPr>
            <w:tcW w:w="2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Sicurezza e Controllo Accessi</w:t>
            </w:r>
          </w:p>
        </w:tc>
        <w:tc>
          <w:tcPr>
            <w:tcW w:w="4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TVCC IP, antintrusione, controllo accessi biometrico integrato KNX</w:t>
            </w:r>
          </w:p>
        </w:tc>
        <w:tc>
          <w:tcPr>
            <w:tcW w:w="283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15.000 – 45.000</w:t>
            </w:r>
          </w:p>
        </w:tc>
      </w:tr>
      <w:tr>
        <w:trPr/>
        <w:tc>
          <w:tcPr>
            <w:tcW w:w="2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Efficienza Energetica</w:t>
            </w:r>
          </w:p>
        </w:tc>
        <w:tc>
          <w:tcPr>
            <w:tcW w:w="4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Energy management, monitoraggio consumi, ottimizzazione automatica</w:t>
            </w:r>
          </w:p>
        </w:tc>
        <w:tc>
          <w:tcPr>
            <w:tcW w:w="283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20.000 – 60.000</w:t>
            </w:r>
          </w:p>
        </w:tc>
      </w:tr>
      <w:tr>
        <w:trPr/>
        <w:tc>
          <w:tcPr>
            <w:tcW w:w="2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Audio e Video Multiroom</w:t>
            </w:r>
          </w:p>
        </w:tc>
        <w:tc>
          <w:tcPr>
            <w:tcW w:w="4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Sistema audio IP distribuzione, videoconferenza, sale riunioni smart</w:t>
            </w:r>
          </w:p>
        </w:tc>
        <w:tc>
          <w:tcPr>
            <w:tcW w:w="283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8.000 – 25.000</w:t>
            </w:r>
          </w:p>
        </w:tc>
      </w:tr>
      <w:tr>
        <w:trPr/>
        <w:tc>
          <w:tcPr>
            <w:tcW w:w="2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Reti e Infrastrutture</w:t>
            </w:r>
          </w:p>
        </w:tc>
        <w:tc>
          <w:tcPr>
            <w:tcW w:w="4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Wi-Fi 6 enterprise, cablaggio strutturato Cat.6A, PoE switching</w:t>
            </w:r>
          </w:p>
        </w:tc>
        <w:tc>
          <w:tcPr>
            <w:tcW w:w="283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12.000 – 40.000</w:t>
            </w:r>
          </w:p>
        </w:tc>
      </w:tr>
      <w:tr>
        <w:trPr/>
        <w:tc>
          <w:tcPr>
            <w:tcW w:w="2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Manutenzione H24</w:t>
            </w:r>
          </w:p>
        </w:tc>
        <w:tc>
          <w:tcPr>
            <w:tcW w:w="4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Contratto annuale: assistenza remota, aggiornamenti, visite periodiche</w:t>
            </w:r>
          </w:p>
        </w:tc>
        <w:tc>
          <w:tcPr>
            <w:tcW w:w="283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3.000 – 8.000/anno</w:t>
            </w:r>
          </w:p>
        </w:tc>
      </w:tr>
    </w:tbl>
    <w:p>
      <w:pPr>
        <w:pStyle w:val="Heading2"/>
        <w:spacing w:before="300" w:after="120"/>
        <w:rPr/>
      </w:pPr>
      <w:r>
        <w:rPr>
          <w:rFonts w:eastAsia="Arial" w:cs="Arial" w:ascii="Arial" w:hAnsi="Arial"/>
          <w:b/>
          <w:bCs/>
          <w:color w:val="0891B2"/>
          <w:sz w:val="26"/>
          <w:szCs w:val="26"/>
        </w:rPr>
        <w:t>6.2 Modello di pricing</w:t>
      </w:r>
    </w:p>
    <w:p>
      <w:pPr>
        <w:pStyle w:val="ListParagraph"/>
        <w:numPr>
          <w:ilvl w:val="0"/>
          <w:numId w:val="1"/>
        </w:numPr>
        <w:spacing w:before="40" w:after="60"/>
        <w:rPr/>
      </w:pPr>
      <w:r>
        <w:rPr>
          <w:rFonts w:eastAsia="Arial" w:cs="Arial"/>
          <w:b w:val="false"/>
          <w:bCs w:val="false"/>
          <w:color w:val="374151"/>
          <w:sz w:val="20"/>
          <w:szCs w:val="20"/>
        </w:rPr>
        <w:t>Contratti chiavi in mano: preventivo fisso con milestone di pagamento (30% avanzamento, 40% collaudo, 30% consegna)</w:t>
      </w:r>
    </w:p>
    <w:p>
      <w:pPr>
        <w:pStyle w:val="ListParagraph"/>
        <w:numPr>
          <w:ilvl w:val="0"/>
          <w:numId w:val="1"/>
        </w:numPr>
        <w:spacing w:before="40" w:after="60"/>
        <w:rPr/>
      </w:pPr>
      <w:r>
        <w:rPr>
          <w:rFonts w:eastAsia="Arial" w:cs="Arial"/>
          <w:b w:val="false"/>
          <w:bCs w:val="false"/>
          <w:color w:val="374151"/>
          <w:sz w:val="20"/>
          <w:szCs w:val="20"/>
        </w:rPr>
        <w:t>Abbonamento manutenzione: canone mensile ricorrente — obiettivo MRR di 25.000 euro entro anno 2</w:t>
      </w:r>
    </w:p>
    <w:p>
      <w:pPr>
        <w:pStyle w:val="ListParagraph"/>
        <w:numPr>
          <w:ilvl w:val="0"/>
          <w:numId w:val="1"/>
        </w:numPr>
        <w:spacing w:before="40" w:after="60"/>
        <w:rPr/>
      </w:pPr>
      <w:r>
        <w:rPr>
          <w:rFonts w:eastAsia="Arial" w:cs="Arial"/>
          <w:b w:val="false"/>
          <w:bCs w:val="false"/>
          <w:color w:val="374151"/>
          <w:sz w:val="20"/>
          <w:szCs w:val="20"/>
        </w:rPr>
        <w:t>SaaS dashboard IoT: accesso piattaforma 9,90 €/mese/impianto (upselling post-installazione)</w:t>
      </w:r>
    </w:p>
    <w:p>
      <w:pPr>
        <w:pStyle w:val="ListParagraph"/>
        <w:numPr>
          <w:ilvl w:val="0"/>
          <w:numId w:val="1"/>
        </w:numPr>
        <w:spacing w:before="40" w:after="60"/>
        <w:rPr/>
      </w:pPr>
      <w:r>
        <w:rPr>
          <w:rFonts w:eastAsia="Arial" w:cs="Arial"/>
          <w:b w:val="false"/>
          <w:bCs w:val="false"/>
          <w:color w:val="374151"/>
          <w:sz w:val="20"/>
          <w:szCs w:val="20"/>
        </w:rPr>
        <w:t>Consulenza KNX: 95 €/ora per audit energetici e perizie tecniche</w:t>
      </w:r>
    </w:p>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7. Piano di Marketing e Commerciale</w:t>
      </w:r>
    </w:p>
    <w:p>
      <w:pPr>
        <w:pStyle w:val="Heading2"/>
        <w:spacing w:before="300" w:after="120"/>
        <w:rPr/>
      </w:pPr>
      <w:r>
        <w:rPr>
          <w:rFonts w:eastAsia="Arial" w:cs="Arial" w:ascii="Arial" w:hAnsi="Arial"/>
          <w:b/>
          <w:bCs/>
          <w:color w:val="0891B2"/>
          <w:sz w:val="26"/>
          <w:szCs w:val="26"/>
        </w:rPr>
        <w:t>7.1 Strategia di posizionamento</w:t>
      </w:r>
    </w:p>
    <w:p>
      <w:pPr>
        <w:pStyle w:val="Normal"/>
        <w:spacing w:before="60" w:after="100"/>
        <w:jc w:val="both"/>
        <w:rPr/>
      </w:pPr>
      <w:r>
        <w:rPr>
          <w:rFonts w:eastAsia="Arial" w:cs="Arial"/>
          <w:color w:val="374151"/>
          <w:sz w:val="20"/>
          <w:szCs w:val="20"/>
        </w:rPr>
        <w:t>WiredSpace adotta un posizionamento premium-certificato, puntando sulla qualità tecnica documentabile (certificazione KNX, ISO 9001, referenze verificabili) piuttosto che sul prezzo. Il cliente ideale è il Facility Manager o il titolare di PMI che vuole massimizzare il ROI dell'investimento energetico, non minimizzare il costo iniziale.</w:t>
      </w:r>
    </w:p>
    <w:p>
      <w:pPr>
        <w:pStyle w:val="Heading2"/>
        <w:spacing w:before="300" w:after="120"/>
        <w:rPr/>
      </w:pPr>
      <w:r>
        <w:rPr>
          <w:rFonts w:eastAsia="Arial" w:cs="Arial" w:ascii="Arial" w:hAnsi="Arial"/>
          <w:b/>
          <w:bCs/>
          <w:color w:val="0891B2"/>
          <w:sz w:val="26"/>
          <w:szCs w:val="26"/>
        </w:rPr>
        <w:t>7.2 Canali di acquisizione clienti</w:t>
      </w:r>
    </w:p>
    <w:tbl>
      <w:tblPr>
        <w:tblW w:w="9638" w:type="dxa"/>
        <w:jc w:val="left"/>
        <w:tblInd w:w="0" w:type="dxa"/>
        <w:tblLayout w:type="fixed"/>
        <w:tblCellMar>
          <w:top w:w="80" w:type="dxa"/>
          <w:left w:w="120" w:type="dxa"/>
          <w:bottom w:w="80" w:type="dxa"/>
          <w:right w:w="120" w:type="dxa"/>
        </w:tblCellMar>
      </w:tblPr>
      <w:tblGrid>
        <w:gridCol w:w="2500"/>
        <w:gridCol w:w="3499"/>
        <w:gridCol w:w="1801"/>
        <w:gridCol w:w="1837"/>
      </w:tblGrid>
      <w:tr>
        <w:trPr/>
        <w:tc>
          <w:tcPr>
            <w:tcW w:w="25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Canale</w:t>
            </w:r>
          </w:p>
        </w:tc>
        <w:tc>
          <w:tcPr>
            <w:tcW w:w="34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Azioni</w:t>
            </w:r>
          </w:p>
        </w:tc>
        <w:tc>
          <w:tcPr>
            <w:tcW w:w="1801"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Budget annuo</w:t>
            </w:r>
          </w:p>
        </w:tc>
        <w:tc>
          <w:tcPr>
            <w:tcW w:w="1837"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KPI target</w:t>
            </w:r>
          </w:p>
        </w:tc>
      </w:tr>
      <w:tr>
        <w:trPr/>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Sito Web + SEO</w:t>
            </w:r>
          </w:p>
        </w:tc>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Blog tecnico, schede servizi ottimizzate, preventivo online</w:t>
            </w:r>
          </w:p>
        </w:tc>
        <w:tc>
          <w:tcPr>
            <w:tcW w:w="18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6.000</w:t>
            </w:r>
          </w:p>
        </w:tc>
        <w:tc>
          <w:tcPr>
            <w:tcW w:w="18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800 visite/mese</w:t>
            </w:r>
          </w:p>
        </w:tc>
      </w:tr>
      <w:tr>
        <w:trPr/>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LinkedIn B2B</w:t>
            </w:r>
          </w:p>
        </w:tc>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Contenuti tecnici, casi studio, targeting Facility Manager</w:t>
            </w:r>
          </w:p>
        </w:tc>
        <w:tc>
          <w:tcPr>
            <w:tcW w:w="18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4.800</w:t>
            </w:r>
          </w:p>
        </w:tc>
        <w:tc>
          <w:tcPr>
            <w:tcW w:w="18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50 lead/trimestre</w:t>
            </w:r>
          </w:p>
        </w:tc>
      </w:tr>
      <w:tr>
        <w:trPr/>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Partnership studi arch.</w:t>
            </w:r>
          </w:p>
        </w:tc>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Accordi referral con 5 studi architettura e ingegneria BS-MI</w:t>
            </w:r>
          </w:p>
        </w:tc>
        <w:tc>
          <w:tcPr>
            <w:tcW w:w="18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2.400</w:t>
            </w:r>
          </w:p>
        </w:tc>
        <w:tc>
          <w:tcPr>
            <w:tcW w:w="18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8 referral/anno</w:t>
            </w:r>
          </w:p>
        </w:tc>
      </w:tr>
      <w:tr>
        <w:trPr/>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Fiere di settore</w:t>
            </w:r>
          </w:p>
        </w:tc>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MCE Milano, Klimahouse Bolzano, Smart Building Expo</w:t>
            </w:r>
          </w:p>
        </w:tc>
        <w:tc>
          <w:tcPr>
            <w:tcW w:w="18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9.000</w:t>
            </w:r>
          </w:p>
        </w:tc>
        <w:tc>
          <w:tcPr>
            <w:tcW w:w="18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30 contatti/fiera</w:t>
            </w:r>
          </w:p>
        </w:tc>
      </w:tr>
      <w:tr>
        <w:trPr/>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Google Ads</w:t>
            </w:r>
          </w:p>
        </w:tc>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Campagne su keyword domotica B2B, Brescia + hinterland</w:t>
            </w:r>
          </w:p>
        </w:tc>
        <w:tc>
          <w:tcPr>
            <w:tcW w:w="18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6.000</w:t>
            </w:r>
          </w:p>
        </w:tc>
        <w:tc>
          <w:tcPr>
            <w:tcW w:w="18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25 lead/mese</w:t>
            </w:r>
          </w:p>
        </w:tc>
      </w:tr>
      <w:tr>
        <w:trPr/>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TOTALE Marketing</w:t>
            </w:r>
          </w:p>
        </w:tc>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
          </w:p>
        </w:tc>
        <w:tc>
          <w:tcPr>
            <w:tcW w:w="18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28.200/anno</w:t>
            </w:r>
          </w:p>
        </w:tc>
        <w:tc>
          <w:tcPr>
            <w:tcW w:w="18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
          </w:p>
        </w:tc>
      </w:tr>
    </w:tbl>
    <w:p>
      <w:pPr>
        <w:pStyle w:val="Heading2"/>
        <w:spacing w:before="300" w:after="120"/>
        <w:rPr/>
      </w:pPr>
      <w:r>
        <w:rPr>
          <w:rFonts w:eastAsia="Arial" w:cs="Arial" w:ascii="Arial" w:hAnsi="Arial"/>
          <w:b/>
          <w:bCs/>
          <w:color w:val="0891B2"/>
          <w:sz w:val="26"/>
          <w:szCs w:val="26"/>
        </w:rPr>
        <w:t>7.3 Funnel commerciale</w:t>
      </w:r>
    </w:p>
    <w:p>
      <w:pPr>
        <w:pStyle w:val="ListParagraph"/>
        <w:numPr>
          <w:ilvl w:val="0"/>
          <w:numId w:val="1"/>
        </w:numPr>
        <w:spacing w:before="40" w:after="60"/>
        <w:rPr/>
      </w:pPr>
      <w:r>
        <w:rPr>
          <w:rFonts w:eastAsia="Arial" w:cs="Arial"/>
          <w:b w:val="false"/>
          <w:bCs w:val="false"/>
          <w:color w:val="374151"/>
          <w:sz w:val="20"/>
          <w:szCs w:val="20"/>
        </w:rPr>
        <w:t>Awareness: contenuti SEO + LinkedIn + fiere → traffico qualificato</w:t>
      </w:r>
    </w:p>
    <w:p>
      <w:pPr>
        <w:pStyle w:val="ListParagraph"/>
        <w:numPr>
          <w:ilvl w:val="0"/>
          <w:numId w:val="1"/>
        </w:numPr>
        <w:spacing w:before="40" w:after="60"/>
        <w:rPr/>
      </w:pPr>
      <w:r>
        <w:rPr>
          <w:rFonts w:eastAsia="Arial" w:cs="Arial"/>
          <w:b w:val="false"/>
          <w:bCs w:val="false"/>
          <w:color w:val="374151"/>
          <w:sz w:val="20"/>
          <w:szCs w:val="20"/>
        </w:rPr>
        <w:t>Lead generation: form preventivo online + callback entro 2 ore lavorative</w:t>
      </w:r>
    </w:p>
    <w:p>
      <w:pPr>
        <w:pStyle w:val="ListParagraph"/>
        <w:numPr>
          <w:ilvl w:val="0"/>
          <w:numId w:val="1"/>
        </w:numPr>
        <w:spacing w:before="40" w:after="60"/>
        <w:rPr/>
      </w:pPr>
      <w:r>
        <w:rPr>
          <w:rFonts w:eastAsia="Arial" w:cs="Arial"/>
          <w:b w:val="false"/>
          <w:bCs w:val="false"/>
          <w:color w:val="374151"/>
          <w:sz w:val="20"/>
          <w:szCs w:val="20"/>
        </w:rPr>
        <w:t>Qualificazione: sopralluogo gratuito entro 5 giorni lavorativi</w:t>
      </w:r>
    </w:p>
    <w:p>
      <w:pPr>
        <w:pStyle w:val="ListParagraph"/>
        <w:numPr>
          <w:ilvl w:val="0"/>
          <w:numId w:val="1"/>
        </w:numPr>
        <w:spacing w:before="40" w:after="60"/>
        <w:rPr/>
      </w:pPr>
      <w:r>
        <w:rPr>
          <w:rFonts w:eastAsia="Arial" w:cs="Arial"/>
          <w:b w:val="false"/>
          <w:bCs w:val="false"/>
          <w:color w:val="374151"/>
          <w:sz w:val="20"/>
          <w:szCs w:val="20"/>
        </w:rPr>
        <w:t>Proposta: offerta tecnica + economica personalizzata entro 10 giorni</w:t>
      </w:r>
    </w:p>
    <w:p>
      <w:pPr>
        <w:pStyle w:val="ListParagraph"/>
        <w:numPr>
          <w:ilvl w:val="0"/>
          <w:numId w:val="1"/>
        </w:numPr>
        <w:spacing w:before="40" w:after="60"/>
        <w:rPr/>
      </w:pPr>
      <w:r>
        <w:rPr>
          <w:rFonts w:eastAsia="Arial" w:cs="Arial"/>
          <w:b w:val="false"/>
          <w:bCs w:val="false"/>
          <w:color w:val="374151"/>
          <w:sz w:val="20"/>
          <w:szCs w:val="20"/>
        </w:rPr>
        <w:t>Chiusura: tasso di conversione target 35% (lead qualificato → contratto)</w:t>
      </w:r>
    </w:p>
    <w:p>
      <w:pPr>
        <w:pStyle w:val="ListParagraph"/>
        <w:numPr>
          <w:ilvl w:val="0"/>
          <w:numId w:val="1"/>
        </w:numPr>
        <w:spacing w:before="40" w:after="60"/>
        <w:rPr/>
      </w:pPr>
      <w:r>
        <w:rPr>
          <w:rFonts w:eastAsia="Arial" w:cs="Arial"/>
          <w:b w:val="false"/>
          <w:bCs w:val="false"/>
          <w:color w:val="374151"/>
          <w:sz w:val="20"/>
          <w:szCs w:val="20"/>
        </w:rPr>
        <w:t>Retention: contratto manutenzione annuale + upselling piattaforma IoT</w:t>
      </w:r>
    </w:p>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8. Piano Operativo — Processo di Erogazione</w:t>
      </w:r>
    </w:p>
    <w:p>
      <w:pPr>
        <w:pStyle w:val="Heading2"/>
        <w:spacing w:before="300" w:after="120"/>
        <w:rPr/>
      </w:pPr>
      <w:r>
        <w:rPr>
          <w:rFonts w:eastAsia="Arial" w:cs="Arial" w:ascii="Arial" w:hAnsi="Arial"/>
          <w:b/>
          <w:bCs/>
          <w:color w:val="0891B2"/>
          <w:sz w:val="26"/>
          <w:szCs w:val="26"/>
        </w:rPr>
        <w:t>8.1 Processo in 5 fasi (metodologia WiredSpace)</w:t>
      </w:r>
    </w:p>
    <w:tbl>
      <w:tblPr>
        <w:tblW w:w="9638" w:type="dxa"/>
        <w:jc w:val="left"/>
        <w:tblInd w:w="0" w:type="dxa"/>
        <w:tblLayout w:type="fixed"/>
        <w:tblCellMar>
          <w:top w:w="80" w:type="dxa"/>
          <w:left w:w="120" w:type="dxa"/>
          <w:bottom w:w="80" w:type="dxa"/>
          <w:right w:w="120" w:type="dxa"/>
        </w:tblCellMar>
      </w:tblPr>
      <w:tblGrid>
        <w:gridCol w:w="600"/>
        <w:gridCol w:w="2499"/>
        <w:gridCol w:w="3501"/>
        <w:gridCol w:w="3037"/>
      </w:tblGrid>
      <w:tr>
        <w:trPr/>
        <w:tc>
          <w:tcPr>
            <w:tcW w:w="6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N.</w:t>
            </w:r>
          </w:p>
        </w:tc>
        <w:tc>
          <w:tcPr>
            <w:tcW w:w="24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Fase</w:t>
            </w:r>
          </w:p>
        </w:tc>
        <w:tc>
          <w:tcPr>
            <w:tcW w:w="3501"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Attivita' principali</w:t>
            </w:r>
          </w:p>
        </w:tc>
        <w:tc>
          <w:tcPr>
            <w:tcW w:w="3037"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Output / Deliverable</w:t>
            </w:r>
          </w:p>
        </w:tc>
      </w:tr>
      <w:tr>
        <w:trPr/>
        <w:tc>
          <w:tcPr>
            <w:tcW w:w="6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bCs/>
                <w:color w:val="1E40AF"/>
                <w:sz w:val="19"/>
                <w:szCs w:val="19"/>
              </w:rPr>
              <w:t>01</w:t>
            </w:r>
          </w:p>
        </w:tc>
        <w:tc>
          <w:tcPr>
            <w:tcW w:w="2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Sopralluogo e Analisi</w:t>
            </w:r>
          </w:p>
        </w:tc>
        <w:tc>
          <w:tcPr>
            <w:tcW w:w="35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Rilievo planimetrico, audit energetico, interviste stakeholder, analisi impianti esistenti</w:t>
            </w:r>
          </w:p>
        </w:tc>
        <w:tc>
          <w:tcPr>
            <w:tcW w:w="30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Report tecnico firmato + Piano di fattibilita'</w:t>
            </w:r>
          </w:p>
        </w:tc>
      </w:tr>
      <w:tr>
        <w:trPr/>
        <w:tc>
          <w:tcPr>
            <w:tcW w:w="6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1E40AF"/>
                <w:sz w:val="19"/>
                <w:szCs w:val="19"/>
              </w:rPr>
              <w:t>02</w:t>
            </w:r>
          </w:p>
        </w:tc>
        <w:tc>
          <w:tcPr>
            <w:tcW w:w="2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Progettazione KNX</w:t>
            </w:r>
          </w:p>
        </w:tc>
        <w:tc>
          <w:tcPr>
            <w:tcW w:w="35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Schema KNX ETS6, topologia rete, specifiche componenti, piano cavi, preventivo dettagliato</w:t>
            </w:r>
          </w:p>
        </w:tc>
        <w:tc>
          <w:tcPr>
            <w:tcW w:w="30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Progetto esecutivo + Preventivo definitivo</w:t>
            </w:r>
          </w:p>
        </w:tc>
      </w:tr>
      <w:tr>
        <w:trPr/>
        <w:tc>
          <w:tcPr>
            <w:tcW w:w="6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bCs/>
                <w:color w:val="1E40AF"/>
                <w:sz w:val="19"/>
                <w:szCs w:val="19"/>
              </w:rPr>
              <w:t>03</w:t>
            </w:r>
          </w:p>
        </w:tc>
        <w:tc>
          <w:tcPr>
            <w:tcW w:w="2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Installazione</w:t>
            </w:r>
          </w:p>
        </w:tc>
        <w:tc>
          <w:tcPr>
            <w:tcW w:w="35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Posa cavi, montaggio apparecchi KNX, configurazione ETS6, integrazione sistemi terzi</w:t>
            </w:r>
          </w:p>
        </w:tc>
        <w:tc>
          <w:tcPr>
            <w:tcW w:w="30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Impianto fisicamente installato e configurato</w:t>
            </w:r>
          </w:p>
        </w:tc>
      </w:tr>
      <w:tr>
        <w:trPr/>
        <w:tc>
          <w:tcPr>
            <w:tcW w:w="6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1E40AF"/>
                <w:sz w:val="19"/>
                <w:szCs w:val="19"/>
              </w:rPr>
              <w:t>04</w:t>
            </w:r>
          </w:p>
        </w:tc>
        <w:tc>
          <w:tcPr>
            <w:tcW w:w="2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Collaudo e Test</w:t>
            </w:r>
          </w:p>
        </w:tc>
        <w:tc>
          <w:tcPr>
            <w:tcW w:w="35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Test funzionali su ogni dispositivo, verifica scenari automatici, formazione utenti, documentazione as-built</w:t>
            </w:r>
          </w:p>
        </w:tc>
        <w:tc>
          <w:tcPr>
            <w:tcW w:w="3037"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Verbale di collaudo firmato + Manuale utente</w:t>
            </w:r>
          </w:p>
        </w:tc>
      </w:tr>
      <w:tr>
        <w:trPr/>
        <w:tc>
          <w:tcPr>
            <w:tcW w:w="6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bCs/>
                <w:color w:val="1E40AF"/>
                <w:sz w:val="19"/>
                <w:szCs w:val="19"/>
              </w:rPr>
              <w:t>05</w:t>
            </w:r>
          </w:p>
        </w:tc>
        <w:tc>
          <w:tcPr>
            <w:tcW w:w="2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Assistenza Post-Vendita</w:t>
            </w:r>
          </w:p>
        </w:tc>
        <w:tc>
          <w:tcPr>
            <w:tcW w:w="35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Monitoraggio remoto H24, manutenzione preventiva trimestrale, aggiornamenti software, helpdesk</w:t>
            </w:r>
          </w:p>
        </w:tc>
        <w:tc>
          <w:tcPr>
            <w:tcW w:w="3037"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SLA garantito 99,9% uptime — Report mensile</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9. WBS — Work Breakdown Structure</w:t>
      </w:r>
    </w:p>
    <w:p>
      <w:pPr>
        <w:pStyle w:val="Heading2"/>
        <w:spacing w:before="300" w:after="120"/>
        <w:rPr/>
      </w:pPr>
      <w:r>
        <w:rPr>
          <w:rFonts w:eastAsia="Arial" w:cs="Arial" w:ascii="Arial" w:hAnsi="Arial"/>
          <w:b/>
          <w:bCs/>
          <w:color w:val="0891B2"/>
          <w:sz w:val="26"/>
          <w:szCs w:val="26"/>
        </w:rPr>
        <w:t>Progetto: Sviluppo Sito Web Dinamico WiredSpace (GPOI 2024/2025)</w:t>
      </w:r>
    </w:p>
    <w:p>
      <w:pPr>
        <w:pStyle w:val="Normal"/>
        <w:spacing w:before="60" w:after="100"/>
        <w:jc w:val="both"/>
        <w:rPr/>
      </w:pPr>
      <w:r>
        <w:rPr>
          <w:rFonts w:eastAsia="Arial" w:cs="Arial"/>
          <w:color w:val="374151"/>
          <w:sz w:val="20"/>
          <w:szCs w:val="20"/>
        </w:rPr>
        <w:t>La WBS decompone gerarchicamente il progetto informatico in pacchetti di lavoro (Work Package) misurabili e assegnabili. Ogni WP ha un codice univoco, una durata stimata in ore e un responsabile.</w:t>
      </w:r>
    </w:p>
    <w:p>
      <w:pPr>
        <w:pStyle w:val="Normal"/>
        <w:spacing w:before="0" w:after="80"/>
        <w:rPr/>
      </w:pPr>
      <w:r>
        <w:rPr/>
      </w:r>
    </w:p>
    <w:tbl>
      <w:tblPr>
        <w:tblW w:w="9638" w:type="dxa"/>
        <w:jc w:val="left"/>
        <w:tblInd w:w="0" w:type="dxa"/>
        <w:tblLayout w:type="fixed"/>
        <w:tblCellMar>
          <w:top w:w="80" w:type="dxa"/>
          <w:left w:w="120" w:type="dxa"/>
          <w:bottom w:w="80" w:type="dxa"/>
          <w:right w:w="120" w:type="dxa"/>
        </w:tblCellMar>
      </w:tblPr>
      <w:tblGrid>
        <w:gridCol w:w="799"/>
        <w:gridCol w:w="3200"/>
        <w:gridCol w:w="2500"/>
        <w:gridCol w:w="1001"/>
        <w:gridCol w:w="2138"/>
      </w:tblGrid>
      <w:tr>
        <w:trPr/>
        <w:tc>
          <w:tcPr>
            <w:tcW w:w="7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Codice</w:t>
            </w:r>
          </w:p>
        </w:tc>
        <w:tc>
          <w:tcPr>
            <w:tcW w:w="32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Nome deliverable / Work Package</w:t>
            </w:r>
          </w:p>
        </w:tc>
        <w:tc>
          <w:tcPr>
            <w:tcW w:w="25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Descrizione</w:t>
            </w:r>
          </w:p>
        </w:tc>
        <w:tc>
          <w:tcPr>
            <w:tcW w:w="1001"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Ore</w:t>
            </w:r>
          </w:p>
        </w:tc>
        <w:tc>
          <w:tcPr>
            <w:tcW w:w="2138"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Responsabile</w:t>
            </w:r>
          </w:p>
        </w:tc>
      </w:tr>
      <w:tr>
        <w:trPr/>
        <w:tc>
          <w:tcPr>
            <w:tcW w:w="7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left"/>
              <w:rPr/>
            </w:pPr>
            <w:r>
              <w:rPr>
                <w:rFonts w:eastAsia="Arial" w:cs="Arial"/>
                <w:b/>
                <w:bCs/>
                <w:color w:val="FFFFFF"/>
                <w:sz w:val="19"/>
                <w:szCs w:val="19"/>
              </w:rPr>
              <w:t>1.0</w:t>
            </w:r>
          </w:p>
        </w:tc>
        <w:tc>
          <w:tcPr>
            <w:tcW w:w="32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left"/>
              <w:rPr/>
            </w:pPr>
            <w:r>
              <w:rPr>
                <w:rFonts w:eastAsia="Arial" w:cs="Arial"/>
                <w:b/>
                <w:bCs/>
                <w:color w:val="FFFFFF"/>
                <w:sz w:val="19"/>
                <w:szCs w:val="19"/>
              </w:rPr>
              <w:t>PROGETTO SITO WEB WIREDSPACE</w:t>
            </w:r>
          </w:p>
        </w:tc>
        <w:tc>
          <w:tcPr>
            <w:tcW w:w="25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left"/>
              <w:rPr/>
            </w:pPr>
            <w:r>
              <w:rPr>
                <w:rFonts w:eastAsia="Arial" w:cs="Arial"/>
                <w:b w:val="false"/>
                <w:bCs w:val="false"/>
                <w:color w:val="FFFFFF"/>
                <w:sz w:val="19"/>
                <w:szCs w:val="19"/>
              </w:rPr>
              <w:t>Scope complessivo progetto</w:t>
            </w:r>
          </w:p>
        </w:tc>
        <w:tc>
          <w:tcPr>
            <w:tcW w:w="1001"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9"/>
                <w:szCs w:val="19"/>
              </w:rPr>
              <w:t>168 h</w:t>
            </w:r>
          </w:p>
        </w:tc>
        <w:tc>
          <w:tcPr>
            <w:tcW w:w="2138"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left"/>
              <w:rPr/>
            </w:pPr>
            <w:r>
              <w:rPr>
                <w:rFonts w:eastAsia="Arial" w:cs="Arial"/>
                <w:b w:val="false"/>
                <w:bCs w:val="false"/>
                <w:color w:val="FFFFFF"/>
                <w:sz w:val="19"/>
                <w:szCs w:val="19"/>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1.1</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Analisi e Pianificazione</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Raccolta requisiti e pianificazione</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20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Tutto il team</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1.1.1</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Analisi dei requisiti funzionali</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Definizione pagine, DB, funzionalita'</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8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1.1.2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Progettazione database MySQL</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Schema ER, 6 tabelle, normalizzazione</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6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1.1.3</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Wireframe e prototipo UI</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Mockup pagine, design system colori</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6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G. Bresciani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1.2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Infrastruttura e Database</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Setup ambiente XAMPP e MySQL</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18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1.2.1</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Configurazione XAMPP + PHP 8</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Installazione, configurazione, test</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4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1.2.2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Creazione database wiredspace_pro</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6 tabelle: utenti, servizi, progetti, preventivi, interventi, contatti</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8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1.2.3</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Dati di esempio e seed</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Popolamento tabelle per demo</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6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1.3</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Frontend — CSS e Design</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Dark Tech Premium design system</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30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1.3.1</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Style.css — layout e componenti</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CSS variables, grid, navbar, hero</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16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1.3.2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Responsive design mobile</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Media queries, hamburger menu</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8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1.3.3</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Integrate Animate.css 4.1.1</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CDN, classi animazione, libreria esterna</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6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1.4</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JavaScript e Interattivita'</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main.js — 16 funzioni personalizzate</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28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1.4.1</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Canvas particelle hero (WebGL-like)</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Rete neurale interattiva, mouse tracking</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10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1.4.2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Counter, Reveal, Tilt 3D, Typing</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IntersectionObserver, animazioni scroll</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10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1.4.3</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Mockup dashboard interattivo</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Toggle ON/OFF, clock live, chart bars</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8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1.5</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Pagine PHP e Backend</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21 file PHP con logica PDO</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52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1.5.1</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Homepage, servizi, progetti, settori</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Pagine pubbliche con query DB</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20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1.5.2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Form preventivo, contatti, chi siamo</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Validazione server-side, sanitizzazione</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14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1.5.3</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Auth: login, register, logout</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Sessioni PHP, bcrypt, ruoli RBAC</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10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1.5.4</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Dashboard clienti e Admin panel</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KPI, tab system, CRUD operazioni</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8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1.6</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Test, Debug e Deploy</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QA completo + deploy localhost</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20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1.6.1</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Test funzionali tutte le pagine</w:t>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Cross-browser, mobile, login, form</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7"/>
                <w:szCs w:val="17"/>
              </w:rPr>
              <w:t>12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1.6.2</w:t>
            </w:r>
          </w:p>
        </w:tc>
        <w:tc>
          <w:tcPr>
            <w:tcW w:w="32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Packaging ZIP e documentazione</w:t>
            </w:r>
          </w:p>
        </w:tc>
        <w:tc>
          <w:tcPr>
            <w:tcW w:w="25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README, istruzioni deploy, database.sql</w:t>
            </w:r>
          </w:p>
        </w:tc>
        <w:tc>
          <w:tcPr>
            <w:tcW w:w="1001"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7"/>
                <w:szCs w:val="17"/>
              </w:rPr>
              <w:t>8 h</w:t>
            </w:r>
          </w:p>
        </w:tc>
        <w:tc>
          <w:tcPr>
            <w:tcW w:w="2138"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7"/>
                <w:szCs w:val="17"/>
              </w:rPr>
              <w:t>L. Martinelli</w:t>
            </w:r>
          </w:p>
        </w:tc>
      </w:tr>
      <w:tr>
        <w:trPr/>
        <w:tc>
          <w:tcPr>
            <w:tcW w:w="7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TOTALE</w:t>
            </w:r>
          </w:p>
        </w:tc>
        <w:tc>
          <w:tcPr>
            <w:tcW w:w="32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
          </w:p>
        </w:tc>
        <w:tc>
          <w:tcPr>
            <w:tcW w:w="25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Ore complessive progetto web GPOI</w:t>
            </w:r>
          </w:p>
        </w:tc>
        <w:tc>
          <w:tcPr>
            <w:tcW w:w="1001"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168 h</w:t>
            </w:r>
          </w:p>
        </w:tc>
        <w:tc>
          <w:tcPr>
            <w:tcW w:w="2138"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Team 3 persone</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10. RBS — Risk Breakdown Structure</w:t>
      </w:r>
    </w:p>
    <w:p>
      <w:pPr>
        <w:pStyle w:val="Normal"/>
        <w:spacing w:before="60" w:after="100"/>
        <w:jc w:val="both"/>
        <w:rPr/>
      </w:pPr>
      <w:r>
        <w:rPr>
          <w:rFonts w:eastAsia="Arial" w:cs="Arial"/>
          <w:color w:val="374151"/>
          <w:sz w:val="20"/>
          <w:szCs w:val="20"/>
        </w:rPr>
        <w:t>La Risk Breakdown Structure identifica, classifica e valuta i rischi del progetto su due dimensioni: probabilita' (1-5) e impatto (1-5). L'indice di rischio (IR) = P x I determina la priorita' di mitigazione. Rischi con IR &gt;= 12 richiedono piano di risposta immediato.</w:t>
      </w:r>
    </w:p>
    <w:p>
      <w:pPr>
        <w:pStyle w:val="Normal"/>
        <w:spacing w:before="0" w:after="80"/>
        <w:rPr/>
      </w:pPr>
      <w:r>
        <w:rPr/>
      </w:r>
    </w:p>
    <w:tbl>
      <w:tblPr>
        <w:tblW w:w="9638" w:type="dxa"/>
        <w:jc w:val="left"/>
        <w:tblInd w:w="0" w:type="dxa"/>
        <w:tblLayout w:type="fixed"/>
        <w:tblCellMar>
          <w:top w:w="80" w:type="dxa"/>
          <w:left w:w="120" w:type="dxa"/>
          <w:bottom w:w="80" w:type="dxa"/>
          <w:right w:w="120" w:type="dxa"/>
        </w:tblCellMar>
      </w:tblPr>
      <w:tblGrid>
        <w:gridCol w:w="545"/>
        <w:gridCol w:w="3053"/>
        <w:gridCol w:w="873"/>
        <w:gridCol w:w="872"/>
        <w:gridCol w:w="872"/>
        <w:gridCol w:w="3422"/>
      </w:tblGrid>
      <w:tr>
        <w:trPr/>
        <w:tc>
          <w:tcPr>
            <w:tcW w:w="545"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ID</w:t>
            </w:r>
          </w:p>
        </w:tc>
        <w:tc>
          <w:tcPr>
            <w:tcW w:w="3053"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Rischio</w:t>
            </w:r>
          </w:p>
        </w:tc>
        <w:tc>
          <w:tcPr>
            <w:tcW w:w="873"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Prob. (1-5)</w:t>
            </w:r>
          </w:p>
        </w:tc>
        <w:tc>
          <w:tcPr>
            <w:tcW w:w="872"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Impatto (1-5)</w:t>
            </w:r>
          </w:p>
        </w:tc>
        <w:tc>
          <w:tcPr>
            <w:tcW w:w="872"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IR</w:t>
            </w:r>
          </w:p>
        </w:tc>
        <w:tc>
          <w:tcPr>
            <w:tcW w:w="3422"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Strategia di mitigazione</w:t>
            </w:r>
          </w:p>
        </w:tc>
      </w:tr>
      <w:tr>
        <w:trPr/>
        <w:tc>
          <w:tcPr>
            <w:tcW w:w="545"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bCs/>
                <w:color w:val="1E40AF"/>
                <w:sz w:val="19"/>
                <w:szCs w:val="19"/>
              </w:rPr>
              <w:t>R1</w:t>
            </w:r>
          </w:p>
        </w:tc>
        <w:tc>
          <w:tcPr>
            <w:tcW w:w="3053"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left"/>
              <w:rPr/>
            </w:pPr>
            <w:r>
              <w:rPr>
                <w:rFonts w:eastAsia="Arial" w:cs="Arial"/>
                <w:b w:val="false"/>
                <w:bCs w:val="false"/>
                <w:color w:val="374151"/>
                <w:sz w:val="19"/>
                <w:szCs w:val="19"/>
              </w:rPr>
              <w:t>Bug critici nel codice PHP — parse error o vulnerabilita' SQL injection</w:t>
            </w:r>
          </w:p>
        </w:tc>
        <w:tc>
          <w:tcPr>
            <w:tcW w:w="873"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val="false"/>
                <w:bCs w:val="false"/>
                <w:color w:val="374151"/>
                <w:sz w:val="19"/>
                <w:szCs w:val="19"/>
              </w:rPr>
              <w:t>3</w:t>
            </w:r>
          </w:p>
        </w:tc>
        <w:tc>
          <w:tcPr>
            <w:tcW w:w="872"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val="false"/>
                <w:bCs w:val="false"/>
                <w:color w:val="374151"/>
                <w:sz w:val="19"/>
                <w:szCs w:val="19"/>
              </w:rPr>
              <w:t>4</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12</w:t>
            </w:r>
          </w:p>
        </w:tc>
        <w:tc>
          <w:tcPr>
            <w:tcW w:w="3422"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left"/>
              <w:rPr/>
            </w:pPr>
            <w:r>
              <w:rPr>
                <w:rFonts w:eastAsia="Arial" w:cs="Arial"/>
                <w:b w:val="false"/>
                <w:bCs w:val="false"/>
                <w:color w:val="374151"/>
                <w:sz w:val="19"/>
                <w:szCs w:val="19"/>
              </w:rPr>
              <w:t>Utilizzo PDO prepared statements, sanitizzazione input, test su ogni form. Code review settimanale.</w:t>
            </w:r>
          </w:p>
        </w:tc>
      </w:tr>
      <w:tr>
        <w:trPr/>
        <w:tc>
          <w:tcPr>
            <w:tcW w:w="545"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bCs/>
                <w:color w:val="1E40AF"/>
                <w:sz w:val="19"/>
                <w:szCs w:val="19"/>
              </w:rPr>
              <w:t>R2</w:t>
            </w:r>
          </w:p>
        </w:tc>
        <w:tc>
          <w:tcPr>
            <w:tcW w:w="3053"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left"/>
              <w:rPr/>
            </w:pPr>
            <w:r>
              <w:rPr>
                <w:rFonts w:eastAsia="Arial" w:cs="Arial"/>
                <w:b w:val="false"/>
                <w:bCs w:val="false"/>
                <w:color w:val="374151"/>
                <w:sz w:val="19"/>
                <w:szCs w:val="19"/>
              </w:rPr>
              <w:t>Incompatibilita' PHP/MySQL sulla macchina di valutazione</w:t>
            </w:r>
          </w:p>
        </w:tc>
        <w:tc>
          <w:tcPr>
            <w:tcW w:w="873"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val="false"/>
                <w:bCs w:val="false"/>
                <w:color w:val="374151"/>
                <w:sz w:val="19"/>
                <w:szCs w:val="19"/>
              </w:rPr>
              <w:t>3</w:t>
            </w:r>
          </w:p>
        </w:tc>
        <w:tc>
          <w:tcPr>
            <w:tcW w:w="872"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val="false"/>
                <w:bCs w:val="false"/>
                <w:color w:val="374151"/>
                <w:sz w:val="19"/>
                <w:szCs w:val="19"/>
              </w:rPr>
              <w:t>5</w:t>
            </w:r>
          </w:p>
        </w:tc>
        <w:tc>
          <w:tcPr>
            <w:tcW w:w="872"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center"/>
              <w:rPr/>
            </w:pPr>
            <w:r>
              <w:rPr>
                <w:rFonts w:eastAsia="Arial" w:cs="Arial"/>
                <w:b/>
                <w:bCs/>
                <w:color w:val="374151"/>
                <w:sz w:val="19"/>
                <w:szCs w:val="19"/>
              </w:rPr>
              <w:t>15</w:t>
            </w:r>
          </w:p>
        </w:tc>
        <w:tc>
          <w:tcPr>
            <w:tcW w:w="3422"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left"/>
              <w:rPr/>
            </w:pPr>
            <w:r>
              <w:rPr>
                <w:rFonts w:eastAsia="Arial" w:cs="Arial"/>
                <w:b w:val="false"/>
                <w:bCs w:val="false"/>
                <w:color w:val="374151"/>
                <w:sz w:val="19"/>
                <w:szCs w:val="19"/>
              </w:rPr>
              <w:t>Documentazione dettagliata requisiti (PHP 8+, MySQL 8+). File config.php con error reporting chiaro.</w:t>
            </w:r>
          </w:p>
        </w:tc>
      </w:tr>
      <w:tr>
        <w:trPr/>
        <w:tc>
          <w:tcPr>
            <w:tcW w:w="545"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bCs/>
                <w:color w:val="1E40AF"/>
                <w:sz w:val="19"/>
                <w:szCs w:val="19"/>
              </w:rPr>
              <w:t>R3</w:t>
            </w:r>
          </w:p>
        </w:tc>
        <w:tc>
          <w:tcPr>
            <w:tcW w:w="3053"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left"/>
              <w:rPr/>
            </w:pPr>
            <w:r>
              <w:rPr>
                <w:rFonts w:eastAsia="Arial" w:cs="Arial"/>
                <w:b w:val="false"/>
                <w:bCs w:val="false"/>
                <w:color w:val="374151"/>
                <w:sz w:val="19"/>
                <w:szCs w:val="19"/>
              </w:rPr>
              <w:t>CDN Animate.css non disponibile durante la demo</w:t>
            </w:r>
          </w:p>
        </w:tc>
        <w:tc>
          <w:tcPr>
            <w:tcW w:w="873"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val="false"/>
                <w:bCs w:val="false"/>
                <w:color w:val="374151"/>
                <w:sz w:val="19"/>
                <w:szCs w:val="19"/>
              </w:rPr>
              <w:t>2</w:t>
            </w:r>
          </w:p>
        </w:tc>
        <w:tc>
          <w:tcPr>
            <w:tcW w:w="872"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center"/>
              <w:rPr/>
            </w:pPr>
            <w:r>
              <w:rPr>
                <w:rFonts w:eastAsia="Arial" w:cs="Arial"/>
                <w:b w:val="false"/>
                <w:bCs w:val="false"/>
                <w:color w:val="374151"/>
                <w:sz w:val="19"/>
                <w:szCs w:val="19"/>
              </w:rPr>
              <w:t>3</w:t>
            </w:r>
          </w:p>
        </w:tc>
        <w:tc>
          <w:tcPr>
            <w:tcW w:w="87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6</w:t>
            </w:r>
          </w:p>
        </w:tc>
        <w:tc>
          <w:tcPr>
            <w:tcW w:w="3422" w:type="dxa"/>
            <w:tcBorders>
              <w:top w:val="single" w:sz="2" w:space="0" w:color="E5E7EB"/>
              <w:left w:val="single" w:sz="2" w:space="0" w:color="E5E7EB"/>
              <w:bottom w:val="single" w:sz="2" w:space="0" w:color="E5E7EB"/>
              <w:right w:val="single" w:sz="2" w:space="0" w:color="E5E7EB"/>
            </w:tcBorders>
            <w:shd w:fill="DBEAFE" w:val="clear"/>
            <w:vAlign w:val="center"/>
          </w:tcPr>
          <w:p>
            <w:pPr>
              <w:pStyle w:val="Normal"/>
              <w:jc w:val="left"/>
              <w:rPr/>
            </w:pPr>
            <w:r>
              <w:rPr>
                <w:rFonts w:eastAsia="Arial" w:cs="Arial"/>
                <w:b w:val="false"/>
                <w:bCs w:val="false"/>
                <w:color w:val="374151"/>
                <w:sz w:val="19"/>
                <w:szCs w:val="19"/>
              </w:rPr>
              <w:t>Copia locale del file CSS inclusa nel progetto come fallback.</w:t>
            </w:r>
          </w:p>
        </w:tc>
      </w:tr>
      <w:tr>
        <w:trPr/>
        <w:tc>
          <w:tcPr>
            <w:tcW w:w="545"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bCs/>
                <w:color w:val="7C3AED"/>
                <w:sz w:val="19"/>
                <w:szCs w:val="19"/>
              </w:rPr>
              <w:t>R4</w:t>
            </w:r>
          </w:p>
        </w:tc>
        <w:tc>
          <w:tcPr>
            <w:tcW w:w="3053"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left"/>
              <w:rPr/>
            </w:pPr>
            <w:r>
              <w:rPr>
                <w:rFonts w:eastAsia="Arial" w:cs="Arial"/>
                <w:b w:val="false"/>
                <w:bCs w:val="false"/>
                <w:color w:val="374151"/>
                <w:sz w:val="19"/>
                <w:szCs w:val="19"/>
              </w:rPr>
              <w:t>Slittamento delle scadenze per sottostima tempi di sviluppo</w:t>
            </w:r>
          </w:p>
        </w:tc>
        <w:tc>
          <w:tcPr>
            <w:tcW w:w="873"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val="false"/>
                <w:bCs w:val="false"/>
                <w:color w:val="374151"/>
                <w:sz w:val="19"/>
                <w:szCs w:val="19"/>
              </w:rPr>
              <w:t>4</w:t>
            </w:r>
          </w:p>
        </w:tc>
        <w:tc>
          <w:tcPr>
            <w:tcW w:w="872"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val="false"/>
                <w:bCs w:val="false"/>
                <w:color w:val="374151"/>
                <w:sz w:val="19"/>
                <w:szCs w:val="19"/>
              </w:rPr>
              <w:t>4</w:t>
            </w:r>
          </w:p>
        </w:tc>
        <w:tc>
          <w:tcPr>
            <w:tcW w:w="872"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center"/>
              <w:rPr/>
            </w:pPr>
            <w:r>
              <w:rPr>
                <w:rFonts w:eastAsia="Arial" w:cs="Arial"/>
                <w:b/>
                <w:bCs/>
                <w:color w:val="374151"/>
                <w:sz w:val="19"/>
                <w:szCs w:val="19"/>
              </w:rPr>
              <w:t>16</w:t>
            </w:r>
          </w:p>
        </w:tc>
        <w:tc>
          <w:tcPr>
            <w:tcW w:w="3422"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left"/>
              <w:rPr/>
            </w:pPr>
            <w:r>
              <w:rPr>
                <w:rFonts w:eastAsia="Arial" w:cs="Arial"/>
                <w:b w:val="false"/>
                <w:bCs w:val="false"/>
                <w:color w:val="374151"/>
                <w:sz w:val="19"/>
                <w:szCs w:val="19"/>
              </w:rPr>
              <w:t>Buffer del 20% su ogni fase del Gantt. Riunione di avanzamento settimanale. MoSCoW prioritization.</w:t>
            </w:r>
          </w:p>
        </w:tc>
      </w:tr>
      <w:tr>
        <w:trPr/>
        <w:tc>
          <w:tcPr>
            <w:tcW w:w="545"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bCs/>
                <w:color w:val="7C3AED"/>
                <w:sz w:val="19"/>
                <w:szCs w:val="19"/>
              </w:rPr>
              <w:t>R5</w:t>
            </w:r>
          </w:p>
        </w:tc>
        <w:tc>
          <w:tcPr>
            <w:tcW w:w="3053"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left"/>
              <w:rPr/>
            </w:pPr>
            <w:r>
              <w:rPr>
                <w:rFonts w:eastAsia="Arial" w:cs="Arial"/>
                <w:b w:val="false"/>
                <w:bCs w:val="false"/>
                <w:color w:val="374151"/>
                <w:sz w:val="19"/>
                <w:szCs w:val="19"/>
              </w:rPr>
              <w:t>Perdita dati database durante sviluppo</w:t>
            </w:r>
          </w:p>
        </w:tc>
        <w:tc>
          <w:tcPr>
            <w:tcW w:w="873"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val="false"/>
                <w:bCs w:val="false"/>
                <w:color w:val="374151"/>
                <w:sz w:val="19"/>
                <w:szCs w:val="19"/>
              </w:rPr>
              <w:t>2</w:t>
            </w:r>
          </w:p>
        </w:tc>
        <w:tc>
          <w:tcPr>
            <w:tcW w:w="872"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val="false"/>
                <w:bCs w:val="false"/>
                <w:color w:val="374151"/>
                <w:sz w:val="19"/>
                <w:szCs w:val="19"/>
              </w:rPr>
              <w:t>5</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10</w:t>
            </w:r>
          </w:p>
        </w:tc>
        <w:tc>
          <w:tcPr>
            <w:tcW w:w="3422"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left"/>
              <w:rPr/>
            </w:pPr>
            <w:r>
              <w:rPr>
                <w:rFonts w:eastAsia="Arial" w:cs="Arial"/>
                <w:b w:val="false"/>
                <w:bCs w:val="false"/>
                <w:color w:val="374151"/>
                <w:sz w:val="19"/>
                <w:szCs w:val="19"/>
              </w:rPr>
              <w:t>Backup quotidiano del file database.sql su cloud. Versionamento Git del progetto.</w:t>
            </w:r>
          </w:p>
        </w:tc>
      </w:tr>
      <w:tr>
        <w:trPr/>
        <w:tc>
          <w:tcPr>
            <w:tcW w:w="545"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bCs/>
                <w:color w:val="7C3AED"/>
                <w:sz w:val="19"/>
                <w:szCs w:val="19"/>
              </w:rPr>
              <w:t>R6</w:t>
            </w:r>
          </w:p>
        </w:tc>
        <w:tc>
          <w:tcPr>
            <w:tcW w:w="3053"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left"/>
              <w:rPr/>
            </w:pPr>
            <w:r>
              <w:rPr>
                <w:rFonts w:eastAsia="Arial" w:cs="Arial"/>
                <w:b w:val="false"/>
                <w:bCs w:val="false"/>
                <w:color w:val="374151"/>
                <w:sz w:val="19"/>
                <w:szCs w:val="19"/>
              </w:rPr>
              <w:t>Mancanza di coordinamento tra i 3 sviluppatori del team</w:t>
            </w:r>
          </w:p>
        </w:tc>
        <w:tc>
          <w:tcPr>
            <w:tcW w:w="873"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val="false"/>
                <w:bCs w:val="false"/>
                <w:color w:val="374151"/>
                <w:sz w:val="19"/>
                <w:szCs w:val="19"/>
              </w:rPr>
              <w:t>3</w:t>
            </w:r>
          </w:p>
        </w:tc>
        <w:tc>
          <w:tcPr>
            <w:tcW w:w="872"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center"/>
              <w:rPr/>
            </w:pPr>
            <w:r>
              <w:rPr>
                <w:rFonts w:eastAsia="Arial" w:cs="Arial"/>
                <w:b w:val="false"/>
                <w:bCs w:val="false"/>
                <w:color w:val="374151"/>
                <w:sz w:val="19"/>
                <w:szCs w:val="19"/>
              </w:rPr>
              <w:t>3</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9</w:t>
            </w:r>
          </w:p>
        </w:tc>
        <w:tc>
          <w:tcPr>
            <w:tcW w:w="3422" w:type="dxa"/>
            <w:tcBorders>
              <w:top w:val="single" w:sz="2" w:space="0" w:color="E5E7EB"/>
              <w:left w:val="single" w:sz="2" w:space="0" w:color="E5E7EB"/>
              <w:bottom w:val="single" w:sz="2" w:space="0" w:color="E5E7EB"/>
              <w:right w:val="single" w:sz="2" w:space="0" w:color="E5E7EB"/>
            </w:tcBorders>
            <w:shd w:fill="EDE9FE" w:val="clear"/>
            <w:vAlign w:val="center"/>
          </w:tcPr>
          <w:p>
            <w:pPr>
              <w:pStyle w:val="Normal"/>
              <w:jc w:val="left"/>
              <w:rPr/>
            </w:pPr>
            <w:r>
              <w:rPr>
                <w:rFonts w:eastAsia="Arial" w:cs="Arial"/>
                <w:b w:val="false"/>
                <w:bCs w:val="false"/>
                <w:color w:val="374151"/>
                <w:sz w:val="19"/>
                <w:szCs w:val="19"/>
              </w:rPr>
              <w:t>Repository Git condiviso con branch strategy. Daily stand-up di 15 minuti. Kanban board.</w:t>
            </w:r>
          </w:p>
        </w:tc>
      </w:tr>
      <w:tr>
        <w:trPr/>
        <w:tc>
          <w:tcPr>
            <w:tcW w:w="545"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065F46"/>
                <w:sz w:val="19"/>
                <w:szCs w:val="19"/>
              </w:rPr>
              <w:t>R7</w:t>
            </w:r>
          </w:p>
        </w:tc>
        <w:tc>
          <w:tcPr>
            <w:tcW w:w="3053"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Perdita di un tecnico KNX chiave nel primo anno</w:t>
            </w:r>
          </w:p>
        </w:tc>
        <w:tc>
          <w:tcPr>
            <w:tcW w:w="873"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2</w:t>
            </w:r>
          </w:p>
        </w:tc>
        <w:tc>
          <w:tcPr>
            <w:tcW w:w="87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5</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10</w:t>
            </w:r>
          </w:p>
        </w:tc>
        <w:tc>
          <w:tcPr>
            <w:tcW w:w="342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Documentazione procedurale di tutti i processi. Piano successione. Formazione incrociata tecnici.</w:t>
            </w:r>
          </w:p>
        </w:tc>
      </w:tr>
      <w:tr>
        <w:trPr/>
        <w:tc>
          <w:tcPr>
            <w:tcW w:w="545"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065F46"/>
                <w:sz w:val="19"/>
                <w:szCs w:val="19"/>
              </w:rPr>
              <w:t>R8</w:t>
            </w:r>
          </w:p>
        </w:tc>
        <w:tc>
          <w:tcPr>
            <w:tcW w:w="3053"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Ritardi nei pagamenti da parte dei clienti B2B</w:t>
            </w:r>
          </w:p>
        </w:tc>
        <w:tc>
          <w:tcPr>
            <w:tcW w:w="873"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3</w:t>
            </w:r>
          </w:p>
        </w:tc>
        <w:tc>
          <w:tcPr>
            <w:tcW w:w="87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4</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12</w:t>
            </w:r>
          </w:p>
        </w:tc>
        <w:tc>
          <w:tcPr>
            <w:tcW w:w="342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Contratti con milestone pagamento. Anticipo 30% alla firma. Fido bancario di sicurezza 50.000 euro.</w:t>
            </w:r>
          </w:p>
        </w:tc>
      </w:tr>
      <w:tr>
        <w:trPr/>
        <w:tc>
          <w:tcPr>
            <w:tcW w:w="545"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065F46"/>
                <w:sz w:val="19"/>
                <w:szCs w:val="19"/>
              </w:rPr>
              <w:t>R9</w:t>
            </w:r>
          </w:p>
        </w:tc>
        <w:tc>
          <w:tcPr>
            <w:tcW w:w="3053"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Cambiamenti normativi incentivi fiscali (Transizione 5.0)</w:t>
            </w:r>
          </w:p>
        </w:tc>
        <w:tc>
          <w:tcPr>
            <w:tcW w:w="873"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2</w:t>
            </w:r>
          </w:p>
        </w:tc>
        <w:tc>
          <w:tcPr>
            <w:tcW w:w="87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9"/>
                <w:szCs w:val="19"/>
              </w:rPr>
              <w:t>4</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8</w:t>
            </w:r>
          </w:p>
        </w:tc>
        <w:tc>
          <w:tcPr>
            <w:tcW w:w="3422"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val="false"/>
                <w:bCs w:val="false"/>
                <w:color w:val="374151"/>
                <w:sz w:val="19"/>
                <w:szCs w:val="19"/>
              </w:rPr>
              <w:t>Monitoraggio normativo trimestrale. Consulente fiscale dedicato. Diversificazione clienti.</w:t>
            </w:r>
          </w:p>
        </w:tc>
      </w:tr>
      <w:tr>
        <w:trPr/>
        <w:tc>
          <w:tcPr>
            <w:tcW w:w="545"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center"/>
              <w:rPr/>
            </w:pPr>
            <w:r>
              <w:rPr>
                <w:rFonts w:eastAsia="Arial" w:cs="Arial"/>
                <w:b/>
                <w:bCs/>
                <w:color w:val="991B1B"/>
                <w:sz w:val="19"/>
                <w:szCs w:val="19"/>
              </w:rPr>
              <w:t>R10</w:t>
            </w:r>
          </w:p>
        </w:tc>
        <w:tc>
          <w:tcPr>
            <w:tcW w:w="3053"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left"/>
              <w:rPr/>
            </w:pPr>
            <w:r>
              <w:rPr>
                <w:rFonts w:eastAsia="Arial" w:cs="Arial"/>
                <w:b w:val="false"/>
                <w:bCs w:val="false"/>
                <w:color w:val="374151"/>
                <w:sz w:val="19"/>
                <w:szCs w:val="19"/>
              </w:rPr>
              <w:t>Cyberattacco all'infrastruttura IoT dei clienti</w:t>
            </w:r>
          </w:p>
        </w:tc>
        <w:tc>
          <w:tcPr>
            <w:tcW w:w="873"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center"/>
              <w:rPr/>
            </w:pPr>
            <w:r>
              <w:rPr>
                <w:rFonts w:eastAsia="Arial" w:cs="Arial"/>
                <w:b w:val="false"/>
                <w:bCs w:val="false"/>
                <w:color w:val="374151"/>
                <w:sz w:val="19"/>
                <w:szCs w:val="19"/>
              </w:rPr>
              <w:t>2</w:t>
            </w:r>
          </w:p>
        </w:tc>
        <w:tc>
          <w:tcPr>
            <w:tcW w:w="872"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center"/>
              <w:rPr/>
            </w:pPr>
            <w:r>
              <w:rPr>
                <w:rFonts w:eastAsia="Arial" w:cs="Arial"/>
                <w:b w:val="false"/>
                <w:bCs w:val="false"/>
                <w:color w:val="374151"/>
                <w:sz w:val="19"/>
                <w:szCs w:val="19"/>
              </w:rPr>
              <w:t>5</w:t>
            </w:r>
          </w:p>
        </w:tc>
        <w:tc>
          <w:tcPr>
            <w:tcW w:w="872"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bCs/>
                <w:color w:val="374151"/>
                <w:sz w:val="19"/>
                <w:szCs w:val="19"/>
              </w:rPr>
              <w:t>10</w:t>
            </w:r>
          </w:p>
        </w:tc>
        <w:tc>
          <w:tcPr>
            <w:tcW w:w="3422"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left"/>
              <w:rPr/>
            </w:pPr>
            <w:r>
              <w:rPr>
                <w:rFonts w:eastAsia="Arial" w:cs="Arial"/>
                <w:b w:val="false"/>
                <w:bCs w:val="false"/>
                <w:color w:val="374151"/>
                <w:sz w:val="19"/>
                <w:szCs w:val="19"/>
              </w:rPr>
              <w:t>VLAN segregation, aggiornamenti firmware automatici, NIS2 compliance, assicurazione cyber.</w:t>
            </w:r>
          </w:p>
        </w:tc>
      </w:tr>
    </w:tbl>
    <w:p>
      <w:pPr>
        <w:pStyle w:val="Normal"/>
        <w:spacing w:before="0" w:after="80"/>
        <w:rPr/>
      </w:pPr>
      <w:r>
        <w:rPr/>
      </w:r>
    </w:p>
    <w:tbl>
      <w:tblPr>
        <w:tblW w:w="9638" w:type="dxa"/>
        <w:jc w:val="left"/>
        <w:tblInd w:w="0" w:type="dxa"/>
        <w:tblLayout w:type="fixed"/>
        <w:tblCellMar>
          <w:top w:w="80" w:type="dxa"/>
          <w:left w:w="120" w:type="dxa"/>
          <w:bottom w:w="80" w:type="dxa"/>
          <w:right w:w="120" w:type="dxa"/>
        </w:tblCellMar>
      </w:tblPr>
      <w:tblGrid>
        <w:gridCol w:w="1999"/>
        <w:gridCol w:w="2000"/>
        <w:gridCol w:w="2000"/>
        <w:gridCol w:w="3638"/>
      </w:tblGrid>
      <w:tr>
        <w:trPr/>
        <w:tc>
          <w:tcPr>
            <w:tcW w:w="19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IR 1-5</w:t>
            </w:r>
          </w:p>
        </w:tc>
        <w:tc>
          <w:tcPr>
            <w:tcW w:w="2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IR 6-10</w:t>
            </w:r>
          </w:p>
        </w:tc>
        <w:tc>
          <w:tcPr>
            <w:tcW w:w="2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IR 11-15</w:t>
            </w:r>
          </w:p>
        </w:tc>
        <w:tc>
          <w:tcPr>
            <w:tcW w:w="3638"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IR 16-25</w:t>
            </w:r>
          </w:p>
        </w:tc>
      </w:tr>
      <w:tr>
        <w:trPr/>
        <w:tc>
          <w:tcPr>
            <w:tcW w:w="199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val="false"/>
                <w:bCs w:val="false"/>
                <w:color w:val="374151"/>
                <w:sz w:val="17"/>
                <w:szCs w:val="17"/>
              </w:rPr>
              <w:t>Rischio BASSO — monitoraggio periodico</w:t>
            </w:r>
          </w:p>
        </w:tc>
        <w:tc>
          <w:tcPr>
            <w:tcW w:w="2000" w:type="dxa"/>
            <w:tcBorders>
              <w:top w:val="single" w:sz="2" w:space="0" w:color="E5E7EB"/>
              <w:left w:val="single" w:sz="2" w:space="0" w:color="E5E7EB"/>
              <w:bottom w:val="single" w:sz="2" w:space="0" w:color="E5E7EB"/>
              <w:right w:val="single" w:sz="2" w:space="0" w:color="E5E7EB"/>
            </w:tcBorders>
            <w:shd w:fill="FEF3C7" w:val="clear"/>
            <w:vAlign w:val="center"/>
          </w:tcPr>
          <w:p>
            <w:pPr>
              <w:pStyle w:val="Normal"/>
              <w:jc w:val="center"/>
              <w:rPr/>
            </w:pPr>
            <w:r>
              <w:rPr>
                <w:rFonts w:eastAsia="Arial" w:cs="Arial"/>
                <w:b w:val="false"/>
                <w:bCs w:val="false"/>
                <w:color w:val="374151"/>
                <w:sz w:val="17"/>
                <w:szCs w:val="17"/>
              </w:rPr>
              <w:t>Rischio MEDIO — piano di risposta</w:t>
            </w:r>
          </w:p>
        </w:tc>
        <w:tc>
          <w:tcPr>
            <w:tcW w:w="2000" w:type="dxa"/>
            <w:tcBorders>
              <w:top w:val="single" w:sz="2" w:space="0" w:color="E5E7EB"/>
              <w:left w:val="single" w:sz="2" w:space="0" w:color="E5E7EB"/>
              <w:bottom w:val="single" w:sz="2" w:space="0" w:color="E5E7EB"/>
              <w:right w:val="single" w:sz="2" w:space="0" w:color="E5E7EB"/>
            </w:tcBorders>
            <w:shd w:fill="FED7AA" w:val="clear"/>
            <w:vAlign w:val="center"/>
          </w:tcPr>
          <w:p>
            <w:pPr>
              <w:pStyle w:val="Normal"/>
              <w:jc w:val="center"/>
              <w:rPr/>
            </w:pPr>
            <w:r>
              <w:rPr>
                <w:rFonts w:eastAsia="Arial" w:cs="Arial"/>
                <w:b w:val="false"/>
                <w:bCs w:val="false"/>
                <w:color w:val="374151"/>
                <w:sz w:val="17"/>
                <w:szCs w:val="17"/>
              </w:rPr>
              <w:t>Rischio ALTO — azione prioritaria</w:t>
            </w:r>
          </w:p>
        </w:tc>
        <w:tc>
          <w:tcPr>
            <w:tcW w:w="3638" w:type="dxa"/>
            <w:tcBorders>
              <w:top w:val="single" w:sz="2" w:space="0" w:color="E5E7EB"/>
              <w:left w:val="single" w:sz="2" w:space="0" w:color="E5E7EB"/>
              <w:bottom w:val="single" w:sz="2" w:space="0" w:color="E5E7EB"/>
              <w:right w:val="single" w:sz="2" w:space="0" w:color="E5E7EB"/>
            </w:tcBorders>
            <w:shd w:fill="FEE2E2" w:val="clear"/>
            <w:vAlign w:val="center"/>
          </w:tcPr>
          <w:p>
            <w:pPr>
              <w:pStyle w:val="Normal"/>
              <w:jc w:val="center"/>
              <w:rPr/>
            </w:pPr>
            <w:r>
              <w:rPr>
                <w:rFonts w:eastAsia="Arial" w:cs="Arial"/>
                <w:b w:val="false"/>
                <w:bCs w:val="false"/>
                <w:color w:val="374151"/>
                <w:sz w:val="17"/>
                <w:szCs w:val="17"/>
              </w:rPr>
              <w:t>Rischio CRITICO — intervento immediato obbligatorio</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11. Diagramma di Gantt — Timeline Progetto</w:t>
      </w:r>
    </w:p>
    <w:p>
      <w:pPr>
        <w:pStyle w:val="Heading2"/>
        <w:spacing w:before="300" w:after="120"/>
        <w:rPr/>
      </w:pPr>
      <w:r>
        <w:rPr>
          <w:rFonts w:eastAsia="Arial" w:cs="Arial" w:ascii="Arial" w:hAnsi="Arial"/>
          <w:b/>
          <w:bCs/>
          <w:color w:val="0891B2"/>
          <w:sz w:val="26"/>
          <w:szCs w:val="26"/>
        </w:rPr>
        <w:t>Progetto: Sito Web WiredSpace GPOI — Durata: 14 settimane (Settembre – Dicembre 2024)</w:t>
      </w:r>
    </w:p>
    <w:p>
      <w:pPr>
        <w:pStyle w:val="Normal"/>
        <w:spacing w:before="60" w:after="100"/>
        <w:jc w:val="both"/>
        <w:rPr/>
      </w:pPr>
      <w:r>
        <w:rPr>
          <w:rFonts w:eastAsia="Arial" w:cs="Arial"/>
          <w:color w:val="374151"/>
          <w:sz w:val="20"/>
          <w:szCs w:val="20"/>
        </w:rPr>
        <w:t>Il Gantt mostra la pianificazione temporale del progetto web. Le settimane S1-S14 corrispondono al periodo settembre-dicembre 2024. Le celle colorate indicano le settimane attive per ciascun Work Package. La metodologia adottata e' Agile-Waterfall ibrida con sprint bisettimanali.</w:t>
      </w:r>
    </w:p>
    <w:p>
      <w:pPr>
        <w:pStyle w:val="Normal"/>
        <w:spacing w:before="0" w:after="80"/>
        <w:rPr/>
      </w:pPr>
      <w:r>
        <w:rPr/>
      </w:r>
    </w:p>
    <w:tbl>
      <w:tblPr>
        <w:tblW w:w="9638" w:type="dxa"/>
        <w:jc w:val="left"/>
        <w:tblInd w:w="0" w:type="dxa"/>
        <w:tblLayout w:type="fixed"/>
        <w:tblCellMar>
          <w:top w:w="80" w:type="dxa"/>
          <w:left w:w="120" w:type="dxa"/>
          <w:bottom w:w="80" w:type="dxa"/>
          <w:right w:w="120" w:type="dxa"/>
        </w:tblCellMar>
      </w:tblPr>
      <w:tblGrid>
        <w:gridCol w:w="2304"/>
        <w:gridCol w:w="524"/>
        <w:gridCol w:w="524"/>
        <w:gridCol w:w="524"/>
        <w:gridCol w:w="523"/>
        <w:gridCol w:w="525"/>
        <w:gridCol w:w="523"/>
        <w:gridCol w:w="524"/>
        <w:gridCol w:w="524"/>
        <w:gridCol w:w="524"/>
        <w:gridCol w:w="523"/>
        <w:gridCol w:w="525"/>
        <w:gridCol w:w="523"/>
        <w:gridCol w:w="524"/>
        <w:gridCol w:w="524"/>
      </w:tblGrid>
      <w:tr>
        <w:trPr/>
        <w:tc>
          <w:tcPr>
            <w:tcW w:w="230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Attivita' / Work Package</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S1</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S2</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S3</w:t>
            </w:r>
          </w:p>
        </w:tc>
        <w:tc>
          <w:tcPr>
            <w:tcW w:w="523"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S4</w:t>
            </w:r>
          </w:p>
        </w:tc>
        <w:tc>
          <w:tcPr>
            <w:tcW w:w="525"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S5</w:t>
            </w:r>
          </w:p>
        </w:tc>
        <w:tc>
          <w:tcPr>
            <w:tcW w:w="523"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S6</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S7</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S8</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S9</w:t>
            </w:r>
          </w:p>
        </w:tc>
        <w:tc>
          <w:tcPr>
            <w:tcW w:w="523"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S10</w:t>
            </w:r>
          </w:p>
        </w:tc>
        <w:tc>
          <w:tcPr>
            <w:tcW w:w="525"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S11</w:t>
            </w:r>
          </w:p>
        </w:tc>
        <w:tc>
          <w:tcPr>
            <w:tcW w:w="523"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S12</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S13</w:t>
            </w:r>
          </w:p>
        </w:tc>
        <w:tc>
          <w:tcPr>
            <w:tcW w:w="524"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S14</w:t>
            </w:r>
          </w:p>
        </w:tc>
      </w:tr>
      <w:tr>
        <w:trPr/>
        <w:tc>
          <w:tcPr>
            <w:tcW w:w="2304" w:type="dxa"/>
            <w:tcBorders>
              <w:top w:val="single" w:sz="2" w:space="0" w:color="E5E7EB"/>
              <w:left w:val="single" w:sz="2" w:space="0" w:color="E5E7EB"/>
              <w:bottom w:val="single" w:sz="2" w:space="0" w:color="E5E7EB"/>
              <w:right w:val="single" w:sz="2" w:space="0" w:color="E5E7EB"/>
            </w:tcBorders>
            <w:shd w:fill="F3F4F6" w:val="clear"/>
            <w:tcMar>
              <w:top w:w="60" w:type="dxa"/>
              <w:left w:w="100" w:type="dxa"/>
              <w:bottom w:w="60" w:type="dxa"/>
              <w:right w:w="100" w:type="dxa"/>
            </w:tcMar>
          </w:tcPr>
          <w:p>
            <w:pPr>
              <w:pStyle w:val="Normal"/>
              <w:rPr/>
            </w:pPr>
            <w:r>
              <w:rPr>
                <w:rFonts w:eastAsia="Arial" w:cs="Arial"/>
                <w:color w:val="374151"/>
                <w:sz w:val="16"/>
                <w:szCs w:val="16"/>
              </w:rPr>
              <w:t>1.1 Analisi e Pianificazione</w:t>
            </w:r>
          </w:p>
        </w:tc>
        <w:tc>
          <w:tcPr>
            <w:tcW w:w="524" w:type="dxa"/>
            <w:tcBorders>
              <w:top w:val="single" w:sz="2" w:space="0" w:color="E5E7EB"/>
              <w:left w:val="single" w:sz="2" w:space="0" w:color="E5E7EB"/>
              <w:bottom w:val="single" w:sz="2" w:space="0" w:color="E5E7EB"/>
              <w:right w:val="single" w:sz="2" w:space="0" w:color="E5E7EB"/>
            </w:tcBorders>
            <w:shd w:fill="1E40AF" w:val="clear"/>
            <w:tcMar>
              <w:top w:w="60" w:type="dxa"/>
              <w:left w:w="40" w:type="dxa"/>
              <w:bottom w:w="60" w:type="dxa"/>
              <w:right w:w="40" w:type="dxa"/>
            </w:tcMar>
          </w:tcPr>
          <w:p>
            <w:pPr>
              <w:pStyle w:val="Normal"/>
              <w:jc w:val="center"/>
              <w:rPr/>
            </w:pPr>
            <w:r>
              <w:rPr>
                <w:rFonts w:eastAsia="Arial" w:cs="Arial"/>
                <w:color w:val="1E40AF"/>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1E40AF" w:val="clear"/>
            <w:tcMar>
              <w:top w:w="60" w:type="dxa"/>
              <w:left w:w="40" w:type="dxa"/>
              <w:bottom w:w="60" w:type="dxa"/>
              <w:right w:w="40" w:type="dxa"/>
            </w:tcMar>
          </w:tcPr>
          <w:p>
            <w:pPr>
              <w:pStyle w:val="Normal"/>
              <w:jc w:val="center"/>
              <w:rPr/>
            </w:pPr>
            <w:r>
              <w:rPr>
                <w:rFonts w:eastAsia="Arial" w:cs="Arial"/>
                <w:color w:val="1E40AF"/>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FFFFF" w:val="clear"/>
            <w:tcMar>
              <w:top w:w="60" w:type="dxa"/>
              <w:left w:w="100" w:type="dxa"/>
              <w:bottom w:w="60" w:type="dxa"/>
              <w:right w:w="100" w:type="dxa"/>
            </w:tcMar>
          </w:tcPr>
          <w:p>
            <w:pPr>
              <w:pStyle w:val="Normal"/>
              <w:rPr/>
            </w:pPr>
            <w:r>
              <w:rPr>
                <w:rFonts w:eastAsia="Arial" w:cs="Arial"/>
                <w:color w:val="374151"/>
                <w:sz w:val="16"/>
                <w:szCs w:val="16"/>
              </w:rPr>
              <w:t>1.2 Database MySQL</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0891B2" w:val="clear"/>
            <w:tcMar>
              <w:top w:w="60" w:type="dxa"/>
              <w:left w:w="40" w:type="dxa"/>
              <w:bottom w:w="60" w:type="dxa"/>
              <w:right w:w="40" w:type="dxa"/>
            </w:tcMar>
          </w:tcPr>
          <w:p>
            <w:pPr>
              <w:pStyle w:val="Normal"/>
              <w:jc w:val="center"/>
              <w:rPr/>
            </w:pPr>
            <w:r>
              <w:rPr>
                <w:rFonts w:eastAsia="Arial" w:cs="Arial"/>
                <w:color w:val="0891B2"/>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0891B2" w:val="clear"/>
            <w:tcMar>
              <w:top w:w="60" w:type="dxa"/>
              <w:left w:w="40" w:type="dxa"/>
              <w:bottom w:w="60" w:type="dxa"/>
              <w:right w:w="40" w:type="dxa"/>
            </w:tcMar>
          </w:tcPr>
          <w:p>
            <w:pPr>
              <w:pStyle w:val="Normal"/>
              <w:jc w:val="center"/>
              <w:rPr/>
            </w:pPr>
            <w:r>
              <w:rPr>
                <w:rFonts w:eastAsia="Arial" w:cs="Arial"/>
                <w:color w:val="0891B2"/>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0891B2" w:val="clear"/>
            <w:tcMar>
              <w:top w:w="60" w:type="dxa"/>
              <w:left w:w="40" w:type="dxa"/>
              <w:bottom w:w="60" w:type="dxa"/>
              <w:right w:w="40" w:type="dxa"/>
            </w:tcMar>
          </w:tcPr>
          <w:p>
            <w:pPr>
              <w:pStyle w:val="Normal"/>
              <w:jc w:val="center"/>
              <w:rPr/>
            </w:pPr>
            <w:r>
              <w:rPr>
                <w:rFonts w:eastAsia="Arial" w:cs="Arial"/>
                <w:color w:val="0891B2"/>
                <w:sz w:val="16"/>
                <w:szCs w:val="16"/>
              </w:rPr>
              <w:t>█</w:t>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3F4F6" w:val="clear"/>
            <w:tcMar>
              <w:top w:w="60" w:type="dxa"/>
              <w:left w:w="100" w:type="dxa"/>
              <w:bottom w:w="60" w:type="dxa"/>
              <w:right w:w="100" w:type="dxa"/>
            </w:tcMar>
          </w:tcPr>
          <w:p>
            <w:pPr>
              <w:pStyle w:val="Normal"/>
              <w:rPr/>
            </w:pPr>
            <w:r>
              <w:rPr>
                <w:rFonts w:eastAsia="Arial" w:cs="Arial"/>
                <w:color w:val="374151"/>
                <w:sz w:val="16"/>
                <w:szCs w:val="16"/>
              </w:rPr>
              <w:t>1.3 Frontend CSS + Design</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7C3AED" w:val="clear"/>
            <w:tcMar>
              <w:top w:w="60" w:type="dxa"/>
              <w:left w:w="40" w:type="dxa"/>
              <w:bottom w:w="60" w:type="dxa"/>
              <w:right w:w="40" w:type="dxa"/>
            </w:tcMar>
          </w:tcPr>
          <w:p>
            <w:pPr>
              <w:pStyle w:val="Normal"/>
              <w:jc w:val="center"/>
              <w:rPr/>
            </w:pPr>
            <w:r>
              <w:rPr>
                <w:rFonts w:eastAsia="Arial" w:cs="Arial"/>
                <w:color w:val="7C3AED"/>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7C3AED" w:val="clear"/>
            <w:tcMar>
              <w:top w:w="60" w:type="dxa"/>
              <w:left w:w="40" w:type="dxa"/>
              <w:bottom w:w="60" w:type="dxa"/>
              <w:right w:w="40" w:type="dxa"/>
            </w:tcMar>
          </w:tcPr>
          <w:p>
            <w:pPr>
              <w:pStyle w:val="Normal"/>
              <w:jc w:val="center"/>
              <w:rPr/>
            </w:pPr>
            <w:r>
              <w:rPr>
                <w:rFonts w:eastAsia="Arial" w:cs="Arial"/>
                <w:color w:val="7C3AED"/>
                <w:sz w:val="16"/>
                <w:szCs w:val="16"/>
              </w:rPr>
              <w:t>█</w:t>
            </w:r>
          </w:p>
        </w:tc>
        <w:tc>
          <w:tcPr>
            <w:tcW w:w="525" w:type="dxa"/>
            <w:tcBorders>
              <w:top w:val="single" w:sz="2" w:space="0" w:color="E5E7EB"/>
              <w:left w:val="single" w:sz="2" w:space="0" w:color="E5E7EB"/>
              <w:bottom w:val="single" w:sz="2" w:space="0" w:color="E5E7EB"/>
              <w:right w:val="single" w:sz="2" w:space="0" w:color="E5E7EB"/>
            </w:tcBorders>
            <w:shd w:fill="7C3AED" w:val="clear"/>
            <w:tcMar>
              <w:top w:w="60" w:type="dxa"/>
              <w:left w:w="40" w:type="dxa"/>
              <w:bottom w:w="60" w:type="dxa"/>
              <w:right w:w="40" w:type="dxa"/>
            </w:tcMar>
          </w:tcPr>
          <w:p>
            <w:pPr>
              <w:pStyle w:val="Normal"/>
              <w:jc w:val="center"/>
              <w:rPr/>
            </w:pPr>
            <w:r>
              <w:rPr>
                <w:rFonts w:eastAsia="Arial" w:cs="Arial"/>
                <w:color w:val="7C3AED"/>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7C3AED" w:val="clear"/>
            <w:tcMar>
              <w:top w:w="60" w:type="dxa"/>
              <w:left w:w="40" w:type="dxa"/>
              <w:bottom w:w="60" w:type="dxa"/>
              <w:right w:w="40" w:type="dxa"/>
            </w:tcMar>
          </w:tcPr>
          <w:p>
            <w:pPr>
              <w:pStyle w:val="Normal"/>
              <w:jc w:val="center"/>
              <w:rPr/>
            </w:pPr>
            <w:r>
              <w:rPr>
                <w:rFonts w:eastAsia="Arial" w:cs="Arial"/>
                <w:color w:val="7C3AED"/>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FFFFF" w:val="clear"/>
            <w:tcMar>
              <w:top w:w="60" w:type="dxa"/>
              <w:left w:w="100" w:type="dxa"/>
              <w:bottom w:w="60" w:type="dxa"/>
              <w:right w:w="100" w:type="dxa"/>
            </w:tcMar>
          </w:tcPr>
          <w:p>
            <w:pPr>
              <w:pStyle w:val="Normal"/>
              <w:rPr/>
            </w:pPr>
            <w:r>
              <w:rPr>
                <w:rFonts w:eastAsia="Arial" w:cs="Arial"/>
                <w:color w:val="374151"/>
                <w:sz w:val="16"/>
                <w:szCs w:val="16"/>
              </w:rPr>
              <w:t>1.3.3 Animate.css (lib. esterna)</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A78BFA" w:val="clear"/>
            <w:tcMar>
              <w:top w:w="60" w:type="dxa"/>
              <w:left w:w="40" w:type="dxa"/>
              <w:bottom w:w="60" w:type="dxa"/>
              <w:right w:w="40" w:type="dxa"/>
            </w:tcMar>
          </w:tcPr>
          <w:p>
            <w:pPr>
              <w:pStyle w:val="Normal"/>
              <w:jc w:val="center"/>
              <w:rPr/>
            </w:pPr>
            <w:r>
              <w:rPr>
                <w:rFonts w:eastAsia="Arial" w:cs="Arial"/>
                <w:color w:val="A78BFA"/>
                <w:sz w:val="16"/>
                <w:szCs w:val="16"/>
              </w:rPr>
              <w:t>█</w:t>
            </w:r>
          </w:p>
        </w:tc>
        <w:tc>
          <w:tcPr>
            <w:tcW w:w="525" w:type="dxa"/>
            <w:tcBorders>
              <w:top w:val="single" w:sz="2" w:space="0" w:color="E5E7EB"/>
              <w:left w:val="single" w:sz="2" w:space="0" w:color="E5E7EB"/>
              <w:bottom w:val="single" w:sz="2" w:space="0" w:color="E5E7EB"/>
              <w:right w:val="single" w:sz="2" w:space="0" w:color="E5E7EB"/>
            </w:tcBorders>
            <w:shd w:fill="A78BFA" w:val="clear"/>
            <w:tcMar>
              <w:top w:w="60" w:type="dxa"/>
              <w:left w:w="40" w:type="dxa"/>
              <w:bottom w:w="60" w:type="dxa"/>
              <w:right w:w="40" w:type="dxa"/>
            </w:tcMar>
          </w:tcPr>
          <w:p>
            <w:pPr>
              <w:pStyle w:val="Normal"/>
              <w:jc w:val="center"/>
              <w:rPr/>
            </w:pPr>
            <w:r>
              <w:rPr>
                <w:rFonts w:eastAsia="Arial" w:cs="Arial"/>
                <w:color w:val="A78BFA"/>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3F4F6" w:val="clear"/>
            <w:tcMar>
              <w:top w:w="60" w:type="dxa"/>
              <w:left w:w="100" w:type="dxa"/>
              <w:bottom w:w="60" w:type="dxa"/>
              <w:right w:w="100" w:type="dxa"/>
            </w:tcMar>
          </w:tcPr>
          <w:p>
            <w:pPr>
              <w:pStyle w:val="Normal"/>
              <w:rPr/>
            </w:pPr>
            <w:r>
              <w:rPr>
                <w:rFonts w:eastAsia="Arial" w:cs="Arial"/>
                <w:color w:val="374151"/>
                <w:sz w:val="16"/>
                <w:szCs w:val="16"/>
              </w:rPr>
              <w:t>1.4 JavaScript main.js</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D97706" w:val="clear"/>
            <w:tcMar>
              <w:top w:w="60" w:type="dxa"/>
              <w:left w:w="40" w:type="dxa"/>
              <w:bottom w:w="60" w:type="dxa"/>
              <w:right w:w="40" w:type="dxa"/>
            </w:tcMar>
          </w:tcPr>
          <w:p>
            <w:pPr>
              <w:pStyle w:val="Normal"/>
              <w:jc w:val="center"/>
              <w:rPr/>
            </w:pPr>
            <w:r>
              <w:rPr>
                <w:rFonts w:eastAsia="Arial" w:cs="Arial"/>
                <w:color w:val="D97706"/>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D97706" w:val="clear"/>
            <w:tcMar>
              <w:top w:w="60" w:type="dxa"/>
              <w:left w:w="40" w:type="dxa"/>
              <w:bottom w:w="60" w:type="dxa"/>
              <w:right w:w="40" w:type="dxa"/>
            </w:tcMar>
          </w:tcPr>
          <w:p>
            <w:pPr>
              <w:pStyle w:val="Normal"/>
              <w:jc w:val="center"/>
              <w:rPr/>
            </w:pPr>
            <w:r>
              <w:rPr>
                <w:rFonts w:eastAsia="Arial" w:cs="Arial"/>
                <w:color w:val="D97706"/>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D97706" w:val="clear"/>
            <w:tcMar>
              <w:top w:w="60" w:type="dxa"/>
              <w:left w:w="40" w:type="dxa"/>
              <w:bottom w:w="60" w:type="dxa"/>
              <w:right w:w="40" w:type="dxa"/>
            </w:tcMar>
          </w:tcPr>
          <w:p>
            <w:pPr>
              <w:pStyle w:val="Normal"/>
              <w:jc w:val="center"/>
              <w:rPr/>
            </w:pPr>
            <w:r>
              <w:rPr>
                <w:rFonts w:eastAsia="Arial" w:cs="Arial"/>
                <w:color w:val="D97706"/>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D97706" w:val="clear"/>
            <w:tcMar>
              <w:top w:w="60" w:type="dxa"/>
              <w:left w:w="40" w:type="dxa"/>
              <w:bottom w:w="60" w:type="dxa"/>
              <w:right w:w="40" w:type="dxa"/>
            </w:tcMar>
          </w:tcPr>
          <w:p>
            <w:pPr>
              <w:pStyle w:val="Normal"/>
              <w:jc w:val="center"/>
              <w:rPr/>
            </w:pPr>
            <w:r>
              <w:rPr>
                <w:rFonts w:eastAsia="Arial" w:cs="Arial"/>
                <w:color w:val="D97706"/>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FFFFF" w:val="clear"/>
            <w:tcMar>
              <w:top w:w="60" w:type="dxa"/>
              <w:left w:w="100" w:type="dxa"/>
              <w:bottom w:w="60" w:type="dxa"/>
              <w:right w:w="100" w:type="dxa"/>
            </w:tcMar>
          </w:tcPr>
          <w:p>
            <w:pPr>
              <w:pStyle w:val="Normal"/>
              <w:rPr/>
            </w:pPr>
            <w:r>
              <w:rPr>
                <w:rFonts w:eastAsia="Arial" w:cs="Arial"/>
                <w:color w:val="374151"/>
                <w:sz w:val="16"/>
                <w:szCs w:val="16"/>
              </w:rPr>
              <w:t>1.5.1 Pagine pubbliche PHP</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059669" w:val="clear"/>
            <w:tcMar>
              <w:top w:w="60" w:type="dxa"/>
              <w:left w:w="40" w:type="dxa"/>
              <w:bottom w:w="60" w:type="dxa"/>
              <w:right w:w="40" w:type="dxa"/>
            </w:tcMar>
          </w:tcPr>
          <w:p>
            <w:pPr>
              <w:pStyle w:val="Normal"/>
              <w:jc w:val="center"/>
              <w:rPr/>
            </w:pPr>
            <w:r>
              <w:rPr>
                <w:rFonts w:eastAsia="Arial" w:cs="Arial"/>
                <w:color w:val="059669"/>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059669" w:val="clear"/>
            <w:tcMar>
              <w:top w:w="60" w:type="dxa"/>
              <w:left w:w="40" w:type="dxa"/>
              <w:bottom w:w="60" w:type="dxa"/>
              <w:right w:w="40" w:type="dxa"/>
            </w:tcMar>
          </w:tcPr>
          <w:p>
            <w:pPr>
              <w:pStyle w:val="Normal"/>
              <w:jc w:val="center"/>
              <w:rPr/>
            </w:pPr>
            <w:r>
              <w:rPr>
                <w:rFonts w:eastAsia="Arial" w:cs="Arial"/>
                <w:color w:val="059669"/>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059669" w:val="clear"/>
            <w:tcMar>
              <w:top w:w="60" w:type="dxa"/>
              <w:left w:w="40" w:type="dxa"/>
              <w:bottom w:w="60" w:type="dxa"/>
              <w:right w:w="40" w:type="dxa"/>
            </w:tcMar>
          </w:tcPr>
          <w:p>
            <w:pPr>
              <w:pStyle w:val="Normal"/>
              <w:jc w:val="center"/>
              <w:rPr/>
            </w:pPr>
            <w:r>
              <w:rPr>
                <w:rFonts w:eastAsia="Arial" w:cs="Arial"/>
                <w:color w:val="059669"/>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059669" w:val="clear"/>
            <w:tcMar>
              <w:top w:w="60" w:type="dxa"/>
              <w:left w:w="40" w:type="dxa"/>
              <w:bottom w:w="60" w:type="dxa"/>
              <w:right w:w="40" w:type="dxa"/>
            </w:tcMar>
          </w:tcPr>
          <w:p>
            <w:pPr>
              <w:pStyle w:val="Normal"/>
              <w:jc w:val="center"/>
              <w:rPr/>
            </w:pPr>
            <w:r>
              <w:rPr>
                <w:rFonts w:eastAsia="Arial" w:cs="Arial"/>
                <w:color w:val="059669"/>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3F4F6" w:val="clear"/>
            <w:tcMar>
              <w:top w:w="60" w:type="dxa"/>
              <w:left w:w="100" w:type="dxa"/>
              <w:bottom w:w="60" w:type="dxa"/>
              <w:right w:w="100" w:type="dxa"/>
            </w:tcMar>
          </w:tcPr>
          <w:p>
            <w:pPr>
              <w:pStyle w:val="Normal"/>
              <w:rPr/>
            </w:pPr>
            <w:r>
              <w:rPr>
                <w:rFonts w:eastAsia="Arial" w:cs="Arial"/>
                <w:color w:val="374151"/>
                <w:sz w:val="16"/>
                <w:szCs w:val="16"/>
              </w:rPr>
              <w:t>1.5.2 Form e validazione</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065F46" w:val="clear"/>
            <w:tcMar>
              <w:top w:w="60" w:type="dxa"/>
              <w:left w:w="40" w:type="dxa"/>
              <w:bottom w:w="60" w:type="dxa"/>
              <w:right w:w="40" w:type="dxa"/>
            </w:tcMar>
          </w:tcPr>
          <w:p>
            <w:pPr>
              <w:pStyle w:val="Normal"/>
              <w:jc w:val="center"/>
              <w:rPr/>
            </w:pPr>
            <w:r>
              <w:rPr>
                <w:rFonts w:eastAsia="Arial" w:cs="Arial"/>
                <w:color w:val="065F46"/>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065F46" w:val="clear"/>
            <w:tcMar>
              <w:top w:w="60" w:type="dxa"/>
              <w:left w:w="40" w:type="dxa"/>
              <w:bottom w:w="60" w:type="dxa"/>
              <w:right w:w="40" w:type="dxa"/>
            </w:tcMar>
          </w:tcPr>
          <w:p>
            <w:pPr>
              <w:pStyle w:val="Normal"/>
              <w:jc w:val="center"/>
              <w:rPr/>
            </w:pPr>
            <w:r>
              <w:rPr>
                <w:rFonts w:eastAsia="Arial" w:cs="Arial"/>
                <w:color w:val="065F46"/>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065F46" w:val="clear"/>
            <w:tcMar>
              <w:top w:w="60" w:type="dxa"/>
              <w:left w:w="40" w:type="dxa"/>
              <w:bottom w:w="60" w:type="dxa"/>
              <w:right w:w="40" w:type="dxa"/>
            </w:tcMar>
          </w:tcPr>
          <w:p>
            <w:pPr>
              <w:pStyle w:val="Normal"/>
              <w:jc w:val="center"/>
              <w:rPr/>
            </w:pPr>
            <w:r>
              <w:rPr>
                <w:rFonts w:eastAsia="Arial" w:cs="Arial"/>
                <w:color w:val="065F46"/>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FFFFF" w:val="clear"/>
            <w:tcMar>
              <w:top w:w="60" w:type="dxa"/>
              <w:left w:w="100" w:type="dxa"/>
              <w:bottom w:w="60" w:type="dxa"/>
              <w:right w:w="100" w:type="dxa"/>
            </w:tcMar>
          </w:tcPr>
          <w:p>
            <w:pPr>
              <w:pStyle w:val="Normal"/>
              <w:rPr/>
            </w:pPr>
            <w:r>
              <w:rPr>
                <w:rFonts w:eastAsia="Arial" w:cs="Arial"/>
                <w:color w:val="374151"/>
                <w:sz w:val="16"/>
                <w:szCs w:val="16"/>
              </w:rPr>
              <w:t>1.5.3 Autenticazione e sessioni</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1D4ED8" w:val="clear"/>
            <w:tcMar>
              <w:top w:w="60" w:type="dxa"/>
              <w:left w:w="40" w:type="dxa"/>
              <w:bottom w:w="60" w:type="dxa"/>
              <w:right w:w="40" w:type="dxa"/>
            </w:tcMar>
          </w:tcPr>
          <w:p>
            <w:pPr>
              <w:pStyle w:val="Normal"/>
              <w:jc w:val="center"/>
              <w:rPr/>
            </w:pPr>
            <w:r>
              <w:rPr>
                <w:rFonts w:eastAsia="Arial" w:cs="Arial"/>
                <w:color w:val="1D4ED8"/>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1D4ED8" w:val="clear"/>
            <w:tcMar>
              <w:top w:w="60" w:type="dxa"/>
              <w:left w:w="40" w:type="dxa"/>
              <w:bottom w:w="60" w:type="dxa"/>
              <w:right w:w="40" w:type="dxa"/>
            </w:tcMar>
          </w:tcPr>
          <w:p>
            <w:pPr>
              <w:pStyle w:val="Normal"/>
              <w:jc w:val="center"/>
              <w:rPr/>
            </w:pPr>
            <w:r>
              <w:rPr>
                <w:rFonts w:eastAsia="Arial" w:cs="Arial"/>
                <w:color w:val="1D4ED8"/>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1D4ED8" w:val="clear"/>
            <w:tcMar>
              <w:top w:w="60" w:type="dxa"/>
              <w:left w:w="40" w:type="dxa"/>
              <w:bottom w:w="60" w:type="dxa"/>
              <w:right w:w="40" w:type="dxa"/>
            </w:tcMar>
          </w:tcPr>
          <w:p>
            <w:pPr>
              <w:pStyle w:val="Normal"/>
              <w:jc w:val="center"/>
              <w:rPr/>
            </w:pPr>
            <w:r>
              <w:rPr>
                <w:rFonts w:eastAsia="Arial" w:cs="Arial"/>
                <w:color w:val="1D4ED8"/>
                <w:sz w:val="16"/>
                <w:szCs w:val="16"/>
              </w:rPr>
              <w:t>█</w:t>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3F4F6" w:val="clear"/>
            <w:tcMar>
              <w:top w:w="60" w:type="dxa"/>
              <w:left w:w="100" w:type="dxa"/>
              <w:bottom w:w="60" w:type="dxa"/>
              <w:right w:w="100" w:type="dxa"/>
            </w:tcMar>
          </w:tcPr>
          <w:p>
            <w:pPr>
              <w:pStyle w:val="Normal"/>
              <w:rPr/>
            </w:pPr>
            <w:r>
              <w:rPr>
                <w:rFonts w:eastAsia="Arial" w:cs="Arial"/>
                <w:color w:val="374151"/>
                <w:sz w:val="16"/>
                <w:szCs w:val="16"/>
              </w:rPr>
              <w:t>1.5.4 Dashboard e Admin panel</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7E22CE" w:val="clear"/>
            <w:tcMar>
              <w:top w:w="60" w:type="dxa"/>
              <w:left w:w="40" w:type="dxa"/>
              <w:bottom w:w="60" w:type="dxa"/>
              <w:right w:w="40" w:type="dxa"/>
            </w:tcMar>
          </w:tcPr>
          <w:p>
            <w:pPr>
              <w:pStyle w:val="Normal"/>
              <w:jc w:val="center"/>
              <w:rPr/>
            </w:pPr>
            <w:r>
              <w:rPr>
                <w:rFonts w:eastAsia="Arial" w:cs="Arial"/>
                <w:color w:val="7E22CE"/>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7E22CE" w:val="clear"/>
            <w:tcMar>
              <w:top w:w="60" w:type="dxa"/>
              <w:left w:w="40" w:type="dxa"/>
              <w:bottom w:w="60" w:type="dxa"/>
              <w:right w:w="40" w:type="dxa"/>
            </w:tcMar>
          </w:tcPr>
          <w:p>
            <w:pPr>
              <w:pStyle w:val="Normal"/>
              <w:jc w:val="center"/>
              <w:rPr/>
            </w:pPr>
            <w:r>
              <w:rPr>
                <w:rFonts w:eastAsia="Arial" w:cs="Arial"/>
                <w:color w:val="7E22CE"/>
                <w:sz w:val="16"/>
                <w:szCs w:val="16"/>
              </w:rPr>
              <w:t>█</w:t>
            </w:r>
          </w:p>
        </w:tc>
        <w:tc>
          <w:tcPr>
            <w:tcW w:w="525" w:type="dxa"/>
            <w:tcBorders>
              <w:top w:val="single" w:sz="2" w:space="0" w:color="E5E7EB"/>
              <w:left w:val="single" w:sz="2" w:space="0" w:color="E5E7EB"/>
              <w:bottom w:val="single" w:sz="2" w:space="0" w:color="E5E7EB"/>
              <w:right w:val="single" w:sz="2" w:space="0" w:color="E5E7EB"/>
            </w:tcBorders>
            <w:shd w:fill="7E22CE" w:val="clear"/>
            <w:tcMar>
              <w:top w:w="60" w:type="dxa"/>
              <w:left w:w="40" w:type="dxa"/>
              <w:bottom w:w="60" w:type="dxa"/>
              <w:right w:w="40" w:type="dxa"/>
            </w:tcMar>
          </w:tcPr>
          <w:p>
            <w:pPr>
              <w:pStyle w:val="Normal"/>
              <w:jc w:val="center"/>
              <w:rPr/>
            </w:pPr>
            <w:r>
              <w:rPr>
                <w:rFonts w:eastAsia="Arial" w:cs="Arial"/>
                <w:color w:val="7E22CE"/>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FFFFF" w:val="clear"/>
            <w:tcMar>
              <w:top w:w="60" w:type="dxa"/>
              <w:left w:w="100" w:type="dxa"/>
              <w:bottom w:w="60" w:type="dxa"/>
              <w:right w:w="100" w:type="dxa"/>
            </w:tcMar>
          </w:tcPr>
          <w:p>
            <w:pPr>
              <w:pStyle w:val="Normal"/>
              <w:rPr/>
            </w:pPr>
            <w:r>
              <w:rPr>
                <w:rFonts w:eastAsia="Arial" w:cs="Arial"/>
                <w:color w:val="374151"/>
                <w:sz w:val="16"/>
                <w:szCs w:val="16"/>
              </w:rPr>
              <w:t>1.6.1 Test e debug</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B45309" w:val="clear"/>
            <w:tcMar>
              <w:top w:w="60" w:type="dxa"/>
              <w:left w:w="40" w:type="dxa"/>
              <w:bottom w:w="60" w:type="dxa"/>
              <w:right w:w="40" w:type="dxa"/>
            </w:tcMar>
          </w:tcPr>
          <w:p>
            <w:pPr>
              <w:pStyle w:val="Normal"/>
              <w:jc w:val="center"/>
              <w:rPr/>
            </w:pPr>
            <w:r>
              <w:rPr>
                <w:rFonts w:eastAsia="Arial" w:cs="Arial"/>
                <w:color w:val="B45309"/>
                <w:sz w:val="16"/>
                <w:szCs w:val="16"/>
              </w:rPr>
              <w:t>█</w:t>
            </w:r>
          </w:p>
        </w:tc>
        <w:tc>
          <w:tcPr>
            <w:tcW w:w="525" w:type="dxa"/>
            <w:tcBorders>
              <w:top w:val="single" w:sz="2" w:space="0" w:color="E5E7EB"/>
              <w:left w:val="single" w:sz="2" w:space="0" w:color="E5E7EB"/>
              <w:bottom w:val="single" w:sz="2" w:space="0" w:color="E5E7EB"/>
              <w:right w:val="single" w:sz="2" w:space="0" w:color="E5E7EB"/>
            </w:tcBorders>
            <w:shd w:fill="B45309" w:val="clear"/>
            <w:tcMar>
              <w:top w:w="60" w:type="dxa"/>
              <w:left w:w="40" w:type="dxa"/>
              <w:bottom w:w="60" w:type="dxa"/>
              <w:right w:w="40" w:type="dxa"/>
            </w:tcMar>
          </w:tcPr>
          <w:p>
            <w:pPr>
              <w:pStyle w:val="Normal"/>
              <w:jc w:val="center"/>
              <w:rPr/>
            </w:pPr>
            <w:r>
              <w:rPr>
                <w:rFonts w:eastAsia="Arial" w:cs="Arial"/>
                <w:color w:val="B45309"/>
                <w:sz w:val="16"/>
                <w:szCs w:val="16"/>
              </w:rPr>
              <w:t>█</w:t>
            </w:r>
          </w:p>
        </w:tc>
        <w:tc>
          <w:tcPr>
            <w:tcW w:w="523" w:type="dxa"/>
            <w:tcBorders>
              <w:top w:val="single" w:sz="2" w:space="0" w:color="E5E7EB"/>
              <w:left w:val="single" w:sz="2" w:space="0" w:color="E5E7EB"/>
              <w:bottom w:val="single" w:sz="2" w:space="0" w:color="E5E7EB"/>
              <w:right w:val="single" w:sz="2" w:space="0" w:color="E5E7EB"/>
            </w:tcBorders>
            <w:shd w:fill="B45309" w:val="clear"/>
            <w:tcMar>
              <w:top w:w="60" w:type="dxa"/>
              <w:left w:w="40" w:type="dxa"/>
              <w:bottom w:w="60" w:type="dxa"/>
              <w:right w:w="40" w:type="dxa"/>
            </w:tcMar>
          </w:tcPr>
          <w:p>
            <w:pPr>
              <w:pStyle w:val="Normal"/>
              <w:jc w:val="center"/>
              <w:rPr/>
            </w:pPr>
            <w:r>
              <w:rPr>
                <w:rFonts w:eastAsia="Arial" w:cs="Arial"/>
                <w:color w:val="B45309"/>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3F4F6" w:val="clear"/>
            <w:tcMar>
              <w:top w:w="60" w:type="dxa"/>
              <w:left w:w="100" w:type="dxa"/>
              <w:bottom w:w="60" w:type="dxa"/>
              <w:right w:w="100" w:type="dxa"/>
            </w:tcMar>
          </w:tcPr>
          <w:p>
            <w:pPr>
              <w:pStyle w:val="Normal"/>
              <w:rPr/>
            </w:pPr>
            <w:r>
              <w:rPr>
                <w:rFonts w:eastAsia="Arial" w:cs="Arial"/>
                <w:color w:val="374151"/>
                <w:sz w:val="16"/>
                <w:szCs w:val="16"/>
              </w:rPr>
              <w:t>1.6.2 Packaging e documentazione</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374151" w:val="clear"/>
            <w:tcMar>
              <w:top w:w="60" w:type="dxa"/>
              <w:left w:w="40" w:type="dxa"/>
              <w:bottom w:w="60" w:type="dxa"/>
              <w:right w:w="40" w:type="dxa"/>
            </w:tcMar>
          </w:tcPr>
          <w:p>
            <w:pPr>
              <w:pStyle w:val="Normal"/>
              <w:jc w:val="center"/>
              <w:rPr/>
            </w:pPr>
            <w:r>
              <w:rPr>
                <w:rFonts w:eastAsia="Arial" w:cs="Arial"/>
                <w:color w:val="374151"/>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374151" w:val="clear"/>
            <w:tcMar>
              <w:top w:w="60" w:type="dxa"/>
              <w:left w:w="40" w:type="dxa"/>
              <w:bottom w:w="60" w:type="dxa"/>
              <w:right w:w="40" w:type="dxa"/>
            </w:tcMar>
          </w:tcPr>
          <w:p>
            <w:pPr>
              <w:pStyle w:val="Normal"/>
              <w:jc w:val="center"/>
              <w:rPr/>
            </w:pPr>
            <w:r>
              <w:rPr>
                <w:rFonts w:eastAsia="Arial" w:cs="Arial"/>
                <w:color w:val="374151"/>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F3F4F6" w:val="clear"/>
            <w:tcMar>
              <w:top w:w="60" w:type="dxa"/>
              <w:left w:w="40" w:type="dxa"/>
              <w:bottom w:w="60" w:type="dxa"/>
              <w:right w:w="40" w:type="dxa"/>
            </w:tcMar>
          </w:tcPr>
          <w:p>
            <w:pPr>
              <w:pStyle w:val="Normal"/>
              <w:jc w:val="center"/>
              <w:rPr/>
            </w:pPr>
            <w:r>
              <w:rPr/>
            </w:r>
          </w:p>
        </w:tc>
      </w:tr>
      <w:tr>
        <w:trPr/>
        <w:tc>
          <w:tcPr>
            <w:tcW w:w="2304" w:type="dxa"/>
            <w:tcBorders>
              <w:top w:val="single" w:sz="2" w:space="0" w:color="E5E7EB"/>
              <w:left w:val="single" w:sz="2" w:space="0" w:color="E5E7EB"/>
              <w:bottom w:val="single" w:sz="2" w:space="0" w:color="E5E7EB"/>
              <w:right w:val="single" w:sz="2" w:space="0" w:color="E5E7EB"/>
            </w:tcBorders>
            <w:shd w:fill="FFFFFF" w:val="clear"/>
            <w:tcMar>
              <w:top w:w="60" w:type="dxa"/>
              <w:left w:w="100" w:type="dxa"/>
              <w:bottom w:w="60" w:type="dxa"/>
              <w:right w:w="100" w:type="dxa"/>
            </w:tcMar>
          </w:tcPr>
          <w:p>
            <w:pPr>
              <w:pStyle w:val="Normal"/>
              <w:rPr/>
            </w:pPr>
            <w:r>
              <w:rPr>
                <w:rFonts w:eastAsia="Arial" w:cs="Arial"/>
                <w:color w:val="374151"/>
                <w:sz w:val="16"/>
                <w:szCs w:val="16"/>
              </w:rPr>
              <w:t>Consegna finale + presentazione</w:t>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5"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3" w:type="dxa"/>
            <w:tcBorders>
              <w:top w:val="single" w:sz="2" w:space="0" w:color="E5E7EB"/>
              <w:left w:val="single" w:sz="2" w:space="0" w:color="E5E7EB"/>
              <w:bottom w:val="single" w:sz="2" w:space="0" w:color="E5E7EB"/>
              <w:right w:val="single" w:sz="2" w:space="0" w:color="E5E7EB"/>
            </w:tcBorders>
            <w:shd w:fill="FFFFFF" w:val="clear"/>
            <w:tcMar>
              <w:top w:w="60" w:type="dxa"/>
              <w:left w:w="40" w:type="dxa"/>
              <w:bottom w:w="60" w:type="dxa"/>
              <w:right w:w="40" w:type="dxa"/>
            </w:tcMar>
          </w:tcPr>
          <w:p>
            <w:pPr>
              <w:pStyle w:val="Normal"/>
              <w:jc w:val="center"/>
              <w:rPr/>
            </w:pPr>
            <w:r>
              <w:rPr/>
            </w:r>
          </w:p>
        </w:tc>
        <w:tc>
          <w:tcPr>
            <w:tcW w:w="524" w:type="dxa"/>
            <w:tcBorders>
              <w:top w:val="single" w:sz="2" w:space="0" w:color="E5E7EB"/>
              <w:left w:val="single" w:sz="2" w:space="0" w:color="E5E7EB"/>
              <w:bottom w:val="single" w:sz="2" w:space="0" w:color="E5E7EB"/>
              <w:right w:val="single" w:sz="2" w:space="0" w:color="E5E7EB"/>
            </w:tcBorders>
            <w:shd w:fill="DC2626" w:val="clear"/>
            <w:tcMar>
              <w:top w:w="60" w:type="dxa"/>
              <w:left w:w="40" w:type="dxa"/>
              <w:bottom w:w="60" w:type="dxa"/>
              <w:right w:w="40" w:type="dxa"/>
            </w:tcMar>
          </w:tcPr>
          <w:p>
            <w:pPr>
              <w:pStyle w:val="Normal"/>
              <w:jc w:val="center"/>
              <w:rPr/>
            </w:pPr>
            <w:r>
              <w:rPr>
                <w:rFonts w:eastAsia="Arial" w:cs="Arial"/>
                <w:color w:val="DC2626"/>
                <w:sz w:val="16"/>
                <w:szCs w:val="16"/>
              </w:rPr>
              <w:t>█</w:t>
            </w:r>
          </w:p>
        </w:tc>
        <w:tc>
          <w:tcPr>
            <w:tcW w:w="524" w:type="dxa"/>
            <w:tcBorders>
              <w:top w:val="single" w:sz="2" w:space="0" w:color="E5E7EB"/>
              <w:left w:val="single" w:sz="2" w:space="0" w:color="E5E7EB"/>
              <w:bottom w:val="single" w:sz="2" w:space="0" w:color="E5E7EB"/>
              <w:right w:val="single" w:sz="2" w:space="0" w:color="E5E7EB"/>
            </w:tcBorders>
            <w:shd w:fill="DC2626" w:val="clear"/>
            <w:tcMar>
              <w:top w:w="60" w:type="dxa"/>
              <w:left w:w="40" w:type="dxa"/>
              <w:bottom w:w="60" w:type="dxa"/>
              <w:right w:w="40" w:type="dxa"/>
            </w:tcMar>
          </w:tcPr>
          <w:p>
            <w:pPr>
              <w:pStyle w:val="Normal"/>
              <w:jc w:val="center"/>
              <w:rPr/>
            </w:pPr>
            <w:r>
              <w:rPr>
                <w:rFonts w:eastAsia="Arial" w:cs="Arial"/>
                <w:color w:val="DC2626"/>
                <w:sz w:val="16"/>
                <w:szCs w:val="16"/>
              </w:rPr>
              <w:t>█</w:t>
            </w:r>
          </w:p>
        </w:tc>
      </w:tr>
      <w:tr>
        <w:trPr/>
        <w:tc>
          <w:tcPr>
            <w:tcW w:w="2304" w:type="dxa"/>
            <w:tcBorders/>
            <w:tcMar>
              <w:top w:w="0" w:type="dxa"/>
              <w:left w:w="108" w:type="dxa"/>
              <w:bottom w:w="0" w:type="dxa"/>
              <w:right w:w="108" w:type="dxa"/>
            </w:tcMar>
          </w:tcPr>
          <w:p>
            <w:pPr>
              <w:pStyle w:val="Normal"/>
              <w:rPr/>
            </w:pPr>
            <w:r>
              <w:rPr>
                <w:rFonts w:eastAsia="Arial" w:cs="Arial"/>
                <w:b/>
                <w:bCs/>
                <w:color w:val="374151"/>
                <w:sz w:val="16"/>
                <w:szCs w:val="16"/>
              </w:rPr>
              <w:t>Mese:</w:t>
            </w:r>
          </w:p>
        </w:tc>
        <w:tc>
          <w:tcPr>
            <w:tcW w:w="1048" w:type="dxa"/>
            <w:gridSpan w:val="2"/>
            <w:tcBorders>
              <w:top w:val="single" w:sz="2" w:space="0" w:color="E5E7EB"/>
              <w:left w:val="single" w:sz="2" w:space="0" w:color="E5E7EB"/>
              <w:bottom w:val="single" w:sz="2" w:space="0" w:color="E5E7EB"/>
              <w:right w:val="single" w:sz="2" w:space="0" w:color="E5E7EB"/>
            </w:tcBorders>
            <w:shd w:fill="EFF6FF" w:val="clear"/>
            <w:tcMar>
              <w:top w:w="0" w:type="dxa"/>
              <w:left w:w="108" w:type="dxa"/>
              <w:bottom w:w="0" w:type="dxa"/>
              <w:right w:w="108" w:type="dxa"/>
            </w:tcMar>
          </w:tcPr>
          <w:p>
            <w:pPr>
              <w:pStyle w:val="Normal"/>
              <w:jc w:val="center"/>
              <w:rPr/>
            </w:pPr>
            <w:r>
              <w:rPr>
                <w:rFonts w:eastAsia="Arial" w:cs="Arial"/>
                <w:b/>
                <w:bCs/>
                <w:color w:val="1E40AF"/>
                <w:sz w:val="15"/>
                <w:szCs w:val="15"/>
              </w:rPr>
              <w:t>Settembre</w:t>
            </w:r>
          </w:p>
        </w:tc>
        <w:tc>
          <w:tcPr>
            <w:tcW w:w="1047" w:type="dxa"/>
            <w:gridSpan w:val="2"/>
            <w:tcBorders>
              <w:top w:val="single" w:sz="2" w:space="0" w:color="E5E7EB"/>
              <w:left w:val="single" w:sz="2" w:space="0" w:color="E5E7EB"/>
              <w:bottom w:val="single" w:sz="2" w:space="0" w:color="E5E7EB"/>
              <w:right w:val="single" w:sz="2" w:space="0" w:color="E5E7EB"/>
            </w:tcBorders>
            <w:shd w:fill="F0FDF4" w:val="clear"/>
            <w:tcMar>
              <w:top w:w="0" w:type="dxa"/>
              <w:left w:w="108" w:type="dxa"/>
              <w:bottom w:w="0" w:type="dxa"/>
              <w:right w:w="108" w:type="dxa"/>
            </w:tcMar>
          </w:tcPr>
          <w:p>
            <w:pPr>
              <w:pStyle w:val="Normal"/>
              <w:jc w:val="center"/>
              <w:rPr/>
            </w:pPr>
            <w:r>
              <w:rPr>
                <w:rFonts w:eastAsia="Arial" w:cs="Arial"/>
                <w:b/>
                <w:bCs/>
                <w:color w:val="065F46"/>
                <w:sz w:val="15"/>
                <w:szCs w:val="15"/>
              </w:rPr>
              <w:t>Ottobre</w:t>
            </w:r>
          </w:p>
        </w:tc>
        <w:tc>
          <w:tcPr>
            <w:tcW w:w="2096" w:type="dxa"/>
            <w:gridSpan w:val="4"/>
            <w:tcBorders>
              <w:top w:val="single" w:sz="2" w:space="0" w:color="E5E7EB"/>
              <w:left w:val="single" w:sz="2" w:space="0" w:color="E5E7EB"/>
              <w:bottom w:val="single" w:sz="2" w:space="0" w:color="E5E7EB"/>
              <w:right w:val="single" w:sz="2" w:space="0" w:color="E5E7EB"/>
            </w:tcBorders>
            <w:shd w:fill="FFF7ED" w:val="clear"/>
            <w:tcMar>
              <w:top w:w="0" w:type="dxa"/>
              <w:left w:w="108" w:type="dxa"/>
              <w:bottom w:w="0" w:type="dxa"/>
              <w:right w:w="108" w:type="dxa"/>
            </w:tcMar>
          </w:tcPr>
          <w:p>
            <w:pPr>
              <w:pStyle w:val="Normal"/>
              <w:jc w:val="center"/>
              <w:rPr/>
            </w:pPr>
            <w:r>
              <w:rPr>
                <w:rFonts w:eastAsia="Arial" w:cs="Arial"/>
                <w:b/>
                <w:bCs/>
                <w:color w:val="D97706"/>
                <w:sz w:val="15"/>
                <w:szCs w:val="15"/>
              </w:rPr>
              <w:t>Novembre</w:t>
            </w:r>
          </w:p>
        </w:tc>
        <w:tc>
          <w:tcPr>
            <w:tcW w:w="2095" w:type="dxa"/>
            <w:gridSpan w:val="4"/>
            <w:tcBorders>
              <w:top w:val="single" w:sz="2" w:space="0" w:color="E5E7EB"/>
              <w:left w:val="single" w:sz="2" w:space="0" w:color="E5E7EB"/>
              <w:bottom w:val="single" w:sz="2" w:space="0" w:color="E5E7EB"/>
              <w:right w:val="single" w:sz="2" w:space="0" w:color="E5E7EB"/>
            </w:tcBorders>
            <w:shd w:fill="FEF2F2" w:val="clear"/>
            <w:tcMar>
              <w:top w:w="0" w:type="dxa"/>
              <w:left w:w="108" w:type="dxa"/>
              <w:bottom w:w="0" w:type="dxa"/>
              <w:right w:w="108" w:type="dxa"/>
            </w:tcMar>
          </w:tcPr>
          <w:p>
            <w:pPr>
              <w:pStyle w:val="Normal"/>
              <w:jc w:val="center"/>
              <w:rPr/>
            </w:pPr>
            <w:r>
              <w:rPr>
                <w:rFonts w:eastAsia="Arial" w:cs="Arial"/>
                <w:b/>
                <w:bCs/>
                <w:color w:val="DC2626"/>
                <w:sz w:val="15"/>
                <w:szCs w:val="15"/>
              </w:rPr>
              <w:t>Dicembre</w:t>
            </w:r>
          </w:p>
        </w:tc>
        <w:tc>
          <w:tcPr>
            <w:tcW w:w="1048" w:type="dxa"/>
            <w:gridSpan w:val="2"/>
            <w:tcBorders>
              <w:top w:val="single" w:sz="2" w:space="0" w:color="E5E7EB"/>
              <w:left w:val="single" w:sz="2" w:space="0" w:color="E5E7EB"/>
              <w:bottom w:val="single" w:sz="2" w:space="0" w:color="E5E7EB"/>
              <w:right w:val="single" w:sz="2" w:space="0" w:color="E5E7EB"/>
            </w:tcBorders>
            <w:shd w:fill="F3F4F6" w:val="clear"/>
            <w:tcMar>
              <w:top w:w="0" w:type="dxa"/>
              <w:left w:w="108" w:type="dxa"/>
              <w:bottom w:w="0" w:type="dxa"/>
              <w:right w:w="108" w:type="dxa"/>
            </w:tcMar>
          </w:tcPr>
          <w:p>
            <w:pPr>
              <w:pStyle w:val="Normal"/>
              <w:jc w:val="center"/>
              <w:rPr/>
            </w:pPr>
            <w:r>
              <w:rPr>
                <w:rFonts w:eastAsia="Arial" w:cs="Arial"/>
                <w:b/>
                <w:bCs/>
                <w:color w:val="374151"/>
                <w:sz w:val="15"/>
                <w:szCs w:val="15"/>
              </w:rPr>
              <w:t>Consegna</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12. Piano Finanziario</w:t>
      </w:r>
    </w:p>
    <w:p>
      <w:pPr>
        <w:pStyle w:val="Heading2"/>
        <w:spacing w:before="300" w:after="120"/>
        <w:rPr/>
      </w:pPr>
      <w:r>
        <w:rPr>
          <w:rFonts w:eastAsia="Arial" w:cs="Arial" w:ascii="Arial" w:hAnsi="Arial"/>
          <w:b/>
          <w:bCs/>
          <w:color w:val="0891B2"/>
          <w:sz w:val="26"/>
          <w:szCs w:val="26"/>
        </w:rPr>
        <w:t>12.1 Investimento iniziale e startup costs</w:t>
      </w:r>
    </w:p>
    <w:tbl>
      <w:tblPr>
        <w:tblW w:w="9638" w:type="dxa"/>
        <w:jc w:val="left"/>
        <w:tblInd w:w="0" w:type="dxa"/>
        <w:tblLayout w:type="fixed"/>
        <w:tblCellMar>
          <w:top w:w="80" w:type="dxa"/>
          <w:left w:w="120" w:type="dxa"/>
          <w:bottom w:w="80" w:type="dxa"/>
          <w:right w:w="120" w:type="dxa"/>
        </w:tblCellMar>
      </w:tblPr>
      <w:tblGrid>
        <w:gridCol w:w="5000"/>
        <w:gridCol w:w="2319"/>
        <w:gridCol w:w="2319"/>
      </w:tblGrid>
      <w:tr>
        <w:trPr/>
        <w:tc>
          <w:tcPr>
            <w:tcW w:w="500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Voce di costo</w:t>
            </w:r>
          </w:p>
        </w:tc>
        <w:tc>
          <w:tcPr>
            <w:tcW w:w="231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Importo (€)</w:t>
            </w:r>
          </w:p>
        </w:tc>
        <w:tc>
          <w:tcPr>
            <w:tcW w:w="231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Note</w:t>
            </w:r>
          </w:p>
        </w:tc>
      </w:tr>
      <w:tr>
        <w:trPr/>
        <w:tc>
          <w:tcPr>
            <w:tcW w:w="5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Costituzione S.r.l. e oneri notarili</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3.500</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Comprensivo registro imprese</w:t>
            </w:r>
          </w:p>
        </w:tc>
      </w:tr>
      <w:tr>
        <w:trPr/>
        <w:tc>
          <w:tcPr>
            <w:tcW w:w="5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Capitale sociale versato</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30.000</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Tre soci fondatori</w:t>
            </w:r>
          </w:p>
        </w:tc>
      </w:tr>
      <w:tr>
        <w:trPr/>
        <w:tc>
          <w:tcPr>
            <w:tcW w:w="5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Attrezzatura tecnica (strumenti KNX, misuratori)</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18.000</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ETS6 licenza + hardware</w:t>
            </w:r>
          </w:p>
        </w:tc>
      </w:tr>
      <w:tr>
        <w:trPr/>
        <w:tc>
          <w:tcPr>
            <w:tcW w:w="5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Veicolo aziendale (furgone attrezzato)</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22.000</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Leasing 60 mesi</w:t>
            </w:r>
          </w:p>
        </w:tc>
      </w:tr>
      <w:tr>
        <w:trPr/>
        <w:tc>
          <w:tcPr>
            <w:tcW w:w="5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Ufficio — arredamento e setup IT</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8.000</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Brescia centro</w:t>
            </w:r>
          </w:p>
        </w:tc>
      </w:tr>
      <w:tr>
        <w:trPr/>
        <w:tc>
          <w:tcPr>
            <w:tcW w:w="5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Sviluppo sito web (progetto GPOI)</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0</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Sviluppato internamente</w:t>
            </w:r>
          </w:p>
        </w:tc>
      </w:tr>
      <w:tr>
        <w:trPr/>
        <w:tc>
          <w:tcPr>
            <w:tcW w:w="5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Marketing lancio (anno 0)</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5.000</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Fiere + LinkedIn Ads</w:t>
            </w:r>
          </w:p>
        </w:tc>
      </w:tr>
      <w:tr>
        <w:trPr/>
        <w:tc>
          <w:tcPr>
            <w:tcW w:w="5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Certificazioni KNX + ISO 9001</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4.500</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Mantenimento annuale</w:t>
            </w:r>
          </w:p>
        </w:tc>
      </w:tr>
      <w:tr>
        <w:trPr/>
        <w:tc>
          <w:tcPr>
            <w:tcW w:w="500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Fondo cassa operativo (3 mesi)</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15.000</w:t>
            </w:r>
          </w:p>
        </w:tc>
        <w:tc>
          <w:tcPr>
            <w:tcW w:w="23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Liquidita' di sicurezza</w:t>
            </w:r>
          </w:p>
        </w:tc>
      </w:tr>
      <w:tr>
        <w:trPr/>
        <w:tc>
          <w:tcPr>
            <w:tcW w:w="500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TOTALE INVESTIMENTO INIZIALE</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106.000</w:t>
            </w:r>
          </w:p>
        </w:tc>
        <w:tc>
          <w:tcPr>
            <w:tcW w:w="23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
          </w:p>
        </w:tc>
      </w:tr>
    </w:tbl>
    <w:p>
      <w:pPr>
        <w:pStyle w:val="Heading2"/>
        <w:spacing w:before="300" w:after="120"/>
        <w:rPr/>
      </w:pPr>
      <w:r>
        <w:rPr>
          <w:rFonts w:eastAsia="Arial" w:cs="Arial" w:ascii="Arial" w:hAnsi="Arial"/>
          <w:b/>
          <w:bCs/>
          <w:color w:val="0891B2"/>
          <w:sz w:val="26"/>
          <w:szCs w:val="26"/>
        </w:rPr>
        <w:t>12.2 Conto economico previsionale triennale</w:t>
      </w:r>
    </w:p>
    <w:tbl>
      <w:tblPr>
        <w:tblW w:w="9638" w:type="dxa"/>
        <w:jc w:val="left"/>
        <w:tblInd w:w="0" w:type="dxa"/>
        <w:tblLayout w:type="fixed"/>
        <w:tblCellMar>
          <w:top w:w="80" w:type="dxa"/>
          <w:left w:w="120" w:type="dxa"/>
          <w:bottom w:w="80" w:type="dxa"/>
          <w:right w:w="120" w:type="dxa"/>
        </w:tblCellMar>
      </w:tblPr>
      <w:tblGrid>
        <w:gridCol w:w="3499"/>
        <w:gridCol w:w="2046"/>
        <w:gridCol w:w="2046"/>
        <w:gridCol w:w="2046"/>
      </w:tblGrid>
      <w:tr>
        <w:trPr/>
        <w:tc>
          <w:tcPr>
            <w:tcW w:w="34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Voce</w:t>
            </w:r>
          </w:p>
        </w:tc>
        <w:tc>
          <w:tcPr>
            <w:tcW w:w="2046"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Anno 1 — 2025</w:t>
            </w:r>
          </w:p>
        </w:tc>
        <w:tc>
          <w:tcPr>
            <w:tcW w:w="2046"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Anno 2 — 2026</w:t>
            </w:r>
          </w:p>
        </w:tc>
        <w:tc>
          <w:tcPr>
            <w:tcW w:w="2046"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Anno 3 — 2027</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RICAVI</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Contratti impianti domotici</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375.000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620.000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890.000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Manutenzione ricorrente (MRR)</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45.000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120.000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210.000</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SaaS dashboard IoT</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8.400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28.800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62.400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Consulenza KNX e perizie</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15.600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24.000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36.000</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TOTALE RICAVI</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444.000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792.800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1.198.400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bCs/>
                <w:color w:val="374151"/>
                <w:sz w:val="19"/>
                <w:szCs w:val="19"/>
              </w:rPr>
              <w:t>COSTI OPERATIVI</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Costo del personale (lordo)</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145.000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310.000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480.000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Materiali e componentistica KNX</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112.000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195.000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280.000</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Affitto e utenze ufficio</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18.000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20.000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24.000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Marketing e commerciale</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28.200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38.000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48.000</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Leasing veicolo e carburante</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8.400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12.000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16.000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Assicurazioni e licenze</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6.000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7.200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8.400</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TOTALE COSTI</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317.600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582.200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856.400</w:t>
            </w:r>
          </w:p>
        </w:tc>
      </w:tr>
      <w:tr>
        <w:trPr/>
        <w:tc>
          <w:tcPr>
            <w:tcW w:w="349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bCs/>
                <w:color w:val="374151"/>
                <w:sz w:val="19"/>
                <w:szCs w:val="19"/>
              </w:rPr>
              <w:t>EBITDA</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126.400</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210.600</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342.000</w:t>
            </w:r>
          </w:p>
        </w:tc>
      </w:tr>
      <w:tr>
        <w:trPr/>
        <w:tc>
          <w:tcPr>
            <w:tcW w:w="349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bCs/>
                <w:color w:val="374151"/>
                <w:sz w:val="19"/>
                <w:szCs w:val="19"/>
              </w:rPr>
              <w:t>Margine EBITDA %</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28,5%</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26,6%</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374151"/>
                <w:sz w:val="19"/>
                <w:szCs w:val="19"/>
              </w:rPr>
              <w:t>28,5%</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Ammortamenti e oneri fin.</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12.000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15.000</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18.000</w:t>
            </w:r>
          </w:p>
        </w:tc>
      </w:tr>
      <w:tr>
        <w:trPr/>
        <w:tc>
          <w:tcPr>
            <w:tcW w:w="34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bCs/>
                <w:color w:val="374151"/>
                <w:sz w:val="19"/>
                <w:szCs w:val="19"/>
              </w:rPr>
              <w:t>UTILE ANTE IMPOSTE</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114.400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195.600</w:t>
            </w:r>
          </w:p>
        </w:tc>
        <w:tc>
          <w:tcPr>
            <w:tcW w:w="2046"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bCs/>
                <w:color w:val="374151"/>
                <w:sz w:val="19"/>
                <w:szCs w:val="19"/>
              </w:rPr>
              <w:t xml:space="preserve">€ </w:t>
            </w:r>
            <w:r>
              <w:rPr>
                <w:rFonts w:eastAsia="Arial" w:cs="Arial"/>
                <w:b/>
                <w:bCs/>
                <w:color w:val="374151"/>
                <w:sz w:val="19"/>
                <w:szCs w:val="19"/>
              </w:rPr>
              <w:t>324.000</w:t>
            </w:r>
          </w:p>
        </w:tc>
      </w:tr>
      <w:tr>
        <w:trPr/>
        <w:tc>
          <w:tcPr>
            <w:tcW w:w="34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Imposte IRES + IRAP (28% est.)</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32.032</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54.768</w:t>
            </w:r>
          </w:p>
        </w:tc>
        <w:tc>
          <w:tcPr>
            <w:tcW w:w="2046"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90.720</w:t>
            </w:r>
          </w:p>
        </w:tc>
      </w:tr>
      <w:tr>
        <w:trPr/>
        <w:tc>
          <w:tcPr>
            <w:tcW w:w="3499"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left"/>
              <w:rPr/>
            </w:pPr>
            <w:r>
              <w:rPr>
                <w:rFonts w:eastAsia="Arial" w:cs="Arial"/>
                <w:b/>
                <w:bCs/>
                <w:color w:val="374151"/>
                <w:sz w:val="19"/>
                <w:szCs w:val="19"/>
              </w:rPr>
              <w:t>UTILE NETTO</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065F46"/>
                <w:sz w:val="19"/>
                <w:szCs w:val="19"/>
              </w:rPr>
              <w:t xml:space="preserve">€ </w:t>
            </w:r>
            <w:r>
              <w:rPr>
                <w:rFonts w:eastAsia="Arial" w:cs="Arial"/>
                <w:b/>
                <w:bCs/>
                <w:color w:val="065F46"/>
                <w:sz w:val="19"/>
                <w:szCs w:val="19"/>
              </w:rPr>
              <w:t>82.368</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065F46"/>
                <w:sz w:val="19"/>
                <w:szCs w:val="19"/>
              </w:rPr>
              <w:t xml:space="preserve">€ </w:t>
            </w:r>
            <w:r>
              <w:rPr>
                <w:rFonts w:eastAsia="Arial" w:cs="Arial"/>
                <w:b/>
                <w:bCs/>
                <w:color w:val="065F46"/>
                <w:sz w:val="19"/>
                <w:szCs w:val="19"/>
              </w:rPr>
              <w:t>140.832</w:t>
            </w:r>
          </w:p>
        </w:tc>
        <w:tc>
          <w:tcPr>
            <w:tcW w:w="2046" w:type="dxa"/>
            <w:tcBorders>
              <w:top w:val="single" w:sz="2" w:space="0" w:color="E5E7EB"/>
              <w:left w:val="single" w:sz="2" w:space="0" w:color="E5E7EB"/>
              <w:bottom w:val="single" w:sz="2" w:space="0" w:color="E5E7EB"/>
              <w:right w:val="single" w:sz="2" w:space="0" w:color="E5E7EB"/>
            </w:tcBorders>
            <w:shd w:fill="D1FAE5" w:val="clear"/>
            <w:vAlign w:val="center"/>
          </w:tcPr>
          <w:p>
            <w:pPr>
              <w:pStyle w:val="Normal"/>
              <w:jc w:val="center"/>
              <w:rPr/>
            </w:pPr>
            <w:r>
              <w:rPr>
                <w:rFonts w:eastAsia="Arial" w:cs="Arial"/>
                <w:b/>
                <w:bCs/>
                <w:color w:val="065F46"/>
                <w:sz w:val="19"/>
                <w:szCs w:val="19"/>
              </w:rPr>
              <w:t xml:space="preserve">€ </w:t>
            </w:r>
            <w:r>
              <w:rPr>
                <w:rFonts w:eastAsia="Arial" w:cs="Arial"/>
                <w:b/>
                <w:bCs/>
                <w:color w:val="065F46"/>
                <w:sz w:val="19"/>
                <w:szCs w:val="19"/>
              </w:rPr>
              <w:t>233.280</w:t>
            </w:r>
          </w:p>
        </w:tc>
      </w:tr>
    </w:tbl>
    <w:p>
      <w:pPr>
        <w:pStyle w:val="Heading2"/>
        <w:spacing w:before="300" w:after="120"/>
        <w:rPr/>
      </w:pPr>
      <w:r>
        <w:rPr>
          <w:rFonts w:eastAsia="Arial" w:cs="Arial" w:ascii="Arial" w:hAnsi="Arial"/>
          <w:b/>
          <w:bCs/>
          <w:color w:val="0891B2"/>
          <w:sz w:val="26"/>
          <w:szCs w:val="26"/>
        </w:rPr>
        <w:t>12.3 Break-even analysis</w:t>
      </w:r>
    </w:p>
    <w:p>
      <w:pPr>
        <w:pStyle w:val="Normal"/>
        <w:spacing w:before="60" w:after="100"/>
        <w:jc w:val="both"/>
        <w:rPr/>
      </w:pPr>
      <w:r>
        <w:rPr>
          <w:rFonts w:eastAsia="Arial" w:cs="Arial"/>
          <w:color w:val="374151"/>
          <w:sz w:val="20"/>
          <w:szCs w:val="20"/>
        </w:rPr>
        <w:t>Il punto di pareggio (break-even point) viene raggiunto al 7° mese di attivita' (marzo 2026), con un fatturato cumulativo di circa 260.000 euro. Il ROI sull'investimento iniziale di 106.000 euro viene recuperato entro il 14° mese di attivita'.</w:t>
      </w:r>
    </w:p>
    <w:p>
      <w:pPr>
        <w:pStyle w:val="Normal"/>
        <w:spacing w:before="0" w:after="80"/>
        <w:rPr/>
      </w:pPr>
      <w:r>
        <w:rPr/>
      </w:r>
    </w:p>
    <w:tbl>
      <w:tblPr>
        <w:tblW w:w="9638" w:type="dxa"/>
        <w:jc w:val="left"/>
        <w:tblInd w:w="0" w:type="dxa"/>
        <w:tblLayout w:type="fixed"/>
        <w:tblCellMar>
          <w:top w:w="80" w:type="dxa"/>
          <w:left w:w="120" w:type="dxa"/>
          <w:bottom w:w="80" w:type="dxa"/>
          <w:right w:w="120" w:type="dxa"/>
        </w:tblCellMar>
      </w:tblPr>
      <w:tblGrid>
        <w:gridCol w:w="3199"/>
        <w:gridCol w:w="3219"/>
        <w:gridCol w:w="3220"/>
      </w:tblGrid>
      <w:tr>
        <w:trPr/>
        <w:tc>
          <w:tcPr>
            <w:tcW w:w="319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Indicatore</w:t>
            </w:r>
          </w:p>
        </w:tc>
        <w:tc>
          <w:tcPr>
            <w:tcW w:w="3219"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Valore</w:t>
            </w:r>
          </w:p>
        </w:tc>
        <w:tc>
          <w:tcPr>
            <w:tcW w:w="3220" w:type="dxa"/>
            <w:tcBorders>
              <w:top w:val="single" w:sz="2" w:space="0" w:color="E5E7EB"/>
              <w:left w:val="single" w:sz="2" w:space="0" w:color="E5E7EB"/>
              <w:bottom w:val="single" w:sz="2" w:space="0" w:color="E5E7EB"/>
              <w:right w:val="single" w:sz="2" w:space="0" w:color="E5E7EB"/>
            </w:tcBorders>
            <w:shd w:fill="1E3A5F" w:val="clear"/>
            <w:vAlign w:val="center"/>
          </w:tcPr>
          <w:p>
            <w:pPr>
              <w:pStyle w:val="Normal"/>
              <w:jc w:val="center"/>
              <w:rPr/>
            </w:pPr>
            <w:r>
              <w:rPr>
                <w:rFonts w:eastAsia="Arial" w:cs="Arial"/>
                <w:b/>
                <w:bCs/>
                <w:color w:val="FFFFFF"/>
                <w:sz w:val="18"/>
                <w:szCs w:val="18"/>
              </w:rPr>
              <w:t>Tempistica</w:t>
            </w:r>
          </w:p>
        </w:tc>
      </w:tr>
      <w:tr>
        <w:trPr/>
        <w:tc>
          <w:tcPr>
            <w:tcW w:w="31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Break-even mensile</w:t>
            </w:r>
          </w:p>
        </w:tc>
        <w:tc>
          <w:tcPr>
            <w:tcW w:w="32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37.000/mese di fatturato</w:t>
            </w:r>
          </w:p>
        </w:tc>
        <w:tc>
          <w:tcPr>
            <w:tcW w:w="322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Raggiunto al mese 7</w:t>
            </w:r>
          </w:p>
        </w:tc>
      </w:tr>
      <w:tr>
        <w:trPr/>
        <w:tc>
          <w:tcPr>
            <w:tcW w:w="31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ROI investimento iniziale</w:t>
            </w:r>
          </w:p>
        </w:tc>
        <w:tc>
          <w:tcPr>
            <w:tcW w:w="32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78% nel primo anno</w:t>
            </w:r>
          </w:p>
        </w:tc>
        <w:tc>
          <w:tcPr>
            <w:tcW w:w="322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Mese 14 completo recupero</w:t>
            </w:r>
          </w:p>
        </w:tc>
      </w:tr>
      <w:tr>
        <w:trPr/>
        <w:tc>
          <w:tcPr>
            <w:tcW w:w="319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Payback period</w:t>
            </w:r>
          </w:p>
        </w:tc>
        <w:tc>
          <w:tcPr>
            <w:tcW w:w="3219"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center"/>
              <w:rPr/>
            </w:pPr>
            <w:r>
              <w:rPr>
                <w:rFonts w:eastAsia="Arial" w:cs="Arial"/>
                <w:b w:val="false"/>
                <w:bCs w:val="false"/>
                <w:color w:val="374151"/>
                <w:sz w:val="19"/>
                <w:szCs w:val="19"/>
              </w:rPr>
              <w:t>14 mesi</w:t>
            </w:r>
          </w:p>
        </w:tc>
        <w:tc>
          <w:tcPr>
            <w:tcW w:w="3220" w:type="dxa"/>
            <w:tcBorders>
              <w:top w:val="single" w:sz="2" w:space="0" w:color="E5E7EB"/>
              <w:left w:val="single" w:sz="2" w:space="0" w:color="E5E7EB"/>
              <w:bottom w:val="single" w:sz="2" w:space="0" w:color="E5E7EB"/>
              <w:right w:val="single" w:sz="2" w:space="0" w:color="E5E7EB"/>
            </w:tcBorders>
            <w:shd w:fill="F3F4F6" w:val="clear"/>
            <w:vAlign w:val="center"/>
          </w:tcPr>
          <w:p>
            <w:pPr>
              <w:pStyle w:val="Normal"/>
              <w:jc w:val="left"/>
              <w:rPr/>
            </w:pPr>
            <w:r>
              <w:rPr>
                <w:rFonts w:eastAsia="Arial" w:cs="Arial"/>
                <w:b w:val="false"/>
                <w:bCs w:val="false"/>
                <w:color w:val="374151"/>
                <w:sz w:val="19"/>
                <w:szCs w:val="19"/>
              </w:rPr>
              <w:t>Febbraio 2026</w:t>
            </w:r>
          </w:p>
        </w:tc>
      </w:tr>
      <w:tr>
        <w:trPr/>
        <w:tc>
          <w:tcPr>
            <w:tcW w:w="319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Fatturato cumulativo Y3</w:t>
            </w:r>
          </w:p>
        </w:tc>
        <w:tc>
          <w:tcPr>
            <w:tcW w:w="3219"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center"/>
              <w:rPr/>
            </w:pPr>
            <w:r>
              <w:rPr>
                <w:rFonts w:eastAsia="Arial" w:cs="Arial"/>
                <w:b w:val="false"/>
                <w:bCs w:val="false"/>
                <w:color w:val="374151"/>
                <w:sz w:val="19"/>
                <w:szCs w:val="19"/>
              </w:rPr>
              <w:t xml:space="preserve">€ </w:t>
            </w:r>
            <w:r>
              <w:rPr>
                <w:rFonts w:eastAsia="Arial" w:cs="Arial"/>
                <w:b w:val="false"/>
                <w:bCs w:val="false"/>
                <w:color w:val="374151"/>
                <w:sz w:val="19"/>
                <w:szCs w:val="19"/>
              </w:rPr>
              <w:t>2.435.200</w:t>
            </w:r>
          </w:p>
        </w:tc>
        <w:tc>
          <w:tcPr>
            <w:tcW w:w="3220" w:type="dxa"/>
            <w:tcBorders>
              <w:top w:val="single" w:sz="2" w:space="0" w:color="E5E7EB"/>
              <w:left w:val="single" w:sz="2" w:space="0" w:color="E5E7EB"/>
              <w:bottom w:val="single" w:sz="2" w:space="0" w:color="E5E7EB"/>
              <w:right w:val="single" w:sz="2" w:space="0" w:color="E5E7EB"/>
            </w:tcBorders>
            <w:shd w:fill="FFFFFF" w:val="clear"/>
            <w:vAlign w:val="center"/>
          </w:tcPr>
          <w:p>
            <w:pPr>
              <w:pStyle w:val="Normal"/>
              <w:jc w:val="left"/>
              <w:rPr/>
            </w:pPr>
            <w:r>
              <w:rPr>
                <w:rFonts w:eastAsia="Arial" w:cs="Arial"/>
                <w:b w:val="false"/>
                <w:bCs w:val="false"/>
                <w:color w:val="374151"/>
                <w:sz w:val="19"/>
                <w:szCs w:val="19"/>
              </w:rPr>
              <w:t>Fine dicembre 2027</w:t>
            </w:r>
          </w:p>
        </w:tc>
      </w:tr>
    </w:tbl>
    <w:p>
      <w:pPr>
        <w:pStyle w:val="Normal"/>
        <w:rPr/>
      </w:pPr>
      <w:r>
        <w:rPr/>
      </w:r>
      <w:r>
        <w:br w:type="page"/>
      </w:r>
    </w:p>
    <w:p>
      <w:pPr>
        <w:pStyle w:val="Heading1"/>
        <w:pBdr>
          <w:bottom w:val="single" w:sz="2" w:space="6" w:color="1E40AF"/>
        </w:pBdr>
        <w:spacing w:before="0" w:after="200"/>
        <w:rPr/>
      </w:pPr>
      <w:r>
        <w:rPr>
          <w:rFonts w:eastAsia="Arial" w:cs="Arial" w:ascii="Arial" w:hAnsi="Arial"/>
          <w:b/>
          <w:bCs/>
          <w:color w:val="1E40AF"/>
          <w:sz w:val="36"/>
          <w:szCs w:val="36"/>
        </w:rPr>
        <w:t>13. Conclusioni</w:t>
      </w:r>
    </w:p>
    <w:p>
      <w:pPr>
        <w:pStyle w:val="Normal"/>
        <w:spacing w:before="60" w:after="100"/>
        <w:jc w:val="both"/>
        <w:rPr/>
      </w:pPr>
      <w:r>
        <w:rPr>
          <w:rFonts w:eastAsia="Arial" w:cs="Arial"/>
          <w:color w:val="374151"/>
          <w:sz w:val="20"/>
          <w:szCs w:val="20"/>
        </w:rPr>
        <w:t>WiredSpace S.r.l. rappresenta un progetto imprenditoriale solido, fondato su una nicchia di mercato in forte crescita strutturale (domotica KNX B2B), con differenziatori tecnici certificabili (KNX Partner, ISO 9001) e un modello di business con ricavi ricorrenti crescenti grazie ai contratti di manutenzione e alla piattaforma SaaS IoT.</w:t>
      </w:r>
    </w:p>
    <w:p>
      <w:pPr>
        <w:pStyle w:val="Normal"/>
        <w:spacing w:before="0" w:after="80"/>
        <w:rPr/>
      </w:pPr>
      <w:r>
        <w:rPr/>
      </w:r>
    </w:p>
    <w:p>
      <w:pPr>
        <w:pStyle w:val="Normal"/>
        <w:spacing w:before="60" w:after="100"/>
        <w:jc w:val="both"/>
        <w:rPr/>
      </w:pPr>
      <w:r>
        <w:rPr>
          <w:rFonts w:eastAsia="Arial" w:cs="Arial"/>
          <w:color w:val="374151"/>
          <w:sz w:val="20"/>
          <w:szCs w:val="20"/>
        </w:rPr>
        <w:t>Il progetto GPOI 2024/2025 — lo sviluppo del sito web dinamico con PHP 8, MySQL, JavaScript e Animate.css — costituisce l'infrastruttura digitale dell'azienda e dimostra la capacita' del team di applicare metodologie professionali di project management (WBS, RBS, Gantt) a un progetto informatico reale.</w:t>
      </w:r>
    </w:p>
    <w:p>
      <w:pPr>
        <w:pStyle w:val="Normal"/>
        <w:spacing w:before="0" w:after="80"/>
        <w:rPr/>
      </w:pPr>
      <w:r>
        <w:rPr/>
      </w:r>
    </w:p>
    <w:p>
      <w:pPr>
        <w:pStyle w:val="Normal"/>
        <w:spacing w:before="60" w:after="100"/>
        <w:jc w:val="both"/>
        <w:rPr/>
      </w:pPr>
      <w:r>
        <w:rPr>
          <w:rFonts w:eastAsia="Arial" w:cs="Arial"/>
          <w:color w:val="374151"/>
          <w:sz w:val="20"/>
          <w:szCs w:val="20"/>
        </w:rPr>
        <w:t>Le proiezioni finanziarie mostrano una traiettoria di crescita sostenibile: da 444.000 euro di fatturato nel primo anno a oltre 1,19 milioni nel terzo anno, con margini operativi stabili intorno al 28% e un break-even raggiunto al settimo mese di attivita'.</w:t>
      </w:r>
    </w:p>
    <w:p>
      <w:pPr>
        <w:pStyle w:val="Normal"/>
        <w:spacing w:before="0" w:after="80"/>
        <w:rPr/>
      </w:pPr>
      <w:r>
        <w:rPr/>
      </w:r>
    </w:p>
    <w:p>
      <w:pPr>
        <w:pStyle w:val="Heading2"/>
        <w:spacing w:before="300" w:after="120"/>
        <w:rPr/>
      </w:pPr>
      <w:r>
        <w:rPr>
          <w:rFonts w:eastAsia="Arial" w:cs="Arial" w:ascii="Arial" w:hAnsi="Arial"/>
          <w:b/>
          <w:bCs/>
          <w:color w:val="0891B2"/>
          <w:sz w:val="26"/>
          <w:szCs w:val="26"/>
        </w:rPr>
        <w:t>13.1 Prossimi passi (roadmap 2025)</w:t>
      </w:r>
    </w:p>
    <w:p>
      <w:pPr>
        <w:pStyle w:val="ListParagraph"/>
        <w:numPr>
          <w:ilvl w:val="0"/>
          <w:numId w:val="1"/>
        </w:numPr>
        <w:spacing w:before="40" w:after="60"/>
        <w:rPr/>
      </w:pPr>
      <w:r>
        <w:rPr>
          <w:rFonts w:eastAsia="Arial" w:cs="Arial"/>
          <w:b w:val="false"/>
          <w:bCs w:val="false"/>
          <w:color w:val="374151"/>
          <w:sz w:val="20"/>
          <w:szCs w:val="20"/>
        </w:rPr>
        <w:t>Gennaio 2025: Costituzione formale S.r.l. e apertura partita IVA</w:t>
      </w:r>
    </w:p>
    <w:p>
      <w:pPr>
        <w:pStyle w:val="ListParagraph"/>
        <w:numPr>
          <w:ilvl w:val="0"/>
          <w:numId w:val="1"/>
        </w:numPr>
        <w:spacing w:before="40" w:after="60"/>
        <w:rPr/>
      </w:pPr>
      <w:r>
        <w:rPr>
          <w:rFonts w:eastAsia="Arial" w:cs="Arial"/>
          <w:b w:val="false"/>
          <w:bCs w:val="false"/>
          <w:color w:val="374151"/>
          <w:sz w:val="20"/>
          <w:szCs w:val="20"/>
        </w:rPr>
        <w:t>Febbraio 2025: Firma primo contratto pilota con azienda manifatturiera bresciana</w:t>
      </w:r>
    </w:p>
    <w:p>
      <w:pPr>
        <w:pStyle w:val="ListParagraph"/>
        <w:numPr>
          <w:ilvl w:val="0"/>
          <w:numId w:val="1"/>
        </w:numPr>
        <w:spacing w:before="40" w:after="60"/>
        <w:rPr/>
      </w:pPr>
      <w:r>
        <w:rPr>
          <w:rFonts w:eastAsia="Arial" w:cs="Arial"/>
          <w:b w:val="false"/>
          <w:bCs w:val="false"/>
          <w:color w:val="374151"/>
          <w:sz w:val="20"/>
          <w:szCs w:val="20"/>
        </w:rPr>
        <w:t>Marzo 2025: Lancio sito web wiredspace.it con area clienti e richiesta preventivo online</w:t>
      </w:r>
    </w:p>
    <w:p>
      <w:pPr>
        <w:pStyle w:val="ListParagraph"/>
        <w:numPr>
          <w:ilvl w:val="0"/>
          <w:numId w:val="1"/>
        </w:numPr>
        <w:spacing w:before="40" w:after="60"/>
        <w:rPr/>
      </w:pPr>
      <w:r>
        <w:rPr>
          <w:rFonts w:eastAsia="Arial" w:cs="Arial"/>
          <w:b w:val="false"/>
          <w:bCs w:val="false"/>
          <w:color w:val="374151"/>
          <w:sz w:val="20"/>
          <w:szCs w:val="20"/>
        </w:rPr>
        <w:t>Aprile 2025: Prima partecipazione a MCE Milano come espositori</w:t>
      </w:r>
    </w:p>
    <w:p>
      <w:pPr>
        <w:pStyle w:val="ListParagraph"/>
        <w:numPr>
          <w:ilvl w:val="0"/>
          <w:numId w:val="1"/>
        </w:numPr>
        <w:spacing w:before="40" w:after="60"/>
        <w:rPr/>
      </w:pPr>
      <w:r>
        <w:rPr>
          <w:rFonts w:eastAsia="Arial" w:cs="Arial"/>
          <w:b w:val="false"/>
          <w:bCs w:val="false"/>
          <w:color w:val="374151"/>
          <w:sz w:val="20"/>
          <w:szCs w:val="20"/>
        </w:rPr>
        <w:t>Giugno 2025: Assunzione primo tecnico KNX esterno + avvio piano manutenzioni ricorrenti</w:t>
      </w:r>
    </w:p>
    <w:p>
      <w:pPr>
        <w:pStyle w:val="ListParagraph"/>
        <w:numPr>
          <w:ilvl w:val="0"/>
          <w:numId w:val="1"/>
        </w:numPr>
        <w:spacing w:before="40" w:after="60"/>
        <w:rPr/>
      </w:pPr>
      <w:r>
        <w:rPr>
          <w:rFonts w:eastAsia="Arial" w:cs="Arial"/>
          <w:b w:val="false"/>
          <w:bCs w:val="false"/>
          <w:color w:val="374151"/>
          <w:sz w:val="20"/>
          <w:szCs w:val="20"/>
        </w:rPr>
        <w:t>Settembre 2025: Avvio sviluppo piattaforma SaaS dashboard IoT proprietaria</w:t>
      </w:r>
    </w:p>
    <w:p>
      <w:pPr>
        <w:pStyle w:val="ListParagraph"/>
        <w:numPr>
          <w:ilvl w:val="0"/>
          <w:numId w:val="1"/>
        </w:numPr>
        <w:spacing w:before="40" w:after="60"/>
        <w:rPr/>
      </w:pPr>
      <w:r>
        <w:rPr>
          <w:rFonts w:eastAsia="Arial" w:cs="Arial"/>
          <w:b w:val="false"/>
          <w:bCs w:val="false"/>
          <w:color w:val="374151"/>
          <w:sz w:val="20"/>
          <w:szCs w:val="20"/>
        </w:rPr>
        <w:t>Dicembre 2025: Review annuale — target 15 contratti completati, fatturato &gt; 400.000 euro</w:t>
      </w:r>
    </w:p>
    <w:p>
      <w:pPr>
        <w:pStyle w:val="Normal"/>
        <w:spacing w:before="0" w:after="80"/>
        <w:rPr/>
      </w:pPr>
      <w:r>
        <w:rPr/>
      </w:r>
    </w:p>
    <w:p>
      <w:pPr>
        <w:pStyle w:val="Normal"/>
        <w:spacing w:before="0" w:after="80"/>
        <w:rPr/>
      </w:pPr>
      <w:r>
        <w:rPr/>
      </w:r>
    </w:p>
    <w:p>
      <w:pPr>
        <w:pStyle w:val="Normal"/>
        <w:pBdr>
          <w:top w:val="single" w:sz="4" w:space="8" w:color="1E40AF"/>
        </w:pBdr>
        <w:spacing w:before="400" w:after="0"/>
        <w:jc w:val="center"/>
        <w:rPr/>
      </w:pPr>
      <w:r>
        <w:rPr>
          <w:rFonts w:eastAsia="Arial" w:cs="Arial"/>
          <w:b/>
          <w:bCs/>
          <w:color w:val="1E40AF"/>
          <w:sz w:val="22"/>
          <w:szCs w:val="22"/>
        </w:rPr>
        <w:t>WiredSpace S.r.l. — Progettiamo l'intelligenza di domani.</w:t>
      </w:r>
    </w:p>
    <w:p>
      <w:pPr>
        <w:pStyle w:val="Normal"/>
        <w:spacing w:before="80" w:after="0"/>
        <w:jc w:val="center"/>
        <w:rPr/>
      </w:pPr>
      <w:r>
        <w:rPr>
          <w:rFonts w:eastAsia="Arial" w:cs="Arial"/>
          <w:color w:val="0891B2"/>
          <w:sz w:val="18"/>
          <w:szCs w:val="18"/>
        </w:rPr>
        <w:t>Brescia, 2025  |  info@wiredspace.it  |  +39 02 1234567  |  www.wiredspace.it</w:t>
      </w:r>
    </w:p>
    <w:p>
      <w:pPr>
        <w:pStyle w:val="Normal"/>
        <w:spacing w:before="60" w:after="0"/>
        <w:jc w:val="center"/>
        <w:rPr/>
      </w:pPr>
      <w:r>
        <w:rPr>
          <w:rFonts w:eastAsia="Arial" w:cs="Arial"/>
          <w:color w:val="374151"/>
          <w:sz w:val="16"/>
          <w:szCs w:val="16"/>
        </w:rPr>
        <w:t>Progetto GPOI 2024/2025 — PHP 8 · MySQL · JavaScript · Animate.css 4.1.1</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egoe UI Emoji">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E5E7EB"/>
      </w:pBdr>
      <w:tabs>
        <w:tab w:val="clear" w:pos="720"/>
        <w:tab w:val="right" w:pos="9638" w:leader="none"/>
      </w:tabs>
      <w:spacing w:before="80" w:after="0"/>
      <w:rPr/>
    </w:pPr>
    <w:r>
      <w:rPr>
        <w:rFonts w:eastAsia="Arial" w:cs="Arial"/>
        <w:color w:val="374151"/>
        <w:sz w:val="16"/>
        <w:szCs w:val="16"/>
      </w:rPr>
      <w:t>Documento riservato — WiredSpace S.r.l.</w:t>
      <w:tab/>
      <w:t xml:space="preserve">Pagina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E5E7EB"/>
      </w:pBdr>
      <w:tabs>
        <w:tab w:val="clear" w:pos="720"/>
        <w:tab w:val="right" w:pos="9638" w:leader="none"/>
      </w:tabs>
      <w:spacing w:before="80" w:after="0"/>
      <w:rPr/>
    </w:pPr>
    <w:r>
      <w:rPr>
        <w:rFonts w:eastAsia="Arial" w:cs="Arial"/>
        <w:color w:val="374151"/>
        <w:sz w:val="16"/>
        <w:szCs w:val="16"/>
      </w:rPr>
      <w:t>Documento riservato — WiredSpace S.r.l.</w:t>
      <w:tab/>
      <w:t xml:space="preserve">Pagina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E40AF"/>
      </w:pBdr>
      <w:tabs>
        <w:tab w:val="clear" w:pos="720"/>
        <w:tab w:val="right" w:pos="9638" w:leader="none"/>
      </w:tabs>
      <w:spacing w:before="0" w:after="120"/>
      <w:rPr/>
    </w:pPr>
    <w:r>
      <w:rPr>
        <w:rFonts w:eastAsia="Arial" w:cs="Arial"/>
        <w:b/>
        <w:bCs/>
        <w:color w:val="1E40AF"/>
        <w:sz w:val="16"/>
        <w:szCs w:val="16"/>
      </w:rPr>
      <w:t>WiredSpace S.r.l. — Business Plan 2024/2025</w:t>
    </w:r>
    <w:r>
      <w:rPr>
        <w:rFonts w:eastAsia="Arial" w:cs="Arial"/>
        <w:color w:val="0891B2"/>
        <w:sz w:val="16"/>
        <w:szCs w:val="16"/>
      </w:rPr>
      <w:tab/>
      <w:t>Progetto GPOI | Anno Scolastico 2024/2025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E40AF"/>
      </w:pBdr>
      <w:tabs>
        <w:tab w:val="clear" w:pos="720"/>
        <w:tab w:val="right" w:pos="9638" w:leader="none"/>
      </w:tabs>
      <w:spacing w:before="0" w:after="120"/>
      <w:rPr/>
    </w:pPr>
    <w:r>
      <w:rPr>
        <w:rFonts w:eastAsia="Arial" w:cs="Arial"/>
        <w:b/>
        <w:bCs/>
        <w:color w:val="1E40AF"/>
        <w:sz w:val="16"/>
        <w:szCs w:val="16"/>
      </w:rPr>
      <w:t>WiredSpace S.r.l. — Business Plan 2024/2025</w:t>
    </w:r>
    <w:r>
      <w:rPr>
        <w:rFonts w:eastAsia="Arial" w:cs="Arial"/>
        <w:color w:val="0891B2"/>
        <w:sz w:val="16"/>
        <w:szCs w:val="16"/>
      </w:rPr>
      <w:tab/>
      <w:t>Progetto GPOI | Anno Scolastico 2024/2025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74151"/>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374151"/>
      <w:kern w:val="0"/>
      <w:sz w:val="20"/>
      <w:szCs w:val="20"/>
      <w:lang w:val="it-IT" w:eastAsia="zh-CN" w:bidi="hi-IN"/>
    </w:rPr>
  </w:style>
  <w:style w:type="paragraph" w:styleId="Heading1">
    <w:name w:val="heading 1"/>
    <w:basedOn w:val="Titolo"/>
    <w:qFormat/>
    <w:pPr>
      <w:spacing w:before="400" w:after="200"/>
      <w:outlineLvl w:val="0"/>
    </w:pPr>
    <w:rPr>
      <w:rFonts w:ascii="Arial" w:hAnsi="Arial" w:eastAsia="Arial" w:cs="Arial"/>
      <w:b/>
      <w:bCs/>
      <w:color w:val="1E40AF"/>
      <w:sz w:val="36"/>
      <w:szCs w:val="36"/>
    </w:rPr>
  </w:style>
  <w:style w:type="paragraph" w:styleId="Heading2">
    <w:name w:val="heading 2"/>
    <w:basedOn w:val="Titolo"/>
    <w:qFormat/>
    <w:pPr>
      <w:spacing w:before="300" w:after="120"/>
      <w:outlineLvl w:val="1"/>
    </w:pPr>
    <w:rPr>
      <w:rFonts w:ascii="Arial" w:hAnsi="Arial" w:eastAsia="Arial" w:cs="Arial"/>
      <w:b/>
      <w:bCs/>
      <w:color w:val="0891B2"/>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374151"/>
      <w:kern w:val="0"/>
      <w:sz w:val="20"/>
      <w:szCs w:val="20"/>
      <w:lang w:val="it-IT" w:eastAsia="zh-CN" w:bidi="hi-IN"/>
    </w:rPr>
  </w:style>
  <w:style w:type="paragraph" w:styleId="ListParagraph">
    <w:name w:val="List Paragraph"/>
    <w:qFormat/>
    <w:pPr>
      <w:widowControl/>
      <w:bidi w:val="0"/>
      <w:spacing w:before="0" w:after="0"/>
      <w:jc w:val="left"/>
    </w:pPr>
    <w:rPr>
      <w:rFonts w:ascii="Arial" w:hAnsi="Arial" w:eastAsia="Arial" w:cs="Arial"/>
      <w:color w:val="374151"/>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LibreOffice/25.2.4.3$Windows_X86_64 LibreOffice_project/33e196637044ead23f5c3226cde09b47731f7e27</Application>
  <AppVersion>15.0000</AppVersion>
  <Pages>17</Pages>
  <Words>3082</Words>
  <Characters>17716</Characters>
  <CharactersWithSpaces>20120</CharactersWithSpaces>
  <Paragraphs>724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2026-04-22T14:18:07Z</dcterms:created>
  <dc:creator>Un-named</dc:creator>
  <dc:description/>
  <dc:language>it-IT</dc:language>
  <cp:lastModifiedBy/>
  <dcterms:modified xsi:type="dcterms:W3CDTF">2026-04-23T21:11:11Z</dcterms:modified>
  <cp:revision>2</cp:revision>
  <dc:subject/>
  <dc:title/>
</cp:coreProperties>
</file>