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4C5A56"/>
          <w:sz w:val="19"/>
        </w:rPr>
        <w:t>Projet de gestion multi-cabinet médico-dentaire — Architecture Monolithe Modulaire Multi-Tenant</w:t>
      </w:r>
    </w:p>
    <w:p>
      <w:r>
        <w:rPr>
          <w:b/>
          <w:color w:val="1C2624"/>
          <w:sz w:val="40"/>
        </w:rPr>
        <w:t>SysDent Pro — Rapport d'Avancement, Reste à Faire &amp; Plan d'Action Équipe</w:t>
      </w:r>
    </w:p>
    <w:p>
      <w:r>
        <w:rPr>
          <w:i/>
          <w:color w:val="4C5A56"/>
          <w:sz w:val="19"/>
        </w:rPr>
        <w:t>Date : 13 septembre 2026   |   Branche : main (commit f725bad)   |   Cible : équipe de développement (3 développeurs full-stack / backend)</w:t>
      </w:r>
    </w:p>
    <w:p/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1.  </w:t>
      </w:r>
      <w:r>
        <w:rPr>
          <w:b/>
          <w:color w:val="1C2624"/>
          <w:sz w:val="30"/>
        </w:rPr>
        <w:t>Synthèse Exécutive du Projet</w:t>
      </w:r>
    </w:p>
    <w:p>
      <w:pPr>
        <w:spacing w:after="160"/>
      </w:pPr>
      <w:r>
        <w:rPr>
          <w:b w:val="0"/>
          <w:i w:val="0"/>
          <w:color w:val="4C5A56"/>
          <w:sz w:val="20"/>
        </w:rPr>
        <w:t>Le projet SysDent Pro présente à ce jour un contraste important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Côté Conception &amp; Architecture (Analyse/) — avancement ~95% :</w:t>
      </w:r>
      <w:r>
        <w:rPr>
          <w:b w:val="0"/>
          <w:color w:val="4C5A56"/>
          <w:sz w:val="20"/>
        </w:rPr>
        <w:t xml:space="preserve"> La conception est particulièrement mature, complète et de niveau professionnel : cahier des charges fonctionnel, MCD, MLD, dictionnaire des données, diagrammes de cas d'utilisation et de séquence, 18 règles de gestion clinique, intégralement documentés (MkDocs).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Côté Backend (Backend/) — avancement ~30% :</w:t>
      </w:r>
      <w:r>
        <w:rPr>
          <w:b w:val="0"/>
          <w:color w:val="4C5A56"/>
          <w:sz w:val="20"/>
        </w:rPr>
        <w:t xml:space="preserve"> Le socle d'infrastructure asynchrone (FastAPI 0.110+, SQLAlchemy 2.0 Async, Pydantic v2, gestion dynamique des pools multi-tenant PostgreSQL, sécurité JWT, logging structuré) est en place avec une vingtaine de modèles ORM. La quasi-totalité des routes métier (Patients, Consultations, Facturation, Agenda) reste à implémenter.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Côté Frontend (Frontend/) — avancement 0% :</w:t>
      </w:r>
      <w:r>
        <w:rPr>
          <w:b w:val="0"/>
          <w:color w:val="4C5A56"/>
          <w:sz w:val="20"/>
        </w:rPr>
        <w:t xml:space="preserve"> Le répertoire est actuellement vide (seul .gitkeep est présent). Aucune application web (Next.js / React) n'est encore initialisée.</w:t>
      </w:r>
    </w:p>
    <w:p>
      <w:pPr>
        <w:spacing w:after="200"/>
        <w:ind w:left="227"/>
        <w:pBdr>
          <w:left w:val="single" w:sz="18" w:space="8" w:color="33506B"/>
        </w:pBdr>
      </w:pPr>
      <w:r>
        <w:rPr>
          <w:i/>
          <w:color w:val="33506B"/>
          <w:sz w:val="20"/>
        </w:rPr>
        <w:t>Bonne nouvelle : la clarté des spécifications et du MLD permet un découpage fonctionnel immédiat et une parallélisation optimale entre 3 développeurs. Le sprint de consolidation technique préalable (Phase 0) est maintenant terminé (voir §3).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2.  </w:t>
      </w:r>
      <w:r>
        <w:rPr>
          <w:b/>
          <w:color w:val="1C2624"/>
          <w:sz w:val="30"/>
        </w:rPr>
        <w:t>Audit Approfondi : Ce qui a été Réalisé</w:t>
      </w:r>
    </w:p>
    <w:p>
      <w:pPr>
        <w:spacing w:before="280" w:after="80"/>
      </w:pPr>
      <w:r>
        <w:rPr>
          <w:b/>
          <w:color w:val="33506B"/>
          <w:sz w:val="24"/>
        </w:rPr>
        <w:t>2.1. Conception Métier &amp; Spécifications (Analyse/)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Cahier des charges complet</w:t>
      </w:r>
      <w:r>
        <w:rPr>
          <w:b w:val="0"/>
          <w:color w:val="4C5A56"/>
          <w:sz w:val="20"/>
        </w:rPr>
        <w:t xml:space="preserve"> (Analyse/cahier_extracted.txt) : parcours patient, règles d'exercice multi-sites/multi-praticiens au Sénégal, odontogramme FDI/Universal, facturation multi-moyens (espèces, Wave, Orange Money, chèque, assurance).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Documentation d'architecture</w:t>
      </w:r>
      <w:r>
        <w:rPr>
          <w:b w:val="0"/>
          <w:color w:val="4C5A56"/>
          <w:sz w:val="20"/>
        </w:rPr>
        <w:t xml:space="preserve"> (Analyse/docs/architecture_proposition.md) : choix validé d'un Monolithe Modulaire avec isolation physique stricte des données (Master DB + Bases Cabinets dédiées).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Modélisation relationnelle complète</w:t>
      </w:r>
      <w:r>
        <w:rPr>
          <w:b w:val="0"/>
          <w:color w:val="4C5A56"/>
          <w:sz w:val="20"/>
        </w:rPr>
        <w:t xml:space="preserve"> (modelisation_mcd.md / modelisation_mld.md) : 10 domaines modélisés (Master, RBAC, Cabinets, Patients, Médical/Consultations, Odontogramme, RDV, Facturation, Stock, Audit).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Règles de gestion &amp; sécurité</w:t>
      </w:r>
      <w:r>
        <w:rPr>
          <w:b w:val="0"/>
          <w:color w:val="4C5A56"/>
          <w:sz w:val="20"/>
        </w:rPr>
        <w:t xml:space="preserve"> (Analyse/docs/regles.md) : 18 règles métier (intégrité odontogramme, verrouillage des actes facturés, traçabilité médico-légale).</w:t>
      </w:r>
    </w:p>
    <w:p>
      <w:pPr>
        <w:spacing w:before="280" w:after="80"/>
      </w:pPr>
      <w:r>
        <w:rPr>
          <w:b/>
          <w:color w:val="33506B"/>
          <w:sz w:val="24"/>
        </w:rPr>
        <w:t>2.2. Backend — Socle Technique &amp; Core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Point d'entrée &amp; lifecycle</w:t>
      </w:r>
      <w:r>
        <w:rPr>
          <w:b w:val="0"/>
          <w:color w:val="4C5A56"/>
          <w:sz w:val="20"/>
        </w:rPr>
        <w:t xml:space="preserve"> (main.py) : FastAPI avec lifespan fermant proprement les pools PostgreSQL au shutdown.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Configuration centralisée</w:t>
      </w:r>
      <w:r>
        <w:rPr>
          <w:b w:val="0"/>
          <w:color w:val="4C5A56"/>
          <w:sz w:val="20"/>
        </w:rPr>
        <w:t xml:space="preserve"> (core/config.py) : variables d'environnement via pydantic-settings (.env).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Gestionnaire multi-tenant PostgreSQL</w:t>
      </w:r>
      <w:r>
        <w:rPr>
          <w:b w:val="0"/>
          <w:color w:val="4C5A56"/>
          <w:sz w:val="20"/>
        </w:rPr>
        <w:t xml:space="preserve"> (core/database.py) : master_engine + TenantDatabaseManager (pool LRU jusqu'à 50 cabinets en cache).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Sécurité &amp; cryptographie</w:t>
      </w:r>
      <w:r>
        <w:rPr>
          <w:b w:val="0"/>
          <w:color w:val="4C5A56"/>
          <w:sz w:val="20"/>
        </w:rPr>
        <w:t xml:space="preserve"> (core/security.py) : hachage Argon2/Bcrypt, JWT access (15 min) + refresh (7 jours).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Gestion unifiée des erreurs</w:t>
      </w:r>
      <w:r>
        <w:rPr>
          <w:b w:val="0"/>
          <w:color w:val="4C5A56"/>
          <w:sz w:val="20"/>
        </w:rPr>
        <w:t xml:space="preserve"> (core/exceptions.py, exception_handlers.py) : conformité RFC 7807.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Observabilité &amp; middlewares</w:t>
      </w:r>
      <w:r>
        <w:rPr>
          <w:b w:val="0"/>
          <w:color w:val="4C5A56"/>
          <w:sz w:val="20"/>
        </w:rPr>
        <w:t xml:space="preserve"> (core/logging.py, middleware.py) : logs structurés JSON (structlog), corrélation X-Request-ID.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Base ORM &amp; schémas communs</w:t>
      </w:r>
      <w:r>
        <w:rPr>
          <w:b w:val="0"/>
          <w:color w:val="4C5A56"/>
          <w:sz w:val="20"/>
        </w:rPr>
        <w:t xml:space="preserve"> (common/) : UUIDMixin, TimestampMixin, APIResponse[T], PaginatedResponse[T], PaginationParams.</w:t>
      </w:r>
    </w:p>
    <w:p>
      <w:pPr>
        <w:spacing w:before="280" w:after="80"/>
      </w:pPr>
      <w:r>
        <w:rPr>
          <w:b/>
          <w:color w:val="33506B"/>
          <w:sz w:val="24"/>
        </w:rPr>
        <w:t>2.3. Backend — Modèles de Données SQLAlchemy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Base Master (master/models.py) :</w:t>
      </w:r>
      <w:r>
        <w:rPr>
          <w:b w:val="0"/>
          <w:color w:val="4C5A56"/>
          <w:sz w:val="20"/>
        </w:rPr>
        <w:t xml:space="preserve"> Societe, TenantDB, SuperAdmin, AuditLogGlobal.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Base Tenant (tenants/models.py) :</w:t>
      </w:r>
      <w:r>
        <w:rPr>
          <w:b w:val="0"/>
          <w:color w:val="4C5A56"/>
          <w:sz w:val="20"/>
        </w:rPr>
        <w:t xml:space="preserve"> 21 tables — RBAC (Role, Permission, PermissionRole, Utilisateur, SessionUser), Organisation (Cabinet, Salle, Fauteuil, Praticien), Dossier Patient (Patient, DossierMedical, EtatGeneral, AntecedentMedical), Odontogramme (Odontogramme, Dent), Consultations (Consultation, ActeNomenclature, ActeRealise), Facturation (Facture, LigneFacture, Paiement), Audit (AuditLogTenant).</w:t>
      </w:r>
    </w:p>
    <w:p>
      <w:pPr>
        <w:spacing w:before="280" w:after="80"/>
      </w:pPr>
      <w:r>
        <w:rPr>
          <w:b/>
          <w:color w:val="33506B"/>
          <w:sz w:val="24"/>
        </w:rPr>
        <w:t>2.4. Backend — Routes &amp; Endpoints Existants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GET /health :</w:t>
      </w:r>
      <w:r>
        <w:rPr>
          <w:b w:val="0"/>
          <w:color w:val="4C5A56"/>
          <w:sz w:val="20"/>
        </w:rPr>
        <w:t xml:space="preserve"> Monitoring de santé.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POST /api/v1/master/societes :</w:t>
      </w:r>
      <w:r>
        <w:rPr>
          <w:b w:val="0"/>
          <w:color w:val="4C5A56"/>
          <w:sz w:val="20"/>
        </w:rPr>
        <w:t xml:space="preserve"> Déclaration de société + enregistrement DB.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GET /api/v1/master/societes, /{id} :</w:t>
      </w:r>
      <w:r>
        <w:rPr>
          <w:b w:val="0"/>
          <w:color w:val="4C5A56"/>
          <w:sz w:val="20"/>
        </w:rPr>
        <w:t xml:space="preserve"> Liste et détail des sociétés enregistrées.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GET /api/v1/audit :</w:t>
      </w:r>
      <w:r>
        <w:rPr>
          <w:b w:val="0"/>
          <w:color w:val="4C5A56"/>
          <w:sz w:val="20"/>
        </w:rPr>
        <w:t xml:space="preserve"> Consultation filtrée et paginée de l'audit trail tenant (AUDIT_READ).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POST/GET /api/v1/auth/* :</w:t>
      </w:r>
      <w:r>
        <w:rPr>
          <w:b w:val="0"/>
          <w:color w:val="4C5A56"/>
          <w:sz w:val="20"/>
        </w:rPr>
        <w:t xml:space="preserve"> login, refresh, logout, me — désormais avec vérification réelle (voir §2.6).</w:t>
      </w:r>
    </w:p>
    <w:p>
      <w:pPr>
        <w:spacing w:before="280" w:after="80"/>
      </w:pPr>
      <w:r>
        <w:rPr>
          <w:b/>
          <w:color w:val="33506B"/>
          <w:sz w:val="24"/>
        </w:rPr>
        <w:t>2.5. Infrastructure &amp; DevOps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docker-compose.yml opérationnel :</w:t>
      </w:r>
      <w:r>
        <w:rPr>
          <w:b w:val="0"/>
          <w:color w:val="4C5A56"/>
          <w:sz w:val="20"/>
        </w:rPr>
        <w:t xml:space="preserve"> PostgreSQL 16 Master, Redis 7, Backend FastAPI avec reload automatique.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init_db.py :</w:t>
      </w:r>
      <w:r>
        <w:rPr>
          <w:b w:val="0"/>
          <w:color w:val="4C5A56"/>
          <w:sz w:val="20"/>
        </w:rPr>
        <w:t xml:space="preserve"> Applique les migrations Alembic Master et crée le Super-Admin par défaut (admin@sysdent.pro / Admin123!).</w:t>
      </w:r>
    </w:p>
    <w:p>
      <w:pPr>
        <w:spacing w:before="280" w:after="80"/>
      </w:pPr>
      <w:r>
        <w:rPr>
          <w:b/>
          <w:color w:val="2F7D5C"/>
          <w:sz w:val="24"/>
        </w:rPr>
        <w:t>2.6. Sprint 0 — Socle sécurisé (ajouté le 13/09/2026, détail en §3)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Authentification réelle (auth/services.py, nouveau) :</w:t>
      </w:r>
      <w:r>
        <w:rPr>
          <w:b w:val="0"/>
          <w:color w:val="4C5A56"/>
          <w:sz w:val="20"/>
        </w:rPr>
        <w:t xml:space="preserve"> AuthService.authenticate() résout le cabinet par email et vérifie le mot de passe hashé.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Chiffrement des secrets (core/security.py) :</w:t>
      </w:r>
      <w:r>
        <w:rPr>
          <w:b w:val="0"/>
          <w:color w:val="4C5A56"/>
          <w:sz w:val="20"/>
        </w:rPr>
        <w:t xml:space="preserve"> encrypt_secret() / decrypt_secret() (Fernet), clé TENANT_DB_ENCRYPTION_KEY.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Migrations Alembic :</w:t>
      </w:r>
      <w:r>
        <w:rPr>
          <w:b w:val="0"/>
          <w:color w:val="4C5A56"/>
          <w:sz w:val="20"/>
        </w:rPr>
        <w:t xml:space="preserve"> Backend/alembic/ (Master) et Backend/alembic_tenant/ (Tenant), chacun avec une révision baseline testée. Pilotage programmatique via core/migrations.py.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Provisioning réel (master/services.py) :</w:t>
      </w:r>
      <w:r>
        <w:rPr>
          <w:b w:val="0"/>
          <w:color w:val="4C5A56"/>
          <w:sz w:val="20"/>
        </w:rPr>
        <w:t xml:space="preserve"> CREATE DATABASE physique + migrations Alembic tenant + création du compte admin cabinet.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Séparation des registres SQLAlchemy :</w:t>
      </w:r>
      <w:r>
        <w:rPr>
          <w:b w:val="0"/>
          <w:color w:val="4C5A56"/>
          <w:sz w:val="20"/>
        </w:rPr>
        <w:t xml:space="preserve"> Base (Master) et TenantBase (Tenant) désormais distincts (common/base_model.py).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3.  </w:t>
      </w:r>
      <w:r>
        <w:rPr>
          <w:b/>
          <w:color w:val="1C2624"/>
          <w:sz w:val="30"/>
        </w:rPr>
        <w:t>Dette Technique &amp; Bloquants Immédiats (Phase 0)</w:t>
      </w:r>
    </w:p>
    <w:p>
      <w:pPr>
        <w:spacing w:after="200"/>
        <w:ind w:left="227"/>
        <w:pBdr>
          <w:left w:val="single" w:sz="18" w:space="8" w:color="33506B"/>
        </w:pBdr>
      </w:pPr>
      <w:r>
        <w:rPr>
          <w:i/>
          <w:color w:val="33506B"/>
          <w:sz w:val="20"/>
        </w:rPr>
        <w:t>Statut : RÉSOLUE le 13/09/2026. Les 5 points critiques ci-dessous ont tous été corrigés et validés de bout en bout contre une vraie instance PostgreSQL (provisioning réel + login réel testés, puis nettoyés). Le détail reste ici à titre de traçabilité.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3175"/>
        <w:gridCol w:w="3798"/>
      </w:tblGrid>
      <w:tr>
        <w:tc>
          <w:tcPr>
            <w:tcW w:type="dxa" w:w="3324"/>
            <w:shd w:val="clear" w:color="auto" w:fill="E8ECE9"/>
          </w:tcPr>
          <w:p>
            <w:r>
              <w:rPr>
                <w:b/>
                <w:color w:val="1C2624"/>
                <w:sz w:val="19"/>
              </w:rPr>
              <w:t>Bloquant</w:t>
            </w:r>
          </w:p>
        </w:tc>
        <w:tc>
          <w:tcPr>
            <w:tcW w:type="dxa" w:w="3324"/>
            <w:shd w:val="clear" w:color="auto" w:fill="E8ECE9"/>
          </w:tcPr>
          <w:p>
            <w:r>
              <w:rPr>
                <w:b/>
                <w:color w:val="1C2624"/>
                <w:sz w:val="19"/>
              </w:rPr>
              <w:t>Description &amp; Risque (initial)</w:t>
            </w:r>
          </w:p>
        </w:tc>
        <w:tc>
          <w:tcPr>
            <w:tcW w:type="dxa" w:w="3324"/>
            <w:shd w:val="clear" w:color="auto" w:fill="E8ECE9"/>
          </w:tcPr>
          <w:p>
            <w:r>
              <w:rPr>
                <w:b/>
                <w:color w:val="1C2624"/>
                <w:sz w:val="19"/>
              </w:rPr>
              <w:t>Solution appliquée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color w:val="2F7D5C"/>
                <w:sz w:val="18"/>
              </w:rPr>
              <w:t>✓ Bug d'import RBAC</w:t>
            </w:r>
          </w:p>
        </w:tc>
        <w:tc>
          <w:tcPr>
            <w:tcW w:type="dxa" w:w="3175"/>
          </w:tcPr>
          <w:p>
            <w:r>
              <w:rPr>
                <w:rFonts w:ascii="Consolas" w:hAnsi="Consolas"/>
                <w:color w:val="4C5A56"/>
                <w:sz w:val="18"/>
              </w:rPr>
              <w:t>auth/dependencies.py : get_current_user appelait src.modules.tenants.models.Role sans importer src -&gt; NameError garanti dès qu'un utilisateur authentifié faisait une requête avec permissions.</w:t>
            </w:r>
          </w:p>
        </w:tc>
        <w:tc>
          <w:tcPr>
            <w:tcW w:type="dxa" w:w="3798"/>
          </w:tcPr>
          <w:p>
            <w:r>
              <w:rPr>
                <w:color w:val="4C5A56"/>
                <w:sz w:val="18"/>
              </w:rPr>
              <w:t>Role et PermissionRole importés directement depuis src.modules.tenants.models et utilisés dans le selectinload.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color w:val="2F7D5C"/>
                <w:sz w:val="18"/>
              </w:rPr>
              <w:t>✓ Login mocké (sécurité)</w:t>
            </w:r>
          </w:p>
        </w:tc>
        <w:tc>
          <w:tcPr>
            <w:tcW w:type="dxa" w:w="3175"/>
          </w:tcPr>
          <w:p>
            <w:r>
              <w:rPr>
                <w:rFonts w:ascii="Consolas" w:hAnsi="Consolas"/>
                <w:color w:val="4C5A56"/>
                <w:sz w:val="18"/>
              </w:rPr>
              <w:t>POST /auth/login retournait un token avec un UUID fixe, sans vérifier email ni mot de passe.</w:t>
            </w:r>
          </w:p>
        </w:tc>
        <w:tc>
          <w:tcPr>
            <w:tcW w:type="dxa" w:w="3798"/>
          </w:tcPr>
          <w:p>
            <w:r>
              <w:rPr>
                <w:color w:val="4C5A56"/>
                <w:sz w:val="18"/>
              </w:rPr>
              <w:t>Nouveau AuthService.authenticate() : résout le cabinet par email en interrogeant les bases tenant actives, vérifie le mot de passe (Argon2), renvoie un JWT avec le vrai user_id/tenant_id/role/permissions. Testé bon et mauvais mot de passe.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color w:val="2F7D5C"/>
                <w:sz w:val="18"/>
              </w:rPr>
              <w:t>✓ Provisioning DB incomplet</w:t>
            </w:r>
          </w:p>
        </w:tc>
        <w:tc>
          <w:tcPr>
            <w:tcW w:type="dxa" w:w="3175"/>
          </w:tcPr>
          <w:p>
            <w:r>
              <w:rPr>
                <w:rFonts w:ascii="Consolas" w:hAnsi="Consolas"/>
                <w:color w:val="4C5A56"/>
                <w:sz w:val="18"/>
              </w:rPr>
              <w:t>create_societe_and_provision_tenant n'exécutait aucun CREATE DATABASE réel ni schéma.</w:t>
            </w:r>
          </w:p>
        </w:tc>
        <w:tc>
          <w:tcPr>
            <w:tcW w:type="dxa" w:w="3798"/>
          </w:tcPr>
          <w:p>
            <w:r>
              <w:rPr>
                <w:color w:val="4C5A56"/>
                <w:sz w:val="18"/>
              </w:rPr>
              <w:t>Création réelle de la base physique, application des migrations Alembic tenant, création du rôle ADMIN_CABINET et du 1er compte admin cabinet. En cas d'échec, statut laissé à PROVISIONING (reprise manuelle) plutôt qu'une société fantôme ACTIVE.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color w:val="2F7D5C"/>
                <w:sz w:val="18"/>
              </w:rPr>
              <w:t>✓ Migrations Alembic non initialisées</w:t>
            </w:r>
          </w:p>
        </w:tc>
        <w:tc>
          <w:tcPr>
            <w:tcW w:type="dxa" w:w="3175"/>
          </w:tcPr>
          <w:p>
            <w:r>
              <w:rPr>
                <w:rFonts w:ascii="Consolas" w:hAnsi="Consolas"/>
                <w:color w:val="4C5A56"/>
                <w:sz w:val="18"/>
              </w:rPr>
              <w:t>alembic.ini existait mais aucun env.py ni révision baseline.</w:t>
            </w:r>
          </w:p>
        </w:tc>
        <w:tc>
          <w:tcPr>
            <w:tcW w:type="dxa" w:w="3798"/>
          </w:tcPr>
          <w:p>
            <w:r>
              <w:rPr>
                <w:color w:val="4C5A56"/>
                <w:sz w:val="18"/>
              </w:rPr>
              <w:t>Deux environnements distincts : Backend/alembic/ (Master, Base.metadata) et Backend/alembic_tenant/ (Tenant, TenantBase.metadata, appliqué par base via -x tenant_db_url=...). Baselines générées par autogenerate et validées sur bases vierges. Master réel stamp-é à head. init_db.py utilise alembic upgrade head.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color w:val="2F7D5C"/>
                <w:sz w:val="18"/>
              </w:rPr>
              <w:t>✓ Chiffrement du mot de passe DB</w:t>
            </w:r>
          </w:p>
        </w:tc>
        <w:tc>
          <w:tcPr>
            <w:tcW w:type="dxa" w:w="3175"/>
          </w:tcPr>
          <w:p>
            <w:r>
              <w:rPr>
                <w:rFonts w:ascii="Consolas" w:hAnsi="Consolas"/>
                <w:color w:val="4C5A56"/>
                <w:sz w:val="18"/>
              </w:rPr>
              <w:t>TenantDB.db_password stocké en clair en base Master.</w:t>
            </w:r>
          </w:p>
        </w:tc>
        <w:tc>
          <w:tcPr>
            <w:tcW w:type="dxa" w:w="3798"/>
          </w:tcPr>
          <w:p>
            <w:r>
              <w:rPr>
                <w:color w:val="4C5A56"/>
                <w:sz w:val="18"/>
              </w:rPr>
              <w:t>encrypt_secret()/decrypt_secret() (Fernet) ajoutés dans core/security.py. Chiffré à l'écriture (provisioning), déchiffré à la volée à la connexion.</w:t>
            </w:r>
          </w:p>
        </w:tc>
      </w:tr>
    </w:tbl>
    <w:p/>
    <w:p>
      <w:pPr>
        <w:spacing w:after="200"/>
      </w:pPr>
      <w:r>
        <w:rPr>
          <w:b w:val="0"/>
          <w:i w:val="0"/>
          <w:color w:val="4C5A56"/>
          <w:sz w:val="20"/>
        </w:rPr>
        <w:t>Bug additionnel découvert et corrigé en cours de route (hors liste initiale) : master/models.py et tenants/models.py partageaient le même registre SQLAlchemy (Base). Dès que les deux étaient importés dans le même process — ce qui arrive dans l'app réelle —, un metadata.create_all créait toutes les tables (Master + Tenant) dans n'importe quelle base ciblée. Séparé en Base (Master) et TenantBase (Tenant) ; chaque environnement Alembic pointe sur le bon registre.</w:t>
      </w:r>
    </w:p>
    <w:p>
      <w:pPr>
        <w:spacing w:before="160" w:after="60"/>
      </w:pPr>
      <w:r>
        <w:rPr>
          <w:b/>
          <w:i/>
          <w:color w:val="1C2624"/>
          <w:sz w:val="21"/>
        </w:rPr>
        <w:t>Comment évoluer le schéma désormais (convention obligatoire pour les 3 pôles)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Schéma Master (master/models.py) :</w:t>
      </w:r>
      <w:r>
        <w:rPr>
          <w:b w:val="0"/>
          <w:color w:val="4C5A56"/>
          <w:sz w:val="20"/>
        </w:rPr>
        <w:t xml:space="preserve"> modifier le modèle puis "alembic revision --autogenerate -m ..." (depuis Backend/) puis "alembic upgrade head".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Schéma Tenant (tenants/models.py) :</w:t>
      </w:r>
      <w:r>
        <w:rPr>
          <w:b w:val="0"/>
          <w:color w:val="4C5A56"/>
          <w:sz w:val="20"/>
        </w:rPr>
        <w:t xml:space="preserve"> modifier le modèle puis générer la révision avec -x tenant_db_url=... contre une base tenant existante, relire la migration, puis l'appliquer à chaque base tenant concernée. Pour une nouvelle société, c'est automatique (MasterTenantService).</w:t>
      </w:r>
    </w:p>
    <w:p>
      <w:pPr>
        <w:spacing w:after="80"/>
      </w:pPr>
      <w:r>
        <w:rPr>
          <w:b/>
          <w:i w:val="0"/>
          <w:color w:val="1C2624"/>
          <w:sz w:val="20"/>
        </w:rPr>
        <w:t>Règle d'équipe : plus aucun Base.metadata.create_all / TenantBase.metadata.create_all en dehors de la génération de baseline.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4.  </w:t>
      </w:r>
      <w:r>
        <w:rPr>
          <w:b/>
          <w:color w:val="1C2624"/>
          <w:sz w:val="30"/>
        </w:rPr>
        <w:t>Ce qui Reste à Développer</w:t>
      </w:r>
    </w:p>
    <w:p>
      <w:pPr>
        <w:spacing w:before="280" w:after="80"/>
      </w:pPr>
      <w:r>
        <w:rPr>
          <w:b/>
          <w:color w:val="33506B"/>
          <w:sz w:val="24"/>
        </w:rPr>
        <w:t>4.1. Modèles de données restants à ajouter dans tenants/models.py</w:t>
      </w:r>
    </w:p>
    <w:p>
      <w:pPr>
        <w:spacing w:after="120"/>
      </w:pPr>
      <w:r>
        <w:rPr>
          <w:b w:val="0"/>
          <w:i w:val="0"/>
          <w:color w:val="4C5A56"/>
          <w:sz w:val="20"/>
        </w:rPr>
        <w:t>Tables spécifiées dans le MLD mais pas encore transcrites en code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Rendez-vous :</w:t>
      </w:r>
      <w:r>
        <w:rPr>
          <w:b w:val="0"/>
          <w:color w:val="4C5A56"/>
          <w:sz w:val="20"/>
        </w:rPr>
        <w:t xml:space="preserve"> RendezVous, DisponibilitePraticien, CreneauFauteuil, ListeAttente.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Ordonnances &amp; Médicaments :</w:t>
      </w:r>
      <w:r>
        <w:rPr>
          <w:b w:val="0"/>
          <w:color w:val="4C5A56"/>
          <w:sz w:val="20"/>
        </w:rPr>
        <w:t xml:space="preserve"> Prescription, LignePrescription, MedicamentReferentiel.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Assurances &amp; Tiers-Payant :</w:t>
      </w:r>
      <w:r>
        <w:rPr>
          <w:b w:val="0"/>
          <w:color w:val="4C5A56"/>
          <w:sz w:val="20"/>
        </w:rPr>
        <w:t xml:space="preserve"> TypePriseEnCharge, PriseEnChargePatient.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Devis &amp; Échéances :</w:t>
      </w:r>
      <w:r>
        <w:rPr>
          <w:b w:val="0"/>
          <w:color w:val="4C5A56"/>
          <w:sz w:val="20"/>
        </w:rPr>
        <w:t xml:space="preserve"> Devis, LigneDevis, PlanEchelonnement, EcheanceFacture.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Stock &amp; Fournisseurs :</w:t>
      </w:r>
      <w:r>
        <w:rPr>
          <w:b w:val="0"/>
          <w:color w:val="4C5A56"/>
          <w:sz w:val="20"/>
        </w:rPr>
        <w:t xml:space="preserve"> Fournisseur, ArticleStock, MouvementStock, CommandeFournisseur, LigneCommandeFournisseur, CycleSterilisation.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Documents &amp; Imagerie :</w:t>
      </w:r>
      <w:r>
        <w:rPr>
          <w:b w:val="0"/>
          <w:color w:val="4C5A56"/>
          <w:sz w:val="20"/>
        </w:rPr>
        <w:t xml:space="preserve"> DocumentPatient, ClichéRadio (intégration S3/MinIO).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Odontogramme — extensions indispensables du CDC :</w:t>
      </w:r>
      <w:r>
        <w:rPr>
          <w:b w:val="0"/>
          <w:color w:val="4C5A56"/>
          <w:sz w:val="20"/>
        </w:rPr>
        <w:t xml:space="preserve"> FaceDent (5 faces), EtatDentHistorique (historique horodaté), ChartingParodontal (sondage 6 points, plaque, saignement).</w:t>
      </w:r>
    </w:p>
    <w:p>
      <w:pPr>
        <w:spacing w:before="280" w:after="80"/>
      </w:pPr>
      <w:r>
        <w:rPr>
          <w:b/>
          <w:color w:val="33506B"/>
          <w:sz w:val="24"/>
        </w:rPr>
        <w:t>4.2. Logique métier &amp; routers API backend à réaliser</w:t>
      </w:r>
    </w:p>
    <w:p>
      <w:pPr>
        <w:spacing w:after="120"/>
      </w:pPr>
      <w:r>
        <w:rPr>
          <w:b w:val="0"/>
          <w:i w:val="0"/>
          <w:color w:val="4C5A56"/>
          <w:sz w:val="20"/>
        </w:rPr>
        <w:t>Pour chaque domaine, créer schemas.py, services.py et router.py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Patients (/api/v1/patients) :</w:t>
      </w:r>
      <w:r>
        <w:rPr>
          <w:b w:val="0"/>
          <w:color w:val="4C5A56"/>
          <w:sz w:val="20"/>
        </w:rPr>
        <w:t xml:space="preserve"> CRUD patient, recherche multicritères, antécédents, alertes médicales automatiques (allergies, contre-indications).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Consultations &amp; Soins :</w:t>
      </w:r>
      <w:r>
        <w:rPr>
          <w:b w:val="0"/>
          <w:color w:val="4C5A56"/>
          <w:sz w:val="20"/>
        </w:rPr>
        <w:t xml:space="preserve"> Workflow consultation, diagnostic, sélection des actes de nomenclature, saisie des actes réalisés.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Odontogramme :</w:t>
      </w:r>
      <w:r>
        <w:rPr>
          <w:b w:val="0"/>
          <w:color w:val="4C5A56"/>
          <w:sz w:val="20"/>
        </w:rPr>
        <w:t xml:space="preserve"> État de la denture (32 dents), mise à jour par face, historique d'interventions.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Agenda / Rendez-vous :</w:t>
      </w:r>
      <w:r>
        <w:rPr>
          <w:b w:val="0"/>
          <w:color w:val="4C5A56"/>
          <w:sz w:val="20"/>
        </w:rPr>
        <w:t xml:space="preserve"> Planning multi-praticiens/fauteuils, anti-conflit de créneaux, gestion des absences.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Facturation &amp; Caisse :</w:t>
      </w:r>
      <w:r>
        <w:rPr>
          <w:b w:val="0"/>
          <w:color w:val="4C5A56"/>
          <w:sz w:val="20"/>
        </w:rPr>
        <w:t xml:space="preserve"> Émission de factures depuis la consultation, paiements multiples (espèces, mobile money, assurance), reçus numérotés, devis.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API Stock :</w:t>
      </w:r>
      <w:r>
        <w:rPr>
          <w:b w:val="0"/>
          <w:color w:val="4C5A56"/>
          <w:sz w:val="20"/>
        </w:rPr>
        <w:t xml:space="preserve"> Gestion des stocks par cabinet, alertes seuil minimum, entrées/sorties, suivi de stérilisation.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Workers asynchrones (arq) :</w:t>
      </w:r>
      <w:r>
        <w:rPr>
          <w:b w:val="0"/>
          <w:color w:val="4C5A56"/>
          <w:sz w:val="20"/>
        </w:rPr>
        <w:t xml:space="preserve"> SMS de rappel 24h avant RDV, notifications d'impayés, génération PDF asynchrone (factures, ordonnances).</w:t>
      </w:r>
    </w:p>
    <w:p>
      <w:pPr>
        <w:spacing w:before="280" w:after="80"/>
      </w:pPr>
      <w:r>
        <w:rPr>
          <w:b/>
          <w:color w:val="33506B"/>
          <w:sz w:val="24"/>
        </w:rPr>
        <w:t>4.3. Frontend (chantier intégral à démarrer)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Socle UI :</w:t>
      </w:r>
      <w:r>
        <w:rPr>
          <w:b w:val="0"/>
          <w:color w:val="4C5A56"/>
          <w:sz w:val="20"/>
        </w:rPr>
        <w:t xml:space="preserve"> Next.js 14 (App Router) + TypeScript + Tailwind CSS + shadcn/ui + Lucide Icons.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State management &amp; data fetching :</w:t>
      </w:r>
      <w:r>
        <w:rPr>
          <w:b w:val="0"/>
          <w:color w:val="4C5A56"/>
          <w:sz w:val="20"/>
        </w:rPr>
        <w:t xml:space="preserve"> Zustand (session JWT, tenant courant) + TanStack Query (cache et synchronisation API).</w:t>
      </w:r>
    </w:p>
    <w:p>
      <w:pPr>
        <w:spacing w:after="80"/>
      </w:pPr>
      <w:r>
        <w:rPr>
          <w:b w:val="0"/>
          <w:i w:val="0"/>
          <w:color w:val="4C5A56"/>
          <w:sz w:val="20"/>
        </w:rPr>
        <w:t>Écrans &amp; modules web :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Portail Authentification (login multi-tenant, récupération de session).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Console Super-Admin (gestion des sociétés clientes, provisionnement de cabinets).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Gestion des Dossiers Patients (recherche instantanée, fiche patient, dossier médical).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Composant Odontogramme SVG (vue anatomique 32 dents interactive, clic par face, codes couleur dynamiques).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Agenda &amp; Planning Médical (vue journalière/hebdomadaire par praticien et fauteuil via FullCalendar).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Module Facturation &amp; Caisse (interface de caisse rapide, devis, reçu imprimable).</w:t>
      </w:r>
    </w:p>
    <w:p>
      <w:pPr>
        <w:pStyle w:val="ListNumber"/>
        <w:spacing w:after="100"/>
      </w:pPr>
      <w:r>
        <w:rPr>
          <w:b w:val="0"/>
          <w:color w:val="4C5A56"/>
          <w:sz w:val="20"/>
        </w:rPr>
        <w:t>Module Stock (tableau de bord des produits, saisie des mouvements).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5.  </w:t>
      </w:r>
      <w:r>
        <w:rPr>
          <w:b/>
          <w:color w:val="1C2624"/>
          <w:sz w:val="30"/>
        </w:rPr>
        <w:t>Répartition Stratégique des Tâches pour les 3 Développeurs</w:t>
      </w:r>
    </w:p>
    <w:p>
      <w:pPr>
        <w:spacing w:after="160"/>
      </w:pPr>
      <w:r>
        <w:rPr>
          <w:b w:val="0"/>
          <w:i w:val="0"/>
          <w:color w:val="4C5A56"/>
          <w:sz w:val="20"/>
        </w:rPr>
        <w:t>Organisation en deux étapes : (A) Sprint commun de sécurisation du socle technique, désormais terminé ; (B) répartition en 3 pôles étanches, un développeur par pôle, avec des interfaces clairement contractées.</w:t>
      </w:r>
    </w:p>
    <w:p>
      <w:pPr>
        <w:spacing w:before="280" w:after="80"/>
      </w:pPr>
      <w:r>
        <w:rPr>
          <w:b/>
          <w:color w:val="2F7D5C"/>
          <w:sz w:val="24"/>
        </w:rPr>
        <w:t>Étape A : Sprint Socle &amp; Déblocage (J1-J2) — TERMINÉE (13/09/2026)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Auth &amp; RBAC réel —</w:t>
      </w:r>
      <w:r>
        <w:rPr>
          <w:b w:val="0"/>
          <w:color w:val="4C5A56"/>
          <w:sz w:val="20"/>
        </w:rPr>
        <w:t xml:space="preserve"> bug d'import corrigé, POST /auth/login vérifie réellement email + mot de passe via le nouveau AuthService. Reste hors-scope pour l'Étape B : persistance du refresh token dans SessionUser avec révocation, extension de require_permissions au-delà de /audit.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Migrations Alembic —</w:t>
      </w:r>
      <w:r>
        <w:rPr>
          <w:b w:val="0"/>
          <w:color w:val="4C5A56"/>
          <w:sz w:val="20"/>
        </w:rPr>
        <w:t xml:space="preserve"> deux environnements créés (Backend/alembic/ et Backend/alembic_tenant/), révisions baseline testées sur bases vierges. Commandes détaillées dans Backend/COMMANDS.md.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Provisioning réel —</w:t>
      </w:r>
      <w:r>
        <w:rPr>
          <w:b w:val="0"/>
          <w:color w:val="4C5A56"/>
          <w:sz w:val="20"/>
        </w:rPr>
        <w:t xml:space="preserve"> MasterTenantService crée la base physique, applique les migrations Alembic tenant, crée le compte admin cabinet, chiffre TenantDB.db_password (Fernet).</w:t>
      </w:r>
    </w:p>
    <w:p>
      <w:pPr>
        <w:spacing w:after="200"/>
      </w:pPr>
      <w:r>
        <w:rPr>
          <w:b/>
          <w:i w:val="0"/>
          <w:color w:val="2F7D5C"/>
          <w:sz w:val="20"/>
        </w:rPr>
        <w:t>L'équipe peut démarrer directement l'Étape B ci-dessous — plus aucun bloquant technique commun.</w:t>
      </w:r>
    </w:p>
    <w:p>
      <w:pPr>
        <w:spacing w:before="280" w:after="80"/>
      </w:pPr>
      <w:r>
        <w:rPr>
          <w:b/>
          <w:color w:val="33506B"/>
          <w:sz w:val="24"/>
        </w:rPr>
        <w:t>Étape B : Répartition Fonctionnelle des 3 Pôles</w:t>
      </w:r>
    </w:p>
    <w:p>
      <w:pPr>
        <w:spacing w:after="80"/>
      </w:pPr>
      <w:r>
        <w:rPr>
          <w:b w:val="0"/>
          <w:i w:val="0"/>
          <w:color w:val="4C5A56"/>
          <w:sz w:val="20"/>
        </w:rPr>
        <w:t>Flux de dépendances inter-pôles (schéma détaillé disponible dans la version Markdown du rapport) :</w:t>
      </w:r>
    </w:p>
    <w:p>
      <w:pPr>
        <w:pStyle w:val="ListBullet"/>
        <w:spacing w:after="100"/>
      </w:pPr>
      <w:r>
        <w:rPr>
          <w:b w:val="0"/>
          <w:color w:val="5F5490"/>
          <w:sz w:val="20"/>
        </w:rPr>
        <w:t>Dev 3 (Setup Frontend) fournit le template UI de base à Dev 1 et Dev 2.</w:t>
      </w:r>
    </w:p>
    <w:p>
      <w:pPr>
        <w:pStyle w:val="ListBullet"/>
        <w:spacing w:after="100"/>
      </w:pPr>
      <w:r>
        <w:rPr>
          <w:b w:val="0"/>
          <w:color w:val="5F5490"/>
          <w:sz w:val="20"/>
        </w:rPr>
        <w:t>Dev 1 (API Patients) fournit le patient_id consommé par Dev 2 (Rendez-vous).</w:t>
      </w:r>
    </w:p>
    <w:p>
      <w:pPr>
        <w:pStyle w:val="ListBullet"/>
        <w:spacing w:after="100"/>
      </w:pPr>
      <w:r>
        <w:rPr>
          <w:b w:val="0"/>
          <w:color w:val="5F5490"/>
          <w:sz w:val="20"/>
        </w:rPr>
        <w:t>Dev 1 (API Consultations) fournit consultation_id &amp; actes réalisés à Dev 2 (Facturation).</w:t>
      </w:r>
    </w:p>
    <w:p>
      <w:pPr>
        <w:pStyle w:val="ListBullet"/>
        <w:spacing w:after="100"/>
      </w:pPr>
      <w:r>
        <w:rPr>
          <w:b w:val="0"/>
          <w:color w:val="5F5490"/>
          <w:sz w:val="20"/>
        </w:rPr>
        <w:t>Dev 2 (API Rendez-vous) fournit les RDV à notifier à Dev 3 (Worker de rappels).</w:t>
      </w:r>
    </w:p>
    <w:p>
      <w:pPr>
        <w:spacing w:before="160" w:after="60"/>
      </w:pPr>
      <w:r>
        <w:rPr>
          <w:b/>
          <w:i/>
          <w:color w:val="1C2624"/>
          <w:sz w:val="21"/>
        </w:rPr>
        <w:t>Développeur 1 — Pôle Médical, Soins &amp; Odontogramme (cœur métier clinique)</w:t>
      </w:r>
    </w:p>
    <w:p>
      <w:pPr>
        <w:spacing w:after="120"/>
      </w:pPr>
      <w:r>
        <w:rPr>
          <w:b w:val="0"/>
          <w:i/>
          <w:color w:val="4C5A56"/>
          <w:sz w:val="20"/>
        </w:rPr>
        <w:t>Rôle : responsable du dossier médical, de la consultation et du composant le plus stratégique de l'application, l'Odontogramme.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Backend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Patients (/api/v1/patients) :</w:t>
      </w:r>
      <w:r>
        <w:rPr>
          <w:b w:val="0"/>
          <w:color w:val="4C5A56"/>
          <w:sz w:val="20"/>
        </w:rPr>
        <w:t xml:space="preserve"> schémas Pydantic (PatientCreate/Update/Response, FiltrePatients) ; génération du numéro de dossier unique, recherche multicritères, gestion des doublons, archivage ; état général et antécédents avec alertes automatiques (allergies, diabète, grossesse).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Consultations (/api/v1/consultations) :</w:t>
      </w:r>
      <w:r>
        <w:rPr>
          <w:b w:val="0"/>
          <w:color w:val="4C5A56"/>
          <w:sz w:val="20"/>
        </w:rPr>
        <w:t xml:space="preserve"> workflow (motif, anamnèse, examen clinique, diagnostic) ; nomenclature des actes et saisie des actes_realises.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Odontogramme Avancé (/api/v1/odontogramme) :</w:t>
      </w:r>
      <w:r>
        <w:rPr>
          <w:b w:val="0"/>
          <w:color w:val="4C5A56"/>
          <w:sz w:val="20"/>
        </w:rPr>
        <w:t xml:space="preserve"> compléter models.py avec FaceDent, EtatDentHistorique, ChartingParodontal ; service d'historisation par dent ; API de mise à jour rapide de l'état d'une ou plusieurs dents.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Frontend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Gestion des Patients :</w:t>
      </w:r>
      <w:r>
        <w:rPr>
          <w:b w:val="0"/>
          <w:color w:val="4C5A56"/>
          <w:sz w:val="20"/>
        </w:rPr>
        <w:t xml:space="preserve"> recherche/liste paginée, formulaire de création, fiche patient avec alertes médicales visibles (badges).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Composant Odontogramme SVG interactif :</w:t>
      </w:r>
      <w:r>
        <w:rPr>
          <w:b w:val="0"/>
          <w:color w:val="4C5A56"/>
          <w:sz w:val="20"/>
        </w:rPr>
        <w:t xml:space="preserve"> 32 dents FDI, clic par dent/face, codes couleur dynamiques (vert=sain, rouge=carie, bleu=soigné, gris=absent, or=couronne), panneau d'historique des soins.</w:t>
      </w:r>
    </w:p>
    <w:p>
      <w:pPr>
        <w:spacing w:before="160" w:after="60"/>
      </w:pPr>
      <w:r>
        <w:rPr>
          <w:b/>
          <w:i/>
          <w:color w:val="1C2624"/>
          <w:sz w:val="21"/>
        </w:rPr>
        <w:t>Développeur 2 — Pôle Organisation, Agenda &amp; Finance (planning &amp; caisse)</w:t>
      </w:r>
    </w:p>
    <w:p>
      <w:pPr>
        <w:spacing w:after="120"/>
      </w:pPr>
      <w:r>
        <w:rPr>
          <w:b w:val="0"/>
          <w:i/>
          <w:color w:val="4C5A56"/>
          <w:sz w:val="20"/>
        </w:rPr>
        <w:t>Rôle : responsable du parcours administratif du patient — rendez-vous, planification praticiens/fauteuils, facturation et encaissements.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Backend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Cabinets &amp; Ressources (/api/v1/cabinets) :</w:t>
      </w:r>
      <w:r>
        <w:rPr>
          <w:b w:val="0"/>
          <w:color w:val="4C5A56"/>
          <w:sz w:val="20"/>
        </w:rPr>
        <w:t xml:space="preserve"> sites/cabinets, salles, fauteuils ; profils praticiens, spécialités, numéros d'ordre, disponibilités.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Rendez-vous (/api/v1/rendez-vous) :</w:t>
      </w:r>
      <w:r>
        <w:rPr>
          <w:b w:val="0"/>
          <w:color w:val="4C5A56"/>
          <w:sz w:val="20"/>
        </w:rPr>
        <w:t xml:space="preserve"> RendezVous / CreneauFauteuil ; détection des conflits (double réservation) ; statuts (Planifié, Confirmé, En salle d'attente, En consultation, Terminé, Annulé, Absent).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Facturation &amp; Caisse :</w:t>
      </w:r>
      <w:r>
        <w:rPr>
          <w:b w:val="0"/>
          <w:color w:val="4C5A56"/>
          <w:sz w:val="20"/>
        </w:rPr>
        <w:t xml:space="preserve"> facture automatique depuis les actes_realises ; paiements multiples/partiels (Espèces, Wave, Orange Money, Carte, Virement, Chèque) ; acomptes, soldes, reçus numérotés ; Devis et plans d'échelonnement.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Frontend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Agenda / Rendez-vous :</w:t>
      </w:r>
      <w:r>
        <w:rPr>
          <w:b w:val="0"/>
          <w:color w:val="4C5A56"/>
          <w:sz w:val="20"/>
        </w:rPr>
        <w:t xml:space="preserve"> calendrier multi-vues (jour/semaine/mois), filtres praticien/fauteuil (FullCalendar), modale de prise de RDV avec recherche patient.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Facturation &amp; Caisse :</w:t>
      </w:r>
      <w:r>
        <w:rPr>
          <w:b w:val="0"/>
          <w:color w:val="4C5A56"/>
          <w:sz w:val="20"/>
        </w:rPr>
        <w:t xml:space="preserve"> écran de facturation lié à la consultation, encaissement avec rendu de monnaie et ventilation par moyen de paiement, vue des impayés, impression du reçu/facture.</w:t>
      </w:r>
    </w:p>
    <w:p>
      <w:pPr>
        <w:spacing w:before="160" w:after="60"/>
      </w:pPr>
      <w:r>
        <w:rPr>
          <w:b/>
          <w:i/>
          <w:color w:val="1C2624"/>
          <w:sz w:val="21"/>
        </w:rPr>
        <w:t>Développeur 3 — Pôle Logistique, Socle Frontend &amp; Plateforme</w:t>
      </w:r>
    </w:p>
    <w:p>
      <w:pPr>
        <w:spacing w:after="120"/>
      </w:pPr>
      <w:r>
        <w:rPr>
          <w:b w:val="0"/>
          <w:i/>
          <w:color w:val="4C5A56"/>
          <w:sz w:val="20"/>
        </w:rPr>
        <w:t>Rôle : responsable de l'outillage transversal, du socle technique Frontend, de la console Super-Admin, du stock et des traitements en arrière-plan.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Backend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Module Stock &amp; Fournisseurs (/api/v1/stock) :</w:t>
      </w:r>
      <w:r>
        <w:rPr>
          <w:b w:val="0"/>
          <w:color w:val="4C5A56"/>
          <w:sz w:val="20"/>
        </w:rPr>
        <w:t xml:space="preserve"> ArticleStock, MouvementStock, Fournisseur, CommandeFournisseur ; suivi des quantités par cabinet, alertes de stock minimum, traçabilité des mouvements.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Console Super-Admin (/api/v1/master/tenants) :</w:t>
      </w:r>
      <w:r>
        <w:rPr>
          <w:b w:val="0"/>
          <w:color w:val="4C5A56"/>
          <w:sz w:val="20"/>
        </w:rPr>
        <w:t xml:space="preserve"> tableau de bord des cabinets hébergés, activation/suspension d'un tenant, monitoring des bases et statistiques globales.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Moteur de tâches asynchrones &amp; notifications :</w:t>
      </w:r>
      <w:r>
        <w:rPr>
          <w:b w:val="0"/>
          <w:color w:val="4C5A56"/>
          <w:sz w:val="20"/>
        </w:rPr>
        <w:t xml:space="preserve"> worker arq + Redis ; tâche cron quotidienne de rappel RDV (SMS/Email) ; génération PDF asynchrone (factures, reçus, ordonnances) via WeasyPrint/ReportLab.</w:t>
      </w:r>
    </w:p>
    <w:p>
      <w:pPr>
        <w:spacing w:after="60"/>
      </w:pPr>
      <w:r>
        <w:rPr>
          <w:b/>
          <w:i w:val="0"/>
          <w:color w:val="1C2624"/>
          <w:sz w:val="20"/>
        </w:rPr>
        <w:t>Missions Frontend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Mise en place du socle Frontend :</w:t>
      </w:r>
      <w:r>
        <w:rPr>
          <w:b w:val="0"/>
          <w:color w:val="4C5A56"/>
          <w:sz w:val="20"/>
        </w:rPr>
        <w:t xml:space="preserve"> Next.js 14 + TypeScript + Tailwind + shadcn/ui + Axios/TanStack Query ; layout global (sidebar, header, sélecteur de cabinet) ; routing protégé JWT (cookie HttpOnly + Zustand). Livrable clé : squelette UI fonctionnel pour Dev 1 et Dev 2 dès la fin de semaine 1.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Interfaces du Pôle 3 :</w:t>
      </w:r>
      <w:r>
        <w:rPr>
          <w:b w:val="0"/>
          <w:color w:val="4C5A56"/>
          <w:sz w:val="20"/>
        </w:rPr>
        <w:t xml:space="preserve"> console Super-Admin, écran de stock/inventaire avec alertes de rupture, dashboard d'accueil (CA du jour, consultations en cours, alertes stock).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6.  </w:t>
      </w:r>
      <w:r>
        <w:rPr>
          <w:b/>
          <w:color w:val="1C2624"/>
          <w:sz w:val="30"/>
        </w:rPr>
        <w:t>Matrice des Dépendances &amp; Règles de Collaboration</w:t>
      </w:r>
    </w:p>
    <w:p>
      <w:pPr>
        <w:spacing w:before="280" w:after="80"/>
      </w:pPr>
      <w:r>
        <w:rPr>
          <w:b/>
          <w:color w:val="33506B"/>
          <w:sz w:val="24"/>
        </w:rPr>
        <w:t>6.1. Tableau des dépendances entre tâches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1247"/>
        <w:gridCol w:w="2154"/>
        <w:gridCol w:w="3231"/>
      </w:tblGrid>
      <w:tr>
        <w:tc>
          <w:tcPr>
            <w:tcW w:type="dxa" w:w="2493"/>
            <w:shd w:val="clear" w:color="auto" w:fill="E8ECE9"/>
          </w:tcPr>
          <w:p>
            <w:r>
              <w:rPr>
                <w:b/>
                <w:color w:val="1C2624"/>
                <w:sz w:val="18"/>
              </w:rPr>
              <w:t>Tâche</w:t>
            </w:r>
          </w:p>
        </w:tc>
        <w:tc>
          <w:tcPr>
            <w:tcW w:type="dxa" w:w="2493"/>
            <w:shd w:val="clear" w:color="auto" w:fill="E8ECE9"/>
          </w:tcPr>
          <w:p>
            <w:r>
              <w:rPr>
                <w:b/>
                <w:color w:val="1C2624"/>
                <w:sz w:val="18"/>
              </w:rPr>
              <w:t>Assignée à</w:t>
            </w:r>
          </w:p>
        </w:tc>
        <w:tc>
          <w:tcPr>
            <w:tcW w:type="dxa" w:w="2493"/>
            <w:shd w:val="clear" w:color="auto" w:fill="E8ECE9"/>
          </w:tcPr>
          <w:p>
            <w:r>
              <w:rPr>
                <w:b/>
                <w:color w:val="1C2624"/>
                <w:sz w:val="18"/>
              </w:rPr>
              <w:t>Dépendance directe</w:t>
            </w:r>
          </w:p>
        </w:tc>
        <w:tc>
          <w:tcPr>
            <w:tcW w:type="dxa" w:w="2493"/>
            <w:shd w:val="clear" w:color="auto" w:fill="E8ECE9"/>
          </w:tcPr>
          <w:p>
            <w:r>
              <w:rPr>
                <w:b/>
                <w:color w:val="1C2624"/>
                <w:sz w:val="18"/>
              </w:rPr>
              <w:t>Débloque ensuite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F7D5C"/>
                <w:sz w:val="18"/>
              </w:rPr>
              <w:t>✓ Socle Auth &amp; RBAC réel</w:t>
            </w:r>
          </w:p>
        </w:tc>
        <w:tc>
          <w:tcPr>
            <w:tcW w:type="dxa" w:w="1247"/>
          </w:tcPr>
          <w:p>
            <w:r>
              <w:rPr>
                <w:color w:val="2F7D5C"/>
                <w:sz w:val="18"/>
              </w:rPr>
              <w:t>Sprint 0</w:t>
            </w:r>
          </w:p>
        </w:tc>
        <w:tc>
          <w:tcPr>
            <w:tcW w:type="dxa" w:w="2154"/>
          </w:tcPr>
          <w:p>
            <w:r>
              <w:rPr>
                <w:color w:val="2F7D5C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color w:val="2F7D5C"/>
                <w:sz w:val="18"/>
              </w:rPr>
              <w:t>Fait — toutes les routes sécurisées peuvent s'appuyer dessus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F7D5C"/>
                <w:sz w:val="18"/>
              </w:rPr>
              <w:t>✓ Migrations Alembic</w:t>
            </w:r>
          </w:p>
        </w:tc>
        <w:tc>
          <w:tcPr>
            <w:tcW w:type="dxa" w:w="1247"/>
          </w:tcPr>
          <w:p>
            <w:r>
              <w:rPr>
                <w:color w:val="2F7D5C"/>
                <w:sz w:val="18"/>
              </w:rPr>
              <w:t>Sprint 0</w:t>
            </w:r>
          </w:p>
        </w:tc>
        <w:tc>
          <w:tcPr>
            <w:tcW w:type="dxa" w:w="2154"/>
          </w:tcPr>
          <w:p>
            <w:r>
              <w:rPr>
                <w:color w:val="2F7D5C"/>
                <w:sz w:val="18"/>
              </w:rPr>
              <w:t>—</w:t>
            </w:r>
          </w:p>
        </w:tc>
        <w:tc>
          <w:tcPr>
            <w:tcW w:type="dxa" w:w="3231"/>
          </w:tcPr>
          <w:p>
            <w:r>
              <w:rPr>
                <w:color w:val="2F7D5C"/>
                <w:sz w:val="18"/>
              </w:rPr>
              <w:t>Fait — toute nouvelle table passe par une révision Alembic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2F7D5C"/>
                <w:sz w:val="18"/>
              </w:rPr>
              <w:t>✓ Provisioning Tenant réel</w:t>
            </w:r>
          </w:p>
        </w:tc>
        <w:tc>
          <w:tcPr>
            <w:tcW w:type="dxa" w:w="1247"/>
          </w:tcPr>
          <w:p>
            <w:r>
              <w:rPr>
                <w:color w:val="2F7D5C"/>
                <w:sz w:val="18"/>
              </w:rPr>
              <w:t>Sprint 0</w:t>
            </w:r>
          </w:p>
        </w:tc>
        <w:tc>
          <w:tcPr>
            <w:tcW w:type="dxa" w:w="2154"/>
          </w:tcPr>
          <w:p>
            <w:r>
              <w:rPr>
                <w:color w:val="2F7D5C"/>
                <w:sz w:val="18"/>
              </w:rPr>
              <w:t>Migrations Alembic</w:t>
            </w:r>
          </w:p>
        </w:tc>
        <w:tc>
          <w:tcPr>
            <w:tcW w:type="dxa" w:w="3231"/>
          </w:tcPr>
          <w:p>
            <w:r>
              <w:rPr>
                <w:color w:val="2F7D5C"/>
                <w:sz w:val="18"/>
              </w:rPr>
              <w:t>Fait — création autonome de nouveaux cabinets de test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Setup Template Frontend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3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Aucune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Intégration des écrans par Dev 1 et Dev 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API Patients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1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Aucune (Socle Auth résolu)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Prise de RDV (Dev 2), Facturation (Dev 2)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API Consultations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1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API Patients (Dev 1)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Facturation automatique (Dev 2)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Odontogramme SVG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1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Setup Frontend (Dev 3), API Odontogramme (Dev 1)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Expérience clinique praticien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API Agenda / RDV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2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ID Patient (Dev 1)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Rappels de RDV automatiques (Dev 3)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API Facturation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2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Consultation / Actes réalisés (Dev 1)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Rapports financiers &amp; encaissements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1C2624"/>
                <w:sz w:val="18"/>
              </w:rPr>
              <w:t>Worker Rappels RDV</w:t>
            </w:r>
          </w:p>
        </w:tc>
        <w:tc>
          <w:tcPr>
            <w:tcW w:type="dxa" w:w="1247"/>
          </w:tcPr>
          <w:p>
            <w:r>
              <w:rPr>
                <w:color w:val="4C5A56"/>
                <w:sz w:val="18"/>
              </w:rPr>
              <w:t>Dev 3</w:t>
            </w:r>
          </w:p>
        </w:tc>
        <w:tc>
          <w:tcPr>
            <w:tcW w:type="dxa" w:w="2154"/>
          </w:tcPr>
          <w:p>
            <w:r>
              <w:rPr>
                <w:color w:val="4C5A56"/>
                <w:sz w:val="18"/>
              </w:rPr>
              <w:t>API Rendez-vous (Dev 2)</w:t>
            </w:r>
          </w:p>
        </w:tc>
        <w:tc>
          <w:tcPr>
            <w:tcW w:type="dxa" w:w="3231"/>
          </w:tcPr>
          <w:p>
            <w:r>
              <w:rPr>
                <w:color w:val="4C5A56"/>
                <w:sz w:val="18"/>
              </w:rPr>
              <w:t>Envoi effectif des notifications SMS/Email</w:t>
            </w:r>
          </w:p>
        </w:tc>
      </w:tr>
    </w:tbl>
    <w:p/>
    <w:p>
      <w:pPr>
        <w:spacing w:before="280" w:after="80"/>
      </w:pPr>
      <w:r>
        <w:rPr>
          <w:b/>
          <w:color w:val="33506B"/>
          <w:sz w:val="24"/>
        </w:rPr>
        <w:t>6.2. Règles d'or pour travailler à 3 sans blocage (découplage)</w:t>
      </w:r>
    </w:p>
    <w:p>
      <w:pPr>
        <w:pStyle w:val="ListNumber"/>
        <w:spacing w:after="100"/>
      </w:pPr>
      <w:r>
        <w:rPr>
          <w:b/>
          <w:color w:val="1C2624"/>
          <w:sz w:val="20"/>
        </w:rPr>
        <w:t xml:space="preserve">Priorité aux contrats d'interface (API First) — </w:t>
      </w:r>
      <w:r>
        <w:rPr>
          <w:b w:val="0"/>
          <w:color w:val="4C5A56"/>
          <w:sz w:val="20"/>
        </w:rPr>
        <w:t>valider les schémas Pydantic et la signature de route avant la logique interne ; dès que Swagger affiche le JSON attendu, les autres peuvent coder contre ce contrat.</w:t>
      </w:r>
    </w:p>
    <w:p>
      <w:pPr>
        <w:pStyle w:val="ListNumber"/>
        <w:spacing w:after="100"/>
      </w:pPr>
      <w:r>
        <w:rPr>
          <w:b/>
          <w:color w:val="1C2624"/>
          <w:sz w:val="20"/>
        </w:rPr>
        <w:t xml:space="preserve">Fixtures / seeds de test — </w:t>
      </w:r>
      <w:r>
        <w:rPr>
          <w:b w:val="0"/>
          <w:color w:val="4C5A56"/>
          <w:sz w:val="20"/>
        </w:rPr>
        <w:t>Dev 2 n'attend pas l'écran patient de Dev 1 : un script de seed insère patients/consultations fictifs pour tester facturation et agenda immédiatement.</w:t>
      </w:r>
    </w:p>
    <w:p>
      <w:pPr>
        <w:pStyle w:val="ListNumber"/>
        <w:spacing w:after="100"/>
      </w:pPr>
      <w:r>
        <w:rPr>
          <w:b/>
          <w:color w:val="1C2624"/>
          <w:sz w:val="20"/>
        </w:rPr>
        <w:t xml:space="preserve">Isolation par domaine de fichiers — </w:t>
      </w:r>
      <w:r>
        <w:rPr>
          <w:b w:val="0"/>
          <w:color w:val="4C5A56"/>
          <w:sz w:val="20"/>
        </w:rPr>
        <w:t>chaque développeur travaille dans son propre sous-dossier de src/modules/, ce qui élimine 95% des conflits Git.</w:t>
      </w:r>
    </w:p>
    <w:p>
      <w:pPr>
        <w:pStyle w:val="ListNumber"/>
        <w:spacing w:after="100"/>
      </w:pPr>
      <w:r>
        <w:rPr>
          <w:b/>
          <w:color w:val="1C2624"/>
          <w:sz w:val="20"/>
        </w:rPr>
        <w:t xml:space="preserve">Schémas de réponse partagés — </w:t>
      </w:r>
      <w:r>
        <w:rPr>
          <w:b w:val="0"/>
          <w:color w:val="4C5A56"/>
          <w:sz w:val="20"/>
        </w:rPr>
        <w:t>obligation d'utiliser APIResponse[T] et PaginatedResponse[T] (via paginate()) de common/schemas.py.</w:t>
      </w:r>
    </w:p>
    <w:p>
      <w:pPr>
        <w:pStyle w:val="ListNumber"/>
        <w:spacing w:after="100"/>
      </w:pPr>
      <w:r>
        <w:rPr>
          <w:b/>
          <w:color w:val="1C2624"/>
          <w:sz w:val="20"/>
        </w:rPr>
        <w:t xml:space="preserve">Traçabilité médicale obligatoire — </w:t>
      </w:r>
      <w:r>
        <w:rPr>
          <w:b w:val="0"/>
          <w:color w:val="4C5A56"/>
          <w:sz w:val="20"/>
        </w:rPr>
        <w:t>toute création/modification/suppression sensible appelle AuditService.log_action(db=db, ...).</w:t>
      </w:r>
    </w:p>
    <w:p>
      <w:pPr>
        <w:spacing w:before="400" w:after="120"/>
        <w:pBdr>
          <w:bottom w:val="single" w:sz="6" w:space="4" w:color="D7DDD9"/>
        </w:pBdr>
      </w:pPr>
      <w:r>
        <w:rPr>
          <w:b/>
          <w:i/>
          <w:color w:val="33506B"/>
          <w:sz w:val="30"/>
        </w:rPr>
        <w:t xml:space="preserve">7.  </w:t>
      </w:r>
      <w:r>
        <w:rPr>
          <w:b/>
          <w:color w:val="1C2624"/>
          <w:sz w:val="30"/>
        </w:rPr>
        <w:t>Feuille de Route &amp; Recommandations Git</w:t>
      </w:r>
    </w:p>
    <w:p>
      <w:pPr>
        <w:spacing w:before="280" w:after="80"/>
      </w:pPr>
      <w:r>
        <w:rPr>
          <w:b/>
          <w:color w:val="33506B"/>
          <w:sz w:val="24"/>
        </w:rPr>
        <w:t>7.1. Planning par sprints (estimations)</w:t>
      </w:r>
    </w:p>
    <w:p>
      <w:pPr>
        <w:spacing w:after="60"/>
      </w:pPr>
      <w:r>
        <w:rPr>
          <w:b/>
          <w:color w:val="33506B"/>
          <w:sz w:val="20"/>
        </w:rPr>
        <w:t xml:space="preserve">Semaine 1  —  </w:t>
      </w:r>
      <w:r>
        <w:rPr>
          <w:color w:val="2F7D5C"/>
          <w:sz w:val="19"/>
        </w:rPr>
        <w:t>J1-J2 : SPRINT 0 (Auth réelle, Alembic, Provisioning DB) — TERMINÉ le 13/09/2026 (§3)</w:t>
      </w:r>
    </w:p>
    <w:p>
      <w:pPr>
        <w:spacing w:after="60"/>
      </w:pPr>
      <w:r>
        <w:rPr>
          <w:sz w:val="20"/>
        </w:rPr>
        <w:t xml:space="preserve">  </w:t>
      </w:r>
      <w:r>
        <w:rPr>
          <w:color w:val="4C5A56"/>
          <w:sz w:val="19"/>
        </w:rPr>
        <w:t>J3-J5 : SPRINT 1 (CRUD Patients, Modèle Agenda, Modèle Stock, Wireframes UI, Init Next.js)</w:t>
      </w:r>
    </w:p>
    <w:p>
      <w:pPr>
        <w:spacing w:after="60"/>
      </w:pPr>
      <w:r>
        <w:rPr>
          <w:b/>
          <w:color w:val="33506B"/>
          <w:sz w:val="20"/>
        </w:rPr>
        <w:t xml:space="preserve">Semaine 2  —  </w:t>
      </w:r>
      <w:r>
        <w:rPr>
          <w:color w:val="4C5A56"/>
          <w:sz w:val="19"/>
        </w:rPr>
        <w:t>J6-J8 : SPRINT 2 (Consultations, Planning FullCalendar, Mouvements Stock, Auth UI)</w:t>
      </w:r>
    </w:p>
    <w:p>
      <w:pPr>
        <w:spacing w:after="60"/>
      </w:pPr>
      <w:r>
        <w:rPr>
          <w:sz w:val="20"/>
        </w:rPr>
        <w:t xml:space="preserve">  </w:t>
      </w:r>
      <w:r>
        <w:rPr>
          <w:color w:val="4C5A56"/>
          <w:sz w:val="19"/>
        </w:rPr>
        <w:t>J9-J10 : SPRINT 3 (Odontogramme SVG v1, Facturation de base, Console Super-Admin)</w:t>
      </w:r>
    </w:p>
    <w:p>
      <w:pPr>
        <w:spacing w:after="60"/>
      </w:pPr>
      <w:r>
        <w:rPr>
          <w:b/>
          <w:color w:val="33506B"/>
          <w:sz w:val="20"/>
        </w:rPr>
        <w:t xml:space="preserve">Semaine 3  —  </w:t>
      </w:r>
      <w:r>
        <w:rPr>
          <w:color w:val="4C5A56"/>
          <w:sz w:val="19"/>
        </w:rPr>
        <w:t>J11-J13 : SPRINT 4 (Charting parodontal, Devis/Acomptes, Workers SMS/Email)</w:t>
      </w:r>
    </w:p>
    <w:p>
      <w:pPr>
        <w:spacing w:after="60"/>
      </w:pPr>
      <w:r>
        <w:rPr>
          <w:sz w:val="20"/>
        </w:rPr>
        <w:t xml:space="preserve">  </w:t>
      </w:r>
      <w:r>
        <w:rPr>
          <w:color w:val="4C5A56"/>
          <w:sz w:val="19"/>
        </w:rPr>
        <w:t>J14-J15 : SPRINT 5 (Intégration croisée, Recette clinique, Tests de charge &amp; Docker final)</w:t>
      </w:r>
    </w:p>
    <w:p/>
    <w:p>
      <w:pPr>
        <w:spacing w:before="280" w:after="80"/>
      </w:pPr>
      <w:r>
        <w:rPr>
          <w:b/>
          <w:color w:val="33506B"/>
          <w:sz w:val="24"/>
        </w:rPr>
        <w:t>7.2. Stratégie de branches Git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Branche main :</w:t>
      </w:r>
      <w:r>
        <w:rPr>
          <w:b w:val="0"/>
          <w:color w:val="4C5A56"/>
          <w:sz w:val="20"/>
        </w:rPr>
        <w:t xml:space="preserve"> code de production uniquement, protégé (merge via Pull Request validée).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>Branche develop :</w:t>
      </w:r>
      <w:r>
        <w:rPr>
          <w:b w:val="0"/>
          <w:color w:val="4C5A56"/>
          <w:sz w:val="20"/>
        </w:rPr>
        <w:t xml:space="preserve"> branche d'intégration commune.</w:t>
      </w:r>
    </w:p>
    <w:p>
      <w:pPr>
        <w:spacing w:after="60"/>
      </w:pPr>
      <w:r>
        <w:rPr>
          <w:b w:val="0"/>
          <w:i w:val="0"/>
          <w:color w:val="4C5A56"/>
          <w:sz w:val="20"/>
        </w:rPr>
        <w:t>Branches de fonctionnalités (nommage standardisé) :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 xml:space="preserve">Dev 1 : </w:t>
      </w:r>
      <w:r>
        <w:rPr>
          <w:b w:val="0"/>
          <w:color w:val="4C5A56"/>
          <w:sz w:val="20"/>
        </w:rPr>
        <w:t>feature/clinical-patients, feature/clinical-odontogramme, feature/clinical-consultations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 xml:space="preserve">Dev 2 : </w:t>
      </w:r>
      <w:r>
        <w:rPr>
          <w:b w:val="0"/>
          <w:color w:val="4C5A56"/>
          <w:sz w:val="20"/>
        </w:rPr>
        <w:t>feature/agenda-planning, feature/billing-invoices, feature/billing-payments</w:t>
      </w:r>
    </w:p>
    <w:p>
      <w:pPr>
        <w:pStyle w:val="ListBullet"/>
        <w:spacing w:after="100"/>
      </w:pPr>
      <w:r>
        <w:rPr>
          <w:b/>
          <w:color w:val="1C2624"/>
          <w:sz w:val="20"/>
        </w:rPr>
        <w:t xml:space="preserve">Dev 3 : </w:t>
      </w:r>
      <w:r>
        <w:rPr>
          <w:b w:val="0"/>
          <w:color w:val="4C5A56"/>
          <w:sz w:val="20"/>
        </w:rPr>
        <w:t>feature/core-frontend-init, feature/stock-management, feature/workers-notifications</w:t>
      </w:r>
    </w:p>
    <w:p>
      <w:pPr>
        <w:spacing w:after="80"/>
      </w:pPr>
      <w:r>
        <w:rPr>
          <w:b/>
          <w:i w:val="0"/>
          <w:color w:val="1C2624"/>
          <w:sz w:val="20"/>
        </w:rPr>
        <w:t>Règle de PR : chaque Pull Request doit inclure au moins un test d'intégration dans Backend/tests/ et être relue par au moins un des deux autres développeurs avant fusion.</w:t>
      </w:r>
    </w:p>
    <w:p/>
    <w:p>
      <w:pPr>
        <w:spacing w:after="0"/>
      </w:pPr>
      <w:r>
        <w:rPr>
          <w:b w:val="0"/>
          <w:i/>
          <w:color w:val="4C5A56"/>
          <w:sz w:val="17"/>
        </w:rPr>
        <w:t>Rapport établi le 13 septembre 2026 pour l'équipe technique SysDent Pro. Mis à jour le même jour après résolution de la Phase 0 (Sprint 0).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6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