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D2BFD">
      <w:pPr>
        <w:spacing w:after="40"/>
        <w:jc w:val="center"/>
      </w:pPr>
      <w:r>
        <w:rPr>
          <w:rFonts w:ascii="Calibri" w:hAnsi="Calibri" w:eastAsia="Calibri" w:cs="Calibri"/>
          <w:b/>
          <w:bCs/>
          <w:color w:val="1F3864"/>
          <w:sz w:val="40"/>
          <w:szCs w:val="40"/>
        </w:rPr>
        <w:t>EMPLOYEE SELF-SERVICE (ESS)</w:t>
      </w:r>
    </w:p>
    <w:p w14:paraId="426A82CB">
      <w:pPr>
        <w:spacing w:after="240"/>
        <w:jc w:val="center"/>
      </w:pPr>
      <w:r>
        <w:rPr>
          <w:rFonts w:ascii="Calibri" w:hAnsi="Calibri" w:eastAsia="Calibri" w:cs="Calibri"/>
          <w:b/>
          <w:bCs/>
          <w:color w:val="404040"/>
          <w:sz w:val="28"/>
          <w:szCs w:val="28"/>
        </w:rPr>
        <w:t>Post-Deployment Report</w:t>
      </w:r>
    </w:p>
    <w:tbl>
      <w:tblPr>
        <w:tblStyle w:val="9"/>
        <w:tblW w:w="95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200"/>
        <w:gridCol w:w="6300"/>
      </w:tblGrid>
      <w:tr w14:paraId="3A780C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62EB90C7">
            <w:pPr>
              <w:spacing w:after="120"/>
            </w:pPr>
            <w:r>
              <w:rPr>
                <w:rFonts w:ascii="Calibri" w:hAnsi="Calibri" w:eastAsia="Calibri" w:cs="Calibri"/>
                <w:b/>
                <w:bCs/>
                <w:sz w:val="20"/>
                <w:szCs w:val="20"/>
              </w:rPr>
              <w:t>Project</w:t>
            </w:r>
          </w:p>
        </w:tc>
        <w:tc>
          <w:tcPr>
            <w:tcW w:w="6300" w:type="dxa"/>
            <w:tcMar>
              <w:top w:w="80" w:type="dxa"/>
              <w:left w:w="120" w:type="dxa"/>
              <w:bottom w:w="80" w:type="dxa"/>
              <w:right w:w="120" w:type="dxa"/>
            </w:tcMar>
            <w:vAlign w:val="center"/>
          </w:tcPr>
          <w:p w14:paraId="7C57BE22">
            <w:pPr>
              <w:spacing w:after="120"/>
            </w:pPr>
            <w:r>
              <w:rPr>
                <w:rFonts w:ascii="Calibri" w:hAnsi="Calibri" w:eastAsia="Calibri" w:cs="Calibri"/>
                <w:sz w:val="20"/>
                <w:szCs w:val="20"/>
              </w:rPr>
              <w:t>Employee Self-Service (ESS) Portal</w:t>
            </w:r>
          </w:p>
        </w:tc>
      </w:tr>
      <w:tr w14:paraId="087D50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6636DAEB">
            <w:pPr>
              <w:spacing w:after="120"/>
            </w:pPr>
            <w:r>
              <w:rPr>
                <w:rFonts w:ascii="Calibri" w:hAnsi="Calibri" w:eastAsia="Calibri" w:cs="Calibri"/>
                <w:b/>
                <w:bCs/>
                <w:sz w:val="20"/>
                <w:szCs w:val="20"/>
              </w:rPr>
              <w:t>Document Type</w:t>
            </w:r>
          </w:p>
        </w:tc>
        <w:tc>
          <w:tcPr>
            <w:tcW w:w="6300" w:type="dxa"/>
            <w:tcMar>
              <w:top w:w="80" w:type="dxa"/>
              <w:left w:w="120" w:type="dxa"/>
              <w:bottom w:w="80" w:type="dxa"/>
              <w:right w:w="120" w:type="dxa"/>
            </w:tcMar>
            <w:vAlign w:val="center"/>
          </w:tcPr>
          <w:p w14:paraId="0406251D">
            <w:pPr>
              <w:spacing w:after="120"/>
            </w:pPr>
            <w:r>
              <w:rPr>
                <w:rFonts w:ascii="Calibri" w:hAnsi="Calibri" w:eastAsia="Calibri" w:cs="Calibri"/>
                <w:sz w:val="20"/>
                <w:szCs w:val="20"/>
              </w:rPr>
              <w:t>Post-Deployment Report</w:t>
            </w:r>
          </w:p>
        </w:tc>
      </w:tr>
      <w:tr w14:paraId="312CA6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475A0942">
            <w:pPr>
              <w:spacing w:after="120"/>
            </w:pPr>
            <w:r>
              <w:rPr>
                <w:rFonts w:ascii="Calibri" w:hAnsi="Calibri" w:eastAsia="Calibri" w:cs="Calibri"/>
                <w:b/>
                <w:bCs/>
                <w:sz w:val="20"/>
                <w:szCs w:val="20"/>
              </w:rPr>
              <w:t>Reference Document</w:t>
            </w:r>
          </w:p>
        </w:tc>
        <w:tc>
          <w:tcPr>
            <w:tcW w:w="6300" w:type="dxa"/>
            <w:tcMar>
              <w:top w:w="80" w:type="dxa"/>
              <w:left w:w="120" w:type="dxa"/>
              <w:bottom w:w="80" w:type="dxa"/>
              <w:right w:w="120" w:type="dxa"/>
            </w:tcMar>
            <w:vAlign w:val="center"/>
          </w:tcPr>
          <w:p w14:paraId="29E26168">
            <w:pPr>
              <w:spacing w:after="120"/>
            </w:pPr>
            <w:r>
              <w:rPr>
                <w:rFonts w:ascii="Calibri" w:hAnsi="Calibri" w:eastAsia="Calibri" w:cs="Calibri"/>
                <w:sz w:val="20"/>
                <w:szCs w:val="20"/>
              </w:rPr>
              <w:t>ESS Portal Pre-Deployment Report</w:t>
            </w:r>
          </w:p>
        </w:tc>
      </w:tr>
      <w:tr w14:paraId="19B6BD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4784EAE3">
            <w:pPr>
              <w:spacing w:after="120"/>
            </w:pPr>
            <w:r>
              <w:rPr>
                <w:rFonts w:ascii="Calibri" w:hAnsi="Calibri" w:eastAsia="Calibri" w:cs="Calibri"/>
                <w:b/>
                <w:bCs/>
                <w:sz w:val="20"/>
                <w:szCs w:val="20"/>
              </w:rPr>
              <w:t>Test Environment</w:t>
            </w:r>
          </w:p>
        </w:tc>
        <w:tc>
          <w:tcPr>
            <w:tcW w:w="6300" w:type="dxa"/>
            <w:tcMar>
              <w:top w:w="80" w:type="dxa"/>
              <w:left w:w="120" w:type="dxa"/>
              <w:bottom w:w="80" w:type="dxa"/>
              <w:right w:w="120" w:type="dxa"/>
            </w:tcMar>
            <w:vAlign w:val="center"/>
          </w:tcPr>
          <w:p w14:paraId="0D0343D5">
            <w:pPr>
              <w:spacing w:after="120"/>
            </w:pPr>
            <w:r>
              <w:rPr>
                <w:rFonts w:ascii="Calibri" w:hAnsi="Calibri" w:eastAsia="Calibri" w:cs="Calibri"/>
                <w:sz w:val="20"/>
                <w:szCs w:val="20"/>
              </w:rPr>
              <w:t>Production Environment</w:t>
            </w:r>
          </w:p>
        </w:tc>
      </w:tr>
      <w:tr w14:paraId="76F1C0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436B2DED">
            <w:pPr>
              <w:spacing w:after="120"/>
            </w:pPr>
            <w:r>
              <w:rPr>
                <w:rFonts w:ascii="Calibri" w:hAnsi="Calibri" w:eastAsia="Calibri" w:cs="Calibri"/>
                <w:b/>
                <w:bCs/>
                <w:sz w:val="20"/>
                <w:szCs w:val="20"/>
              </w:rPr>
              <w:t>Report Date</w:t>
            </w:r>
          </w:p>
        </w:tc>
        <w:tc>
          <w:tcPr>
            <w:tcW w:w="6300" w:type="dxa"/>
            <w:tcMar>
              <w:top w:w="80" w:type="dxa"/>
              <w:left w:w="120" w:type="dxa"/>
              <w:bottom w:w="80" w:type="dxa"/>
              <w:right w:w="120" w:type="dxa"/>
            </w:tcMar>
            <w:vAlign w:val="center"/>
          </w:tcPr>
          <w:p w14:paraId="07CDFDB3">
            <w:pPr>
              <w:spacing w:after="120"/>
            </w:pPr>
            <w:r>
              <w:rPr>
                <w:rFonts w:ascii="Calibri" w:hAnsi="Calibri" w:eastAsia="Calibri" w:cs="Calibri"/>
                <w:sz w:val="20"/>
                <w:szCs w:val="20"/>
              </w:rPr>
              <w:t>9 September 2026</w:t>
            </w:r>
          </w:p>
        </w:tc>
      </w:tr>
      <w:tr w14:paraId="6331AD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426E239C">
            <w:pPr>
              <w:spacing w:after="120"/>
            </w:pPr>
            <w:r>
              <w:rPr>
                <w:rFonts w:ascii="Calibri" w:hAnsi="Calibri" w:eastAsia="Calibri" w:cs="Calibri"/>
                <w:b/>
                <w:bCs/>
                <w:sz w:val="20"/>
                <w:szCs w:val="20"/>
              </w:rPr>
              <w:t>Tester</w:t>
            </w:r>
          </w:p>
        </w:tc>
        <w:tc>
          <w:tcPr>
            <w:tcW w:w="6300" w:type="dxa"/>
            <w:tcMar>
              <w:top w:w="80" w:type="dxa"/>
              <w:left w:w="120" w:type="dxa"/>
              <w:bottom w:w="80" w:type="dxa"/>
              <w:right w:w="120" w:type="dxa"/>
            </w:tcMar>
            <w:vAlign w:val="center"/>
          </w:tcPr>
          <w:p w14:paraId="0496227B">
            <w:pPr>
              <w:spacing w:after="120"/>
            </w:pPr>
            <w:r>
              <w:rPr>
                <w:rFonts w:ascii="Calibri" w:hAnsi="Calibri" w:eastAsia="Calibri" w:cs="Calibri"/>
                <w:sz w:val="20"/>
                <w:szCs w:val="20"/>
              </w:rPr>
              <w:t>Quality Engineering</w:t>
            </w:r>
          </w:p>
        </w:tc>
      </w:tr>
      <w:tr w14:paraId="2DB5FA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71E892D2">
            <w:pPr>
              <w:spacing w:after="120"/>
            </w:pPr>
            <w:r>
              <w:rPr>
                <w:rFonts w:ascii="Calibri" w:hAnsi="Calibri" w:eastAsia="Calibri" w:cs="Calibri"/>
                <w:b/>
                <w:bCs/>
                <w:sz w:val="20"/>
                <w:szCs w:val="20"/>
              </w:rPr>
              <w:t>Status</w:t>
            </w:r>
          </w:p>
        </w:tc>
        <w:tc>
          <w:tcPr>
            <w:tcW w:w="6300" w:type="dxa"/>
            <w:tcMar>
              <w:top w:w="80" w:type="dxa"/>
              <w:left w:w="120" w:type="dxa"/>
              <w:bottom w:w="80" w:type="dxa"/>
              <w:right w:w="120" w:type="dxa"/>
            </w:tcMar>
            <w:vAlign w:val="center"/>
          </w:tcPr>
          <w:p w14:paraId="1B31FA8E">
            <w:pPr>
              <w:spacing w:after="120"/>
            </w:pPr>
            <w:r>
              <w:rPr>
                <w:rFonts w:ascii="Calibri" w:hAnsi="Calibri" w:eastAsia="Calibri" w:cs="Calibri"/>
                <w:sz w:val="20"/>
                <w:szCs w:val="20"/>
              </w:rPr>
              <w:t>Critical Finding Identified — Remediation Required</w:t>
            </w:r>
          </w:p>
        </w:tc>
      </w:tr>
    </w:tbl>
    <w:p w14:paraId="61EF9259">
      <w:pPr>
        <w:spacing w:after="240"/>
      </w:pP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66"/>
        <w:gridCol w:w="3167"/>
        <w:gridCol w:w="3167"/>
      </w:tblGrid>
      <w:tr w14:paraId="5985F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7" w:type="dxa"/>
            <w:shd w:val="clear" w:color="auto" w:fill="1F3864"/>
            <w:tcMar>
              <w:top w:w="140" w:type="dxa"/>
              <w:left w:w="80" w:type="dxa"/>
              <w:bottom w:w="140" w:type="dxa"/>
              <w:right w:w="80" w:type="dxa"/>
            </w:tcMar>
          </w:tcPr>
          <w:p w14:paraId="3CF5DBD8">
            <w:pPr>
              <w:spacing w:after="40"/>
              <w:jc w:val="center"/>
            </w:pPr>
            <w:r>
              <w:rPr>
                <w:rFonts w:ascii="Calibri" w:hAnsi="Calibri" w:eastAsia="Calibri" w:cs="Calibri"/>
                <w:b/>
                <w:bCs/>
                <w:color w:val="FFFFFF"/>
                <w:sz w:val="32"/>
                <w:szCs w:val="32"/>
              </w:rPr>
              <w:t>5</w:t>
            </w:r>
          </w:p>
          <w:p w14:paraId="546F68DC">
            <w:pPr>
              <w:jc w:val="center"/>
            </w:pPr>
            <w:r>
              <w:rPr>
                <w:rFonts w:ascii="Calibri" w:hAnsi="Calibri" w:eastAsia="Calibri" w:cs="Calibri"/>
                <w:color w:val="FFFFFF"/>
                <w:sz w:val="16"/>
                <w:szCs w:val="16"/>
              </w:rPr>
              <w:t>TEST CASES CHECKED</w:t>
            </w:r>
          </w:p>
        </w:tc>
        <w:tc>
          <w:tcPr>
            <w:tcW w:w="3167" w:type="dxa"/>
            <w:shd w:val="clear" w:color="auto" w:fill="4F8A3D"/>
            <w:tcMar>
              <w:top w:w="140" w:type="dxa"/>
              <w:left w:w="80" w:type="dxa"/>
              <w:bottom w:w="140" w:type="dxa"/>
              <w:right w:w="80" w:type="dxa"/>
            </w:tcMar>
          </w:tcPr>
          <w:p w14:paraId="022D8A60">
            <w:pPr>
              <w:spacing w:after="40"/>
              <w:jc w:val="center"/>
            </w:pPr>
            <w:r>
              <w:rPr>
                <w:rFonts w:ascii="Calibri" w:hAnsi="Calibri" w:eastAsia="Calibri" w:cs="Calibri"/>
                <w:b/>
                <w:bCs/>
                <w:color w:val="FFFFFF"/>
                <w:sz w:val="32"/>
                <w:szCs w:val="32"/>
              </w:rPr>
              <w:t>4</w:t>
            </w:r>
          </w:p>
          <w:p w14:paraId="5E998B52">
            <w:pPr>
              <w:jc w:val="center"/>
            </w:pPr>
            <w:r>
              <w:rPr>
                <w:rFonts w:ascii="Calibri" w:hAnsi="Calibri" w:eastAsia="Calibri" w:cs="Calibri"/>
                <w:color w:val="FFFFFF"/>
                <w:sz w:val="16"/>
                <w:szCs w:val="16"/>
              </w:rPr>
              <w:t>PASS</w:t>
            </w:r>
          </w:p>
        </w:tc>
        <w:tc>
          <w:tcPr>
            <w:tcW w:w="3167" w:type="dxa"/>
            <w:shd w:val="clear" w:color="auto" w:fill="C0504D"/>
            <w:tcMar>
              <w:top w:w="140" w:type="dxa"/>
              <w:left w:w="80" w:type="dxa"/>
              <w:bottom w:w="140" w:type="dxa"/>
              <w:right w:w="80" w:type="dxa"/>
            </w:tcMar>
          </w:tcPr>
          <w:p w14:paraId="324B0E8A">
            <w:pPr>
              <w:spacing w:after="40"/>
              <w:jc w:val="center"/>
            </w:pPr>
            <w:r>
              <w:rPr>
                <w:rFonts w:ascii="Calibri" w:hAnsi="Calibri" w:eastAsia="Calibri" w:cs="Calibri"/>
                <w:b/>
                <w:bCs/>
                <w:color w:val="FFFFFF"/>
                <w:sz w:val="32"/>
                <w:szCs w:val="32"/>
              </w:rPr>
              <w:t>1</w:t>
            </w:r>
          </w:p>
          <w:p w14:paraId="1E6F7B26">
            <w:pPr>
              <w:jc w:val="center"/>
            </w:pPr>
            <w:r>
              <w:rPr>
                <w:rFonts w:ascii="Calibri" w:hAnsi="Calibri" w:eastAsia="Calibri" w:cs="Calibri"/>
                <w:color w:val="FFFFFF"/>
                <w:sz w:val="16"/>
                <w:szCs w:val="16"/>
              </w:rPr>
              <w:t>CRITICAL</w:t>
            </w:r>
          </w:p>
        </w:tc>
      </w:tr>
    </w:tbl>
    <w:p w14:paraId="75BDECA2">
      <w:pPr>
        <w:pStyle w:val="2"/>
        <w:spacing w:before="280" w:after="140"/>
      </w:pPr>
      <w:r>
        <w:rPr>
          <w:rFonts w:ascii="Calibri" w:hAnsi="Calibri" w:eastAsia="Calibri" w:cs="Calibri"/>
          <w:b/>
          <w:bCs/>
          <w:color w:val="1F3864"/>
        </w:rPr>
        <w:t>1. Introduction</w:t>
      </w:r>
    </w:p>
    <w:p w14:paraId="196B597D">
      <w:pPr>
        <w:spacing w:after="120"/>
      </w:pPr>
      <w:r>
        <w:rPr>
          <w:rFonts w:ascii="Calibri" w:hAnsi="Calibri" w:eastAsia="Calibri" w:cs="Calibri"/>
        </w:rPr>
        <w:t>This report documents post-deployment verification of the ESS Portal in the Production Environment, covering the same modules confirmed in the ESS Portal Pre-Deployment Report (9 September 2026): leave balance display, leave types dashboard, Business Central/ESS Portal synchronisation, and profile editing. One new Critical finding was identified during this cycle.</w:t>
      </w:r>
    </w:p>
    <w:p w14:paraId="2E090825">
      <w:pPr>
        <w:pStyle w:val="2"/>
        <w:spacing w:before="280" w:after="140"/>
      </w:pPr>
      <w:r>
        <w:rPr>
          <w:rFonts w:ascii="Calibri" w:hAnsi="Calibri" w:eastAsia="Calibri" w:cs="Calibri"/>
          <w:b/>
          <w:bCs/>
          <w:color w:val="1F3864"/>
        </w:rPr>
        <w:t>2. Scope of Post-Deployment Checks</w:t>
      </w:r>
    </w:p>
    <w:p w14:paraId="6FD58A2B">
      <w:pPr>
        <w:pStyle w:val="16"/>
        <w:numPr>
          <w:ilvl w:val="0"/>
          <w:numId w:val="1"/>
        </w:numPr>
        <w:spacing w:after="60"/>
      </w:pPr>
      <w:r>
        <w:rPr>
          <w:rFonts w:ascii="Calibri" w:hAnsi="Calibri" w:eastAsia="Calibri" w:cs="Calibri"/>
        </w:rPr>
        <w:t>Display of leave balance on the ESS Portal</w:t>
      </w:r>
    </w:p>
    <w:p w14:paraId="57E41DC7">
      <w:pPr>
        <w:pStyle w:val="16"/>
        <w:numPr>
          <w:ilvl w:val="0"/>
          <w:numId w:val="1"/>
        </w:numPr>
        <w:spacing w:after="60"/>
      </w:pPr>
      <w:r>
        <w:rPr>
          <w:rFonts w:ascii="Calibri" w:hAnsi="Calibri" w:eastAsia="Calibri" w:cs="Calibri"/>
        </w:rPr>
        <w:t>Leave types dashboard and corresponding balances</w:t>
      </w:r>
    </w:p>
    <w:p w14:paraId="5AA0B3CE">
      <w:pPr>
        <w:pStyle w:val="16"/>
        <w:numPr>
          <w:ilvl w:val="0"/>
          <w:numId w:val="1"/>
        </w:numPr>
        <w:spacing w:after="60"/>
      </w:pPr>
      <w:r>
        <w:rPr>
          <w:rFonts w:ascii="Calibri" w:hAnsi="Calibri" w:eastAsia="Calibri" w:cs="Calibri"/>
        </w:rPr>
        <w:t>Leave balance consistency between Business Central and the ESS Portal</w:t>
      </w:r>
    </w:p>
    <w:p w14:paraId="7763F6CF">
      <w:pPr>
        <w:pStyle w:val="16"/>
        <w:numPr>
          <w:ilvl w:val="0"/>
          <w:numId w:val="1"/>
        </w:numPr>
        <w:spacing w:after="60"/>
      </w:pPr>
      <w:r>
        <w:rPr>
          <w:rFonts w:ascii="Calibri" w:hAnsi="Calibri" w:eastAsia="Calibri" w:cs="Calibri"/>
        </w:rPr>
        <w:t>Editable profile segment</w:t>
      </w:r>
    </w:p>
    <w:p w14:paraId="5B77C04A">
      <w:pPr>
        <w:pStyle w:val="16"/>
        <w:numPr>
          <w:ilvl w:val="0"/>
          <w:numId w:val="1"/>
        </w:numPr>
        <w:spacing w:after="60"/>
      </w:pPr>
      <w:r>
        <w:rPr>
          <w:rFonts w:ascii="Calibri" w:hAnsi="Calibri" w:eastAsia="Calibri" w:cs="Calibri"/>
        </w:rPr>
        <w:t>Leave balance deduction following leave approval</w:t>
      </w:r>
    </w:p>
    <w:p w14:paraId="33AF3932">
      <w:pPr>
        <w:pStyle w:val="2"/>
        <w:spacing w:before="280" w:after="140"/>
      </w:pPr>
      <w:r>
        <w:rPr>
          <w:rFonts w:ascii="Calibri" w:hAnsi="Calibri" w:eastAsia="Calibri" w:cs="Calibri"/>
          <w:b/>
          <w:bCs/>
          <w:color w:val="1F3864"/>
        </w:rPr>
        <w:t>3. Findings</w:t>
      </w:r>
    </w:p>
    <w:tbl>
      <w:tblPr>
        <w:tblStyle w:val="9"/>
        <w:tblW w:w="95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000"/>
        <w:gridCol w:w="2200"/>
        <w:gridCol w:w="4400"/>
        <w:gridCol w:w="1900"/>
      </w:tblGrid>
      <w:tr w14:paraId="46EA00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1000" w:type="dxa"/>
            <w:shd w:val="clear" w:color="auto" w:fill="1F3864"/>
            <w:tcMar>
              <w:top w:w="80" w:type="dxa"/>
              <w:left w:w="100" w:type="dxa"/>
              <w:bottom w:w="80" w:type="dxa"/>
              <w:right w:w="100" w:type="dxa"/>
            </w:tcMar>
            <w:vAlign w:val="center"/>
          </w:tcPr>
          <w:p w14:paraId="2977969A">
            <w:r>
              <w:rPr>
                <w:rFonts w:ascii="Calibri" w:hAnsi="Calibri" w:eastAsia="Calibri" w:cs="Calibri"/>
                <w:b/>
                <w:bCs/>
                <w:color w:val="FFFFFF"/>
                <w:sz w:val="18"/>
                <w:szCs w:val="18"/>
              </w:rPr>
              <w:t>Ref#</w:t>
            </w:r>
          </w:p>
        </w:tc>
        <w:tc>
          <w:tcPr>
            <w:tcW w:w="2200" w:type="dxa"/>
            <w:shd w:val="clear" w:color="auto" w:fill="1F3864"/>
            <w:tcMar>
              <w:top w:w="80" w:type="dxa"/>
              <w:left w:w="100" w:type="dxa"/>
              <w:bottom w:w="80" w:type="dxa"/>
              <w:right w:w="100" w:type="dxa"/>
            </w:tcMar>
            <w:vAlign w:val="center"/>
          </w:tcPr>
          <w:p w14:paraId="10775C33">
            <w:r>
              <w:rPr>
                <w:rFonts w:ascii="Calibri" w:hAnsi="Calibri" w:eastAsia="Calibri" w:cs="Calibri"/>
                <w:b/>
                <w:bCs/>
                <w:color w:val="FFFFFF"/>
                <w:sz w:val="18"/>
                <w:szCs w:val="18"/>
              </w:rPr>
              <w:t>Module</w:t>
            </w:r>
          </w:p>
        </w:tc>
        <w:tc>
          <w:tcPr>
            <w:tcW w:w="4400" w:type="dxa"/>
            <w:shd w:val="clear" w:color="auto" w:fill="1F3864"/>
            <w:tcMar>
              <w:top w:w="80" w:type="dxa"/>
              <w:left w:w="100" w:type="dxa"/>
              <w:bottom w:w="80" w:type="dxa"/>
              <w:right w:w="100" w:type="dxa"/>
            </w:tcMar>
            <w:vAlign w:val="center"/>
          </w:tcPr>
          <w:p w14:paraId="01D0E92E">
            <w:r>
              <w:rPr>
                <w:rFonts w:ascii="Calibri" w:hAnsi="Calibri" w:eastAsia="Calibri" w:cs="Calibri"/>
                <w:b/>
                <w:bCs/>
                <w:color w:val="FFFFFF"/>
                <w:sz w:val="18"/>
                <w:szCs w:val="18"/>
              </w:rPr>
              <w:t>Result</w:t>
            </w:r>
          </w:p>
        </w:tc>
        <w:tc>
          <w:tcPr>
            <w:tcW w:w="1900" w:type="dxa"/>
            <w:shd w:val="clear" w:color="auto" w:fill="1F3864"/>
            <w:tcMar>
              <w:top w:w="80" w:type="dxa"/>
              <w:left w:w="100" w:type="dxa"/>
              <w:bottom w:w="80" w:type="dxa"/>
              <w:right w:w="100" w:type="dxa"/>
            </w:tcMar>
            <w:vAlign w:val="center"/>
          </w:tcPr>
          <w:p w14:paraId="761A9FA0">
            <w:r>
              <w:rPr>
                <w:rFonts w:ascii="Calibri" w:hAnsi="Calibri" w:eastAsia="Calibri" w:cs="Calibri"/>
                <w:b/>
                <w:bCs/>
                <w:color w:val="FFFFFF"/>
                <w:sz w:val="18"/>
                <w:szCs w:val="18"/>
              </w:rPr>
              <w:t>Status</w:t>
            </w:r>
          </w:p>
        </w:tc>
      </w:tr>
      <w:tr w14:paraId="7E9F92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00" w:type="dxa"/>
            <w:tcMar>
              <w:top w:w="80" w:type="dxa"/>
              <w:left w:w="100" w:type="dxa"/>
              <w:bottom w:w="80" w:type="dxa"/>
              <w:right w:w="100" w:type="dxa"/>
            </w:tcMar>
            <w:vAlign w:val="center"/>
          </w:tcPr>
          <w:p w14:paraId="3FDDBDB9">
            <w:r>
              <w:rPr>
                <w:rFonts w:ascii="Calibri" w:hAnsi="Calibri" w:eastAsia="Calibri" w:cs="Calibri"/>
                <w:b w:val="0"/>
                <w:bCs w:val="0"/>
                <w:sz w:val="18"/>
                <w:szCs w:val="18"/>
              </w:rPr>
              <w:t>PD-01</w:t>
            </w:r>
          </w:p>
        </w:tc>
        <w:tc>
          <w:tcPr>
            <w:tcW w:w="2200" w:type="dxa"/>
            <w:tcMar>
              <w:top w:w="80" w:type="dxa"/>
              <w:left w:w="100" w:type="dxa"/>
              <w:bottom w:w="80" w:type="dxa"/>
              <w:right w:w="100" w:type="dxa"/>
            </w:tcMar>
            <w:vAlign w:val="center"/>
          </w:tcPr>
          <w:p w14:paraId="54146FE6">
            <w:r>
              <w:rPr>
                <w:rFonts w:ascii="Calibri" w:hAnsi="Calibri" w:eastAsia="Calibri" w:cs="Calibri"/>
                <w:b/>
                <w:bCs/>
                <w:sz w:val="18"/>
                <w:szCs w:val="18"/>
              </w:rPr>
              <w:t>Leave Balance Display</w:t>
            </w:r>
          </w:p>
        </w:tc>
        <w:tc>
          <w:tcPr>
            <w:tcW w:w="4400" w:type="dxa"/>
            <w:tcMar>
              <w:top w:w="80" w:type="dxa"/>
              <w:left w:w="100" w:type="dxa"/>
              <w:bottom w:w="80" w:type="dxa"/>
              <w:right w:w="100" w:type="dxa"/>
            </w:tcMar>
            <w:vAlign w:val="center"/>
          </w:tcPr>
          <w:p w14:paraId="7C948681">
            <w:r>
              <w:rPr>
                <w:rFonts w:ascii="Calibri" w:hAnsi="Calibri" w:eastAsia="Calibri" w:cs="Calibri"/>
                <w:b w:val="0"/>
                <w:bCs w:val="0"/>
                <w:sz w:val="18"/>
                <w:szCs w:val="18"/>
              </w:rPr>
              <w:t>Leave balance displays correctly on the ESS Portal in production.</w:t>
            </w:r>
          </w:p>
        </w:tc>
        <w:tc>
          <w:tcPr>
            <w:tcW w:w="1900" w:type="dxa"/>
            <w:shd w:val="clear" w:color="auto" w:fill="E5F1E0"/>
            <w:tcMar>
              <w:top w:w="80" w:type="dxa"/>
              <w:left w:w="100" w:type="dxa"/>
              <w:bottom w:w="80" w:type="dxa"/>
              <w:right w:w="100" w:type="dxa"/>
            </w:tcMar>
            <w:vAlign w:val="center"/>
          </w:tcPr>
          <w:p w14:paraId="279AA5B8">
            <w:r>
              <w:rPr>
                <w:rFonts w:ascii="Calibri" w:hAnsi="Calibri" w:eastAsia="Calibri" w:cs="Calibri"/>
                <w:b/>
                <w:bCs/>
                <w:color w:val="4F8A3D"/>
                <w:sz w:val="18"/>
                <w:szCs w:val="18"/>
              </w:rPr>
              <w:t>Pass</w:t>
            </w:r>
          </w:p>
        </w:tc>
      </w:tr>
      <w:tr w14:paraId="727634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00" w:type="dxa"/>
            <w:tcMar>
              <w:top w:w="80" w:type="dxa"/>
              <w:left w:w="100" w:type="dxa"/>
              <w:bottom w:w="80" w:type="dxa"/>
              <w:right w:w="100" w:type="dxa"/>
            </w:tcMar>
            <w:vAlign w:val="center"/>
          </w:tcPr>
          <w:p w14:paraId="756AA3E0">
            <w:r>
              <w:rPr>
                <w:rFonts w:ascii="Calibri" w:hAnsi="Calibri" w:eastAsia="Calibri" w:cs="Calibri"/>
                <w:b w:val="0"/>
                <w:bCs w:val="0"/>
                <w:sz w:val="18"/>
                <w:szCs w:val="18"/>
              </w:rPr>
              <w:t>PD-02</w:t>
            </w:r>
          </w:p>
        </w:tc>
        <w:tc>
          <w:tcPr>
            <w:tcW w:w="2200" w:type="dxa"/>
            <w:tcMar>
              <w:top w:w="80" w:type="dxa"/>
              <w:left w:w="100" w:type="dxa"/>
              <w:bottom w:w="80" w:type="dxa"/>
              <w:right w:w="100" w:type="dxa"/>
            </w:tcMar>
            <w:vAlign w:val="center"/>
          </w:tcPr>
          <w:p w14:paraId="581A76F8">
            <w:r>
              <w:rPr>
                <w:rFonts w:ascii="Calibri" w:hAnsi="Calibri" w:eastAsia="Calibri" w:cs="Calibri"/>
                <w:b/>
                <w:bCs/>
                <w:sz w:val="18"/>
                <w:szCs w:val="18"/>
              </w:rPr>
              <w:t>Leave Types Dashboard</w:t>
            </w:r>
          </w:p>
        </w:tc>
        <w:tc>
          <w:tcPr>
            <w:tcW w:w="4400" w:type="dxa"/>
            <w:tcMar>
              <w:top w:w="80" w:type="dxa"/>
              <w:left w:w="100" w:type="dxa"/>
              <w:bottom w:w="80" w:type="dxa"/>
              <w:right w:w="100" w:type="dxa"/>
            </w:tcMar>
            <w:vAlign w:val="center"/>
          </w:tcPr>
          <w:p w14:paraId="76691BEA">
            <w:r>
              <w:rPr>
                <w:rFonts w:ascii="Calibri" w:hAnsi="Calibri" w:eastAsia="Calibri" w:cs="Calibri"/>
                <w:b w:val="0"/>
                <w:bCs w:val="0"/>
                <w:sz w:val="18"/>
                <w:szCs w:val="18"/>
              </w:rPr>
              <w:t>Leave types dashboard renders all applicable leave types with correct balances in production.</w:t>
            </w:r>
          </w:p>
        </w:tc>
        <w:tc>
          <w:tcPr>
            <w:tcW w:w="1900" w:type="dxa"/>
            <w:shd w:val="clear" w:color="auto" w:fill="E5F1E0"/>
            <w:tcMar>
              <w:top w:w="80" w:type="dxa"/>
              <w:left w:w="100" w:type="dxa"/>
              <w:bottom w:w="80" w:type="dxa"/>
              <w:right w:w="100" w:type="dxa"/>
            </w:tcMar>
            <w:vAlign w:val="center"/>
          </w:tcPr>
          <w:p w14:paraId="26FAB9FB">
            <w:r>
              <w:rPr>
                <w:rFonts w:ascii="Calibri" w:hAnsi="Calibri" w:eastAsia="Calibri" w:cs="Calibri"/>
                <w:b/>
                <w:bCs/>
                <w:color w:val="4F8A3D"/>
                <w:sz w:val="18"/>
                <w:szCs w:val="18"/>
              </w:rPr>
              <w:t>Pass</w:t>
            </w:r>
          </w:p>
        </w:tc>
      </w:tr>
      <w:tr w14:paraId="2516BD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00" w:type="dxa"/>
            <w:tcMar>
              <w:top w:w="80" w:type="dxa"/>
              <w:left w:w="100" w:type="dxa"/>
              <w:bottom w:w="80" w:type="dxa"/>
              <w:right w:w="100" w:type="dxa"/>
            </w:tcMar>
            <w:vAlign w:val="center"/>
          </w:tcPr>
          <w:p w14:paraId="6BD35A37">
            <w:r>
              <w:rPr>
                <w:rFonts w:ascii="Calibri" w:hAnsi="Calibri" w:eastAsia="Calibri" w:cs="Calibri"/>
                <w:b w:val="0"/>
                <w:bCs w:val="0"/>
                <w:sz w:val="18"/>
                <w:szCs w:val="18"/>
              </w:rPr>
              <w:t>PD-03</w:t>
            </w:r>
          </w:p>
        </w:tc>
        <w:tc>
          <w:tcPr>
            <w:tcW w:w="2200" w:type="dxa"/>
            <w:tcMar>
              <w:top w:w="80" w:type="dxa"/>
              <w:left w:w="100" w:type="dxa"/>
              <w:bottom w:w="80" w:type="dxa"/>
              <w:right w:w="100" w:type="dxa"/>
            </w:tcMar>
            <w:vAlign w:val="center"/>
          </w:tcPr>
          <w:p w14:paraId="5E465298">
            <w:r>
              <w:rPr>
                <w:rFonts w:ascii="Calibri" w:hAnsi="Calibri" w:eastAsia="Calibri" w:cs="Calibri"/>
                <w:b/>
                <w:bCs/>
                <w:sz w:val="18"/>
                <w:szCs w:val="18"/>
              </w:rPr>
              <w:t>BC ↔ ESS Sync</w:t>
            </w:r>
          </w:p>
        </w:tc>
        <w:tc>
          <w:tcPr>
            <w:tcW w:w="4400" w:type="dxa"/>
            <w:tcMar>
              <w:top w:w="80" w:type="dxa"/>
              <w:left w:w="100" w:type="dxa"/>
              <w:bottom w:w="80" w:type="dxa"/>
              <w:right w:w="100" w:type="dxa"/>
            </w:tcMar>
            <w:vAlign w:val="center"/>
          </w:tcPr>
          <w:p w14:paraId="6B970036">
            <w:r>
              <w:rPr>
                <w:rFonts w:ascii="Calibri" w:hAnsi="Calibri" w:eastAsia="Calibri" w:cs="Calibri"/>
                <w:b w:val="0"/>
                <w:bCs w:val="0"/>
                <w:sz w:val="18"/>
                <w:szCs w:val="18"/>
              </w:rPr>
              <w:t>Leave balance figures remain consistent between Business Central and the ESS Portal in production.</w:t>
            </w:r>
          </w:p>
        </w:tc>
        <w:tc>
          <w:tcPr>
            <w:tcW w:w="1900" w:type="dxa"/>
            <w:shd w:val="clear" w:color="auto" w:fill="E5F1E0"/>
            <w:tcMar>
              <w:top w:w="80" w:type="dxa"/>
              <w:left w:w="100" w:type="dxa"/>
              <w:bottom w:w="80" w:type="dxa"/>
              <w:right w:w="100" w:type="dxa"/>
            </w:tcMar>
            <w:vAlign w:val="center"/>
          </w:tcPr>
          <w:p w14:paraId="61F4F505">
            <w:r>
              <w:rPr>
                <w:rFonts w:ascii="Calibri" w:hAnsi="Calibri" w:eastAsia="Calibri" w:cs="Calibri"/>
                <w:b/>
                <w:bCs/>
                <w:color w:val="4F8A3D"/>
                <w:sz w:val="18"/>
                <w:szCs w:val="18"/>
              </w:rPr>
              <w:t>Pass</w:t>
            </w:r>
          </w:p>
        </w:tc>
      </w:tr>
      <w:tr w14:paraId="274D01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00" w:type="dxa"/>
            <w:tcMar>
              <w:top w:w="80" w:type="dxa"/>
              <w:left w:w="100" w:type="dxa"/>
              <w:bottom w:w="80" w:type="dxa"/>
              <w:right w:w="100" w:type="dxa"/>
            </w:tcMar>
            <w:vAlign w:val="center"/>
          </w:tcPr>
          <w:p w14:paraId="7BDD0A71">
            <w:r>
              <w:rPr>
                <w:rFonts w:ascii="Calibri" w:hAnsi="Calibri" w:eastAsia="Calibri" w:cs="Calibri"/>
                <w:b w:val="0"/>
                <w:bCs w:val="0"/>
                <w:sz w:val="18"/>
                <w:szCs w:val="18"/>
              </w:rPr>
              <w:t>PD-04</w:t>
            </w:r>
          </w:p>
        </w:tc>
        <w:tc>
          <w:tcPr>
            <w:tcW w:w="2200" w:type="dxa"/>
            <w:tcMar>
              <w:top w:w="80" w:type="dxa"/>
              <w:left w:w="100" w:type="dxa"/>
              <w:bottom w:w="80" w:type="dxa"/>
              <w:right w:w="100" w:type="dxa"/>
            </w:tcMar>
            <w:vAlign w:val="center"/>
          </w:tcPr>
          <w:p w14:paraId="157853E0">
            <w:r>
              <w:rPr>
                <w:rFonts w:ascii="Calibri" w:hAnsi="Calibri" w:eastAsia="Calibri" w:cs="Calibri"/>
                <w:b/>
                <w:bCs/>
                <w:sz w:val="18"/>
                <w:szCs w:val="18"/>
              </w:rPr>
              <w:t>Profile Management</w:t>
            </w:r>
          </w:p>
        </w:tc>
        <w:tc>
          <w:tcPr>
            <w:tcW w:w="4400" w:type="dxa"/>
            <w:tcMar>
              <w:top w:w="80" w:type="dxa"/>
              <w:left w:w="100" w:type="dxa"/>
              <w:bottom w:w="80" w:type="dxa"/>
              <w:right w:w="100" w:type="dxa"/>
            </w:tcMar>
            <w:vAlign w:val="center"/>
          </w:tcPr>
          <w:p w14:paraId="4DE8FF95">
            <w:r>
              <w:rPr>
                <w:rFonts w:ascii="Calibri" w:hAnsi="Calibri" w:eastAsia="Calibri" w:cs="Calibri"/>
                <w:b w:val="0"/>
                <w:bCs w:val="0"/>
                <w:sz w:val="18"/>
                <w:szCs w:val="18"/>
              </w:rPr>
              <w:t>The editable profile segment saves changes correctly in production.</w:t>
            </w:r>
          </w:p>
        </w:tc>
        <w:tc>
          <w:tcPr>
            <w:tcW w:w="1900" w:type="dxa"/>
            <w:shd w:val="clear" w:color="auto" w:fill="E5F1E0"/>
            <w:tcMar>
              <w:top w:w="80" w:type="dxa"/>
              <w:left w:w="100" w:type="dxa"/>
              <w:bottom w:w="80" w:type="dxa"/>
              <w:right w:w="100" w:type="dxa"/>
            </w:tcMar>
            <w:vAlign w:val="center"/>
          </w:tcPr>
          <w:p w14:paraId="27315661">
            <w:r>
              <w:rPr>
                <w:rFonts w:ascii="Calibri" w:hAnsi="Calibri" w:eastAsia="Calibri" w:cs="Calibri"/>
                <w:b/>
                <w:bCs/>
                <w:color w:val="4F8A3D"/>
                <w:sz w:val="18"/>
                <w:szCs w:val="18"/>
              </w:rPr>
              <w:t>Pass</w:t>
            </w:r>
          </w:p>
        </w:tc>
      </w:tr>
      <w:tr w14:paraId="594C9D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00" w:type="dxa"/>
            <w:tcMar>
              <w:top w:w="80" w:type="dxa"/>
              <w:left w:w="100" w:type="dxa"/>
              <w:bottom w:w="80" w:type="dxa"/>
              <w:right w:w="100" w:type="dxa"/>
            </w:tcMar>
            <w:vAlign w:val="center"/>
          </w:tcPr>
          <w:p w14:paraId="6AFF286B">
            <w:r>
              <w:rPr>
                <w:rFonts w:ascii="Calibri" w:hAnsi="Calibri" w:eastAsia="Calibri" w:cs="Calibri"/>
                <w:b w:val="0"/>
                <w:bCs w:val="0"/>
                <w:sz w:val="18"/>
                <w:szCs w:val="18"/>
              </w:rPr>
              <w:t>PD-05</w:t>
            </w:r>
          </w:p>
        </w:tc>
        <w:tc>
          <w:tcPr>
            <w:tcW w:w="2200" w:type="dxa"/>
            <w:tcMar>
              <w:top w:w="80" w:type="dxa"/>
              <w:left w:w="100" w:type="dxa"/>
              <w:bottom w:w="80" w:type="dxa"/>
              <w:right w:w="100" w:type="dxa"/>
            </w:tcMar>
            <w:vAlign w:val="center"/>
          </w:tcPr>
          <w:p w14:paraId="710BF36D">
            <w:r>
              <w:rPr>
                <w:rFonts w:ascii="Calibri" w:hAnsi="Calibri" w:eastAsia="Calibri" w:cs="Calibri"/>
                <w:b/>
                <w:bCs/>
                <w:sz w:val="18"/>
                <w:szCs w:val="18"/>
              </w:rPr>
              <w:t>Leave Balance Deduction on Approval</w:t>
            </w:r>
          </w:p>
        </w:tc>
        <w:tc>
          <w:tcPr>
            <w:tcW w:w="4400" w:type="dxa"/>
            <w:tcMar>
              <w:top w:w="80" w:type="dxa"/>
              <w:left w:w="100" w:type="dxa"/>
              <w:bottom w:w="80" w:type="dxa"/>
              <w:right w:w="100" w:type="dxa"/>
            </w:tcMar>
            <w:vAlign w:val="center"/>
          </w:tcPr>
          <w:p w14:paraId="4F0C5C4D">
            <w:r>
              <w:rPr>
                <w:rFonts w:ascii="Calibri" w:hAnsi="Calibri" w:eastAsia="Calibri" w:cs="Calibri"/>
                <w:b w:val="0"/>
                <w:bCs w:val="0"/>
                <w:sz w:val="18"/>
                <w:szCs w:val="18"/>
              </w:rPr>
              <w:t>Leave balance does not deduct after a leave request is approved; the approved leave is not reflected in the employee's remaining balance.</w:t>
            </w:r>
          </w:p>
        </w:tc>
        <w:tc>
          <w:tcPr>
            <w:tcW w:w="1900" w:type="dxa"/>
            <w:shd w:val="clear" w:color="auto" w:fill="FCE4E4"/>
            <w:tcMar>
              <w:top w:w="80" w:type="dxa"/>
              <w:left w:w="100" w:type="dxa"/>
              <w:bottom w:w="80" w:type="dxa"/>
              <w:right w:w="100" w:type="dxa"/>
            </w:tcMar>
            <w:vAlign w:val="center"/>
          </w:tcPr>
          <w:p w14:paraId="7478F361">
            <w:r>
              <w:rPr>
                <w:rFonts w:ascii="Calibri" w:hAnsi="Calibri" w:eastAsia="Calibri" w:cs="Calibri"/>
                <w:b/>
                <w:bCs/>
                <w:color w:val="C0504D"/>
                <w:sz w:val="18"/>
                <w:szCs w:val="18"/>
              </w:rPr>
              <w:t>Critical</w:t>
            </w:r>
          </w:p>
        </w:tc>
      </w:tr>
    </w:tbl>
    <w:p w14:paraId="6B70820C">
      <w:pPr>
        <w:spacing w:after="200"/>
      </w:pPr>
    </w:p>
    <w:p w14:paraId="4EF9B86A">
      <w:pPr>
        <w:pStyle w:val="2"/>
        <w:spacing w:before="280" w:after="140"/>
      </w:pPr>
      <w:r>
        <w:rPr>
          <w:rFonts w:ascii="Calibri" w:hAnsi="Calibri" w:eastAsia="Calibri" w:cs="Calibri"/>
          <w:b/>
          <w:bCs/>
          <w:color w:val="1F3864"/>
        </w:rPr>
        <w:t>4. Impact and Risk Assessment</w:t>
      </w:r>
    </w:p>
    <w:p w14:paraId="3E5F0362">
      <w:pPr>
        <w:spacing w:after="120"/>
      </w:pPr>
      <w:r>
        <w:rPr>
          <w:rFonts w:ascii="Calibri" w:hAnsi="Calibri" w:eastAsia="Calibri" w:cs="Calibri"/>
        </w:rPr>
        <w:t>Leave Balance Display, Dashboard, BC/ESS Sync, and Profile Editing (PD-01 to PD-04): All four areas continue to function correctly in production, consistent with pre-deployment results.</w:t>
      </w:r>
    </w:p>
    <w:p w14:paraId="5BC27BCD">
      <w:pPr>
        <w:spacing w:after="120"/>
      </w:pPr>
      <w:r>
        <w:rPr>
          <w:rFonts w:ascii="Calibri" w:hAnsi="Calibri" w:eastAsia="Calibri" w:cs="Calibri"/>
        </w:rPr>
        <w:t>Leave Balance Deduction on Approval (PD-05): When a leave request is approved, the employee's leave balance is not being deducted to reflect the days taken. This means employees' displayed balances are inaccurate once leave is approved, creating a risk of over-approval of future leave (employees appearing to have more balance than they actually do) and discrepancies between HR records and what is shown on the ESS Portal. Assessed as Critical, as it directly affects the accuracy of leave data relied on for approvals and payroll-adjacent decisions.</w:t>
      </w:r>
    </w:p>
    <w:p w14:paraId="6157A78D">
      <w:pPr>
        <w:pStyle w:val="2"/>
        <w:spacing w:before="280" w:after="140"/>
      </w:pPr>
      <w:r>
        <w:rPr>
          <w:rFonts w:ascii="Calibri" w:hAnsi="Calibri" w:eastAsia="Calibri" w:cs="Calibri"/>
          <w:b/>
          <w:bCs/>
          <w:color w:val="1F3864"/>
        </w:rPr>
        <w:t>5. Work Instructions / Recommended Actions</w:t>
      </w:r>
    </w:p>
    <w:p w14:paraId="072A73FE">
      <w:pPr>
        <w:pStyle w:val="16"/>
        <w:numPr>
          <w:ilvl w:val="0"/>
          <w:numId w:val="1"/>
        </w:numPr>
        <w:spacing w:after="60"/>
      </w:pPr>
      <w:r>
        <w:rPr>
          <w:rFonts w:ascii="Calibri" w:hAnsi="Calibri" w:eastAsia="Calibri" w:cs="Calibri"/>
        </w:rPr>
        <w:t>Development to investigate and fix the leave balance deduction logic (PD-05) on approval as a priority, including confirming whether the deduction trigger is missing, misconfigured, or failing silently.</w:t>
      </w:r>
    </w:p>
    <w:p w14:paraId="327AED77">
      <w:pPr>
        <w:pStyle w:val="16"/>
        <w:numPr>
          <w:ilvl w:val="0"/>
          <w:numId w:val="1"/>
        </w:numPr>
        <w:spacing w:after="60"/>
      </w:pPr>
      <w:r>
        <w:rPr>
          <w:rFonts w:ascii="Calibri" w:hAnsi="Calibri" w:eastAsia="Calibri" w:cs="Calibri"/>
        </w:rPr>
        <w:t>HR/HOTO to manually verify and, if needed, correct any leave balances affected by approvals processed since go-live, to avoid downstream over-approval of leave.</w:t>
      </w:r>
    </w:p>
    <w:p w14:paraId="69329772">
      <w:pPr>
        <w:pStyle w:val="16"/>
        <w:numPr>
          <w:ilvl w:val="0"/>
          <w:numId w:val="1"/>
        </w:numPr>
        <w:spacing w:after="60"/>
      </w:pPr>
      <w:r>
        <w:rPr>
          <w:rFonts w:ascii="Calibri" w:hAnsi="Calibri" w:eastAsia="Calibri" w:cs="Calibri"/>
        </w:rPr>
        <w:t>QE to retest PD-05 immediately following a fix, using a full approve-then-check-balance cycle.</w:t>
      </w:r>
    </w:p>
    <w:p w14:paraId="3231A47D">
      <w:pPr>
        <w:pStyle w:val="16"/>
        <w:numPr>
          <w:ilvl w:val="0"/>
          <w:numId w:val="1"/>
        </w:numPr>
        <w:spacing w:after="60"/>
      </w:pPr>
      <w:r>
        <w:rPr>
          <w:rFonts w:ascii="Calibri" w:hAnsi="Calibri" w:eastAsia="Calibri" w:cs="Calibri"/>
        </w:rPr>
        <w:t>CAB to be informed of the finding given its effect on data accuracy for an already-deployed module.</w:t>
      </w:r>
    </w:p>
    <w:p w14:paraId="51B46B11">
      <w:pPr>
        <w:pStyle w:val="16"/>
        <w:numPr>
          <w:ilvl w:val="0"/>
          <w:numId w:val="1"/>
        </w:numPr>
        <w:spacing w:after="60"/>
      </w:pPr>
      <w:r>
        <w:rPr>
          <w:rFonts w:ascii="Calibri" w:hAnsi="Calibri" w:eastAsia="Calibri" w:cs="Calibri"/>
        </w:rPr>
        <w:t>HOTO/DevOps to provision a staging environment with production-like data so future post-deployment checks are not constrained to live production data.</w:t>
      </w:r>
    </w:p>
    <w:p w14:paraId="60228FBB">
      <w:pPr>
        <w:pStyle w:val="2"/>
        <w:spacing w:before="280" w:after="140"/>
      </w:pPr>
      <w:r>
        <w:rPr>
          <w:rFonts w:ascii="Calibri" w:hAnsi="Calibri" w:eastAsia="Calibri" w:cs="Calibri"/>
          <w:b/>
          <w:bCs/>
          <w:color w:val="1F3864"/>
        </w:rPr>
        <w:t>6. Testing Challenges / Limitations</w:t>
      </w:r>
    </w:p>
    <w:p w14:paraId="42CADE4B">
      <w:pPr>
        <w:spacing w:after="120"/>
      </w:pPr>
      <w:r>
        <w:rPr>
          <w:rFonts w:ascii="Calibri" w:hAnsi="Calibri" w:eastAsia="Calibri" w:cs="Calibri"/>
        </w:rPr>
        <w:t>This verification cycle was carried out directly in the Production Environment, which limited the scope of testing that could safely be performed. Live employee data and live leave balances meant that certain scenarios — repeated approvals, edge cases around balance exhaustion, and multi-cycle deduction checks — could not be freely exercised without risking further disruption to real employee records.</w:t>
      </w:r>
    </w:p>
    <w:p w14:paraId="4D1EE298">
      <w:pPr>
        <w:pStyle w:val="16"/>
        <w:numPr>
          <w:ilvl w:val="0"/>
          <w:numId w:val="1"/>
        </w:numPr>
        <w:spacing w:after="60"/>
      </w:pPr>
      <w:r>
        <w:rPr>
          <w:rFonts w:ascii="Calibri" w:hAnsi="Calibri" w:eastAsia="Calibri" w:cs="Calibri"/>
        </w:rPr>
        <w:t>No dedicated production-safe test accounts were available, restricting checks to a small number of real leave requests rather than a full range of scenarios.</w:t>
      </w:r>
    </w:p>
    <w:p w14:paraId="105BD8AA">
      <w:pPr>
        <w:pStyle w:val="16"/>
        <w:numPr>
          <w:ilvl w:val="0"/>
          <w:numId w:val="1"/>
        </w:numPr>
        <w:spacing w:after="60"/>
      </w:pPr>
      <w:r>
        <w:rPr>
          <w:rFonts w:ascii="Calibri" w:hAnsi="Calibri" w:eastAsia="Calibri" w:cs="Calibri"/>
        </w:rPr>
        <w:t>Limited ability to reset or roll back state in production meant retesting the same scenario multiple times was not practical.</w:t>
      </w:r>
    </w:p>
    <w:p w14:paraId="264BB589">
      <w:pPr>
        <w:pStyle w:val="16"/>
        <w:numPr>
          <w:ilvl w:val="0"/>
          <w:numId w:val="1"/>
        </w:numPr>
        <w:spacing w:after="60"/>
      </w:pPr>
      <w:r>
        <w:rPr>
          <w:rFonts w:ascii="Calibri" w:hAnsi="Calibri" w:eastAsia="Calibri" w:cs="Calibri"/>
        </w:rPr>
        <w:t>As a result, the full extent of the leave balance deduction issue (e.g. whether it affects all leave types, or only specific ones) could not be fully confirmed within this cycle and should be validated further once a fix is available, ideally in a staging environment with production-like data.</w:t>
      </w:r>
    </w:p>
    <w:p w14:paraId="69E1EC5E">
      <w:pPr>
        <w:pStyle w:val="2"/>
        <w:spacing w:before="280" w:after="140"/>
      </w:pPr>
      <w:r>
        <w:rPr>
          <w:rFonts w:ascii="Calibri" w:hAnsi="Calibri" w:eastAsia="Calibri" w:cs="Calibri"/>
          <w:b/>
          <w:bCs/>
          <w:color w:val="1F3864"/>
        </w:rPr>
        <w:t>7. Deployment Status</w:t>
      </w:r>
    </w:p>
    <w:p w14:paraId="65CAE370">
      <w:pPr>
        <w:spacing w:after="120"/>
      </w:pPr>
      <w:r>
        <w:rPr>
          <w:rFonts w:ascii="Calibri" w:hAnsi="Calibri" w:eastAsia="Calibri" w:cs="Calibri"/>
          <w:b/>
          <w:bCs/>
          <w:color w:val="C0504D"/>
        </w:rPr>
        <w:t>Current Status: CRITICAL FINDING IN PRODUCTION — REMEDIATION REQUIRED.</w:t>
      </w:r>
    </w:p>
    <w:p w14:paraId="4C338087">
      <w:pPr>
        <w:spacing w:after="120"/>
      </w:pPr>
      <w:r>
        <w:rPr>
          <w:rFonts w:ascii="Calibri" w:hAnsi="Calibri" w:eastAsia="Calibri" w:cs="Calibri"/>
        </w:rPr>
        <w:t>Core leave visibility, dashboard, sync, and profile functionality remain stable in production. However, the failure to deduct leave balance on approval is a data-integrity issue that should be corrected promptly to prevent inaccurate leave balances from affecting future approvals.</w:t>
      </w:r>
    </w:p>
    <w:p w14:paraId="105C47E5">
      <w:pPr>
        <w:pStyle w:val="2"/>
        <w:spacing w:before="280" w:after="140"/>
      </w:pPr>
      <w:r>
        <w:rPr>
          <w:rFonts w:ascii="Calibri" w:hAnsi="Calibri" w:eastAsia="Calibri" w:cs="Calibri"/>
          <w:b/>
          <w:bCs/>
          <w:color w:val="1F3864"/>
        </w:rPr>
        <w:t>8. Sign-Off</w:t>
      </w:r>
    </w:p>
    <w:p w14:paraId="33349895">
      <w:pPr>
        <w:spacing w:after="120"/>
      </w:pPr>
      <w:r>
        <w:rPr>
          <w:rFonts w:ascii="Calibri" w:hAnsi="Calibri" w:eastAsia="Calibri" w:cs="Calibri"/>
        </w:rPr>
        <w:t>This post-deployment report has been reviewed by the following stakeholders. Signing below acknowledges awareness of the findings and recommended actions; QE sign-off is withheld while the Critical finding remains open.</w:t>
      </w:r>
    </w:p>
    <w:tbl>
      <w:tblPr>
        <w:tblStyle w:val="9"/>
        <w:tblW w:w="95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200"/>
        <w:gridCol w:w="2900"/>
        <w:gridCol w:w="2200"/>
        <w:gridCol w:w="2200"/>
      </w:tblGrid>
      <w:tr w14:paraId="682D80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blHeader/>
        </w:trPr>
        <w:tc>
          <w:tcPr>
            <w:tcW w:w="2200" w:type="dxa"/>
            <w:shd w:val="clear" w:color="auto" w:fill="1F3864"/>
            <w:tcMar>
              <w:top w:w="80" w:type="dxa"/>
              <w:left w:w="100" w:type="dxa"/>
              <w:bottom w:w="80" w:type="dxa"/>
              <w:right w:w="100" w:type="dxa"/>
            </w:tcMar>
            <w:vAlign w:val="center"/>
          </w:tcPr>
          <w:p w14:paraId="7F3D6B65">
            <w:r>
              <w:rPr>
                <w:rFonts w:ascii="Calibri" w:hAnsi="Calibri" w:eastAsia="Calibri" w:cs="Calibri"/>
                <w:b/>
                <w:bCs/>
                <w:color w:val="FFFFFF"/>
                <w:sz w:val="18"/>
                <w:szCs w:val="18"/>
              </w:rPr>
              <w:t>Role</w:t>
            </w:r>
          </w:p>
        </w:tc>
        <w:tc>
          <w:tcPr>
            <w:tcW w:w="2900" w:type="dxa"/>
            <w:shd w:val="clear" w:color="auto" w:fill="1F3864"/>
            <w:tcMar>
              <w:top w:w="80" w:type="dxa"/>
              <w:left w:w="100" w:type="dxa"/>
              <w:bottom w:w="80" w:type="dxa"/>
              <w:right w:w="100" w:type="dxa"/>
            </w:tcMar>
            <w:vAlign w:val="center"/>
          </w:tcPr>
          <w:p w14:paraId="64535B08">
            <w:r>
              <w:rPr>
                <w:rFonts w:ascii="Calibri" w:hAnsi="Calibri" w:eastAsia="Calibri" w:cs="Calibri"/>
                <w:b/>
                <w:bCs/>
                <w:color w:val="FFFFFF"/>
                <w:sz w:val="18"/>
                <w:szCs w:val="18"/>
              </w:rPr>
              <w:t>Name</w:t>
            </w:r>
          </w:p>
        </w:tc>
        <w:tc>
          <w:tcPr>
            <w:tcW w:w="2200" w:type="dxa"/>
            <w:shd w:val="clear" w:color="auto" w:fill="1F3864"/>
            <w:tcMar>
              <w:top w:w="80" w:type="dxa"/>
              <w:left w:w="100" w:type="dxa"/>
              <w:bottom w:w="80" w:type="dxa"/>
              <w:right w:w="100" w:type="dxa"/>
            </w:tcMar>
            <w:vAlign w:val="center"/>
          </w:tcPr>
          <w:p w14:paraId="3BC41274">
            <w:r>
              <w:rPr>
                <w:rFonts w:ascii="Calibri" w:hAnsi="Calibri" w:eastAsia="Calibri" w:cs="Calibri"/>
                <w:b/>
                <w:bCs/>
                <w:color w:val="FFFFFF"/>
                <w:sz w:val="18"/>
                <w:szCs w:val="18"/>
              </w:rPr>
              <w:t>Signature</w:t>
            </w:r>
          </w:p>
        </w:tc>
        <w:tc>
          <w:tcPr>
            <w:tcW w:w="2200" w:type="dxa"/>
            <w:shd w:val="clear" w:color="auto" w:fill="1F3864"/>
            <w:tcMar>
              <w:top w:w="80" w:type="dxa"/>
              <w:left w:w="100" w:type="dxa"/>
              <w:bottom w:w="80" w:type="dxa"/>
              <w:right w:w="100" w:type="dxa"/>
            </w:tcMar>
            <w:vAlign w:val="center"/>
          </w:tcPr>
          <w:p w14:paraId="073A3E42">
            <w:r>
              <w:rPr>
                <w:rFonts w:ascii="Calibri" w:hAnsi="Calibri" w:eastAsia="Calibri" w:cs="Calibri"/>
                <w:b/>
                <w:bCs/>
                <w:color w:val="FFFFFF"/>
                <w:sz w:val="18"/>
                <w:szCs w:val="18"/>
              </w:rPr>
              <w:t>Date</w:t>
            </w:r>
          </w:p>
        </w:tc>
      </w:tr>
      <w:tr w14:paraId="44C207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AC20C6D">
            <w:r>
              <w:rPr>
                <w:rFonts w:ascii="Calibri" w:hAnsi="Calibri" w:eastAsia="Calibri" w:cs="Calibri"/>
                <w:b/>
                <w:bCs/>
                <w:sz w:val="18"/>
                <w:szCs w:val="18"/>
              </w:rPr>
              <w:t>Quality Engineer (QE)</w:t>
            </w:r>
          </w:p>
        </w:tc>
        <w:tc>
          <w:tcPr>
            <w:tcW w:w="2900" w:type="dxa"/>
            <w:tcMar>
              <w:top w:w="80" w:type="dxa"/>
              <w:left w:w="100" w:type="dxa"/>
              <w:bottom w:w="80" w:type="dxa"/>
              <w:right w:w="100" w:type="dxa"/>
            </w:tcMar>
            <w:vAlign w:val="center"/>
          </w:tcPr>
          <w:p w14:paraId="27BC1DB2">
            <w:r>
              <w:rPr>
                <w:rFonts w:ascii="Calibri" w:hAnsi="Calibri" w:eastAsia="Calibri" w:cs="Calibri"/>
                <w:b w:val="0"/>
                <w:bCs w:val="0"/>
                <w:sz w:val="18"/>
                <w:szCs w:val="18"/>
              </w:rPr>
              <w:t>Loparatum Plimo</w:t>
            </w:r>
          </w:p>
        </w:tc>
        <w:tc>
          <w:tcPr>
            <w:tcW w:w="2200" w:type="dxa"/>
            <w:tcMar>
              <w:top w:w="80" w:type="dxa"/>
              <w:left w:w="100" w:type="dxa"/>
              <w:bottom w:w="80" w:type="dxa"/>
              <w:right w:w="100" w:type="dxa"/>
            </w:tcMar>
            <w:vAlign w:val="center"/>
          </w:tcPr>
          <w:p w14:paraId="6B431E24"/>
        </w:tc>
        <w:tc>
          <w:tcPr>
            <w:tcW w:w="2200" w:type="dxa"/>
            <w:tcMar>
              <w:top w:w="80" w:type="dxa"/>
              <w:left w:w="100" w:type="dxa"/>
              <w:bottom w:w="80" w:type="dxa"/>
              <w:right w:w="100" w:type="dxa"/>
            </w:tcMar>
            <w:vAlign w:val="center"/>
          </w:tcPr>
          <w:p w14:paraId="033F6653">
            <w:pPr>
              <w:rPr>
                <w:rFonts w:hint="default"/>
                <w:lang w:val="en-US"/>
              </w:rPr>
            </w:pPr>
            <w:r>
              <w:rPr>
                <w:rFonts w:hint="default"/>
                <w:lang w:val="en-US"/>
              </w:rPr>
              <w:t>10-09-2026</w:t>
            </w:r>
            <w:bookmarkStart w:id="0" w:name="_GoBack"/>
            <w:bookmarkEnd w:id="0"/>
          </w:p>
        </w:tc>
      </w:tr>
      <w:tr w14:paraId="30319A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41A3703">
            <w:r>
              <w:rPr>
                <w:rFonts w:ascii="Calibri" w:hAnsi="Calibri" w:eastAsia="Calibri" w:cs="Calibri"/>
                <w:b/>
                <w:bCs/>
                <w:sz w:val="18"/>
                <w:szCs w:val="18"/>
              </w:rPr>
              <w:t>Head of Tech Operations (HOTO)</w:t>
            </w:r>
          </w:p>
        </w:tc>
        <w:tc>
          <w:tcPr>
            <w:tcW w:w="2900" w:type="dxa"/>
            <w:tcMar>
              <w:top w:w="80" w:type="dxa"/>
              <w:left w:w="100" w:type="dxa"/>
              <w:bottom w:w="80" w:type="dxa"/>
              <w:right w:w="100" w:type="dxa"/>
            </w:tcMar>
            <w:vAlign w:val="center"/>
          </w:tcPr>
          <w:p w14:paraId="4EE16AAF">
            <w:r>
              <w:rPr>
                <w:rFonts w:ascii="Calibri" w:hAnsi="Calibri" w:eastAsia="Calibri" w:cs="Calibri"/>
                <w:b w:val="0"/>
                <w:bCs w:val="0"/>
                <w:sz w:val="18"/>
                <w:szCs w:val="18"/>
              </w:rPr>
              <w:t>Mr. Civious</w:t>
            </w:r>
          </w:p>
        </w:tc>
        <w:tc>
          <w:tcPr>
            <w:tcW w:w="2200" w:type="dxa"/>
            <w:tcMar>
              <w:top w:w="80" w:type="dxa"/>
              <w:left w:w="100" w:type="dxa"/>
              <w:bottom w:w="80" w:type="dxa"/>
              <w:right w:w="100" w:type="dxa"/>
            </w:tcMar>
            <w:vAlign w:val="center"/>
          </w:tcPr>
          <w:p w14:paraId="56C2DDB1"/>
        </w:tc>
        <w:tc>
          <w:tcPr>
            <w:tcW w:w="2200" w:type="dxa"/>
            <w:tcMar>
              <w:top w:w="80" w:type="dxa"/>
              <w:left w:w="100" w:type="dxa"/>
              <w:bottom w:w="80" w:type="dxa"/>
              <w:right w:w="100" w:type="dxa"/>
            </w:tcMar>
            <w:vAlign w:val="center"/>
          </w:tcPr>
          <w:p w14:paraId="7553366B"/>
        </w:tc>
      </w:tr>
      <w:tr w14:paraId="319C33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17BFA33">
            <w:r>
              <w:rPr>
                <w:rFonts w:ascii="Calibri" w:hAnsi="Calibri" w:eastAsia="Calibri" w:cs="Calibri"/>
                <w:b/>
                <w:bCs/>
                <w:sz w:val="18"/>
                <w:szCs w:val="18"/>
              </w:rPr>
              <w:t>Customer Success Manager (CSM)</w:t>
            </w:r>
          </w:p>
        </w:tc>
        <w:tc>
          <w:tcPr>
            <w:tcW w:w="2900" w:type="dxa"/>
            <w:tcMar>
              <w:top w:w="80" w:type="dxa"/>
              <w:left w:w="100" w:type="dxa"/>
              <w:bottom w:w="80" w:type="dxa"/>
              <w:right w:w="100" w:type="dxa"/>
            </w:tcMar>
            <w:vAlign w:val="center"/>
          </w:tcPr>
          <w:p w14:paraId="4C32373D">
            <w:r>
              <w:rPr>
                <w:rFonts w:ascii="Calibri" w:hAnsi="Calibri" w:eastAsia="Calibri" w:cs="Calibri"/>
                <w:b w:val="0"/>
                <w:bCs w:val="0"/>
                <w:sz w:val="18"/>
                <w:szCs w:val="18"/>
              </w:rPr>
              <w:t>Madam Winnie</w:t>
            </w:r>
          </w:p>
        </w:tc>
        <w:tc>
          <w:tcPr>
            <w:tcW w:w="2200" w:type="dxa"/>
            <w:tcMar>
              <w:top w:w="80" w:type="dxa"/>
              <w:left w:w="100" w:type="dxa"/>
              <w:bottom w:w="80" w:type="dxa"/>
              <w:right w:w="100" w:type="dxa"/>
            </w:tcMar>
            <w:vAlign w:val="center"/>
          </w:tcPr>
          <w:p w14:paraId="4D941EE2"/>
        </w:tc>
        <w:tc>
          <w:tcPr>
            <w:tcW w:w="2200" w:type="dxa"/>
            <w:tcMar>
              <w:top w:w="80" w:type="dxa"/>
              <w:left w:w="100" w:type="dxa"/>
              <w:bottom w:w="80" w:type="dxa"/>
              <w:right w:w="100" w:type="dxa"/>
            </w:tcMar>
            <w:vAlign w:val="center"/>
          </w:tcPr>
          <w:p w14:paraId="3FEE3AE5"/>
        </w:tc>
      </w:tr>
      <w:tr w14:paraId="472569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5FA9EDC">
            <w:r>
              <w:rPr>
                <w:rFonts w:ascii="Calibri" w:hAnsi="Calibri" w:eastAsia="Calibri" w:cs="Calibri"/>
                <w:b/>
                <w:bCs/>
                <w:sz w:val="18"/>
                <w:szCs w:val="18"/>
              </w:rPr>
              <w:t>Change Advisory Board (CAB)</w:t>
            </w:r>
          </w:p>
        </w:tc>
        <w:tc>
          <w:tcPr>
            <w:tcW w:w="2900" w:type="dxa"/>
            <w:tcMar>
              <w:top w:w="80" w:type="dxa"/>
              <w:left w:w="100" w:type="dxa"/>
              <w:bottom w:w="80" w:type="dxa"/>
              <w:right w:w="100" w:type="dxa"/>
            </w:tcMar>
            <w:vAlign w:val="center"/>
          </w:tcPr>
          <w:p w14:paraId="21FA842E">
            <w:r>
              <w:rPr>
                <w:rFonts w:ascii="Calibri" w:hAnsi="Calibri" w:eastAsia="Calibri" w:cs="Calibri"/>
                <w:b w:val="0"/>
                <w:bCs w:val="0"/>
                <w:sz w:val="18"/>
                <w:szCs w:val="18"/>
              </w:rPr>
              <w:t>Mr. James</w:t>
            </w:r>
          </w:p>
        </w:tc>
        <w:tc>
          <w:tcPr>
            <w:tcW w:w="2200" w:type="dxa"/>
            <w:tcMar>
              <w:top w:w="80" w:type="dxa"/>
              <w:left w:w="100" w:type="dxa"/>
              <w:bottom w:w="80" w:type="dxa"/>
              <w:right w:w="100" w:type="dxa"/>
            </w:tcMar>
            <w:vAlign w:val="center"/>
          </w:tcPr>
          <w:p w14:paraId="6906CDA7"/>
        </w:tc>
        <w:tc>
          <w:tcPr>
            <w:tcW w:w="2200" w:type="dxa"/>
            <w:tcMar>
              <w:top w:w="80" w:type="dxa"/>
              <w:left w:w="100" w:type="dxa"/>
              <w:bottom w:w="80" w:type="dxa"/>
              <w:right w:w="100" w:type="dxa"/>
            </w:tcMar>
            <w:vAlign w:val="center"/>
          </w:tcPr>
          <w:p w14:paraId="79C352E4"/>
        </w:tc>
      </w:tr>
    </w:tbl>
    <w:p w14:paraId="666CE7AB"/>
    <w:sectPr>
      <w:headerReference r:id="rId3" w:type="default"/>
      <w:footerReference r:id="rId4" w:type="default"/>
      <w:pgSz w:w="12240" w:h="15840"/>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8B61B">
    <w:pPr>
      <w:jc w:val="center"/>
    </w:pPr>
    <w:r>
      <w:rPr>
        <w:rFonts w:ascii="Calibri" w:hAnsi="Calibri" w:eastAsia="Calibri" w:cs="Calibri"/>
        <w:color w:val="808080"/>
        <w:sz w:val="16"/>
        <w:szCs w:val="16"/>
      </w:rPr>
      <w:t xml:space="preserve">Page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PAGE</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r>
      <w:rPr>
        <w:rFonts w:ascii="Calibri" w:hAnsi="Calibri" w:eastAsia="Calibri" w:cs="Calibri"/>
        <w:color w:val="808080"/>
        <w:sz w:val="16"/>
        <w:szCs w:val="16"/>
      </w:rPr>
      <w:t xml:space="preserve"> of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NUMPAGES</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0C808">
    <w:pPr>
      <w:jc w:val="right"/>
    </w:pPr>
    <w:r>
      <w:rPr>
        <w:rFonts w:ascii="Calibri" w:hAnsi="Calibri" w:eastAsia="Calibri" w:cs="Calibri"/>
        <w:color w:val="808080"/>
        <w:sz w:val="16"/>
        <w:szCs w:val="16"/>
      </w:rPr>
      <w:t>ESS Portal — Post-Deployment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10435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736</Words>
  <Characters>4356</Characters>
  <TotalTime>0</TotalTime>
  <ScaleCrop>false</ScaleCrop>
  <LinksUpToDate>false</LinksUpToDate>
  <CharactersWithSpaces>5005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2026-09-10T06:33:00Z</dcterms:created>
  <dc:creator>Un-named</dc:creator>
  <cp:lastModifiedBy>Bethwel</cp:lastModifiedBy>
  <dcterms:modified xsi:type="dcterms:W3CDTF">2026-09-10T07:51:39Z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eyJoZGlkIjoiOWM4ODkwNzQ5N2Y0NTk1ZTA1ZjY3MDE5NzJmZTU5MDgifQ==</vt:lpwstr>
  </property>
  <property fmtid="{D5CDD505-2E9C-101B-9397-08002B2CF9AE}" pid="3" name="KSOProductBuildVer">
    <vt:lpwstr>1033-12.1.0.28485</vt:lpwstr>
  </property>
  <property fmtid="{D5CDD505-2E9C-101B-9397-08002B2CF9AE}" pid="4" name="ICV">
    <vt:lpwstr>E43328031CB947BCB308F1441B8612A0_12</vt:lpwstr>
  </property>
</Properties>
</file>