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Arial" w:hAnsi="Arial"/>
          <w:b/>
          <w:color w:val="1E3C72"/>
          <w:sz w:val="36"/>
        </w:rPr>
        <w:t>Ficha Pública de Proyecto — DataSanitizer</w:t>
      </w:r>
    </w:p>
    <w:p>
      <w:pPr>
        <w:spacing w:before="60" w:after="60"/>
      </w:pPr>
    </w:p>
    <w:p>
      <w:pPr>
        <w:spacing w:after="120"/>
      </w:pPr>
      <w:r>
        <w:t>Este documento sirve como ficha técnica e informativa para la presentación pública de DataSanitizer en portfolios y redes profesionales. Está redactada en primera persona profesional, reflejando el rigor de la ingeniería de procesos y del control de gestión.</w:t>
      </w:r>
    </w:p>
    <w:p>
      <w:pPr>
        <w:spacing w:before="60" w:after="60"/>
      </w:pPr>
    </w:p>
    <w:p>
      <w:pPr>
        <w:spacing w:after="240"/>
        <w:jc w:val="center"/>
      </w:pPr>
      <w:r>
        <w:rPr>
          <w:color w:val="808080"/>
        </w:rPr>
        <w:t>________________________________________________</w:t>
      </w:r>
    </w:p>
    <w:p>
      <w:pPr>
        <w:spacing w:before="60" w:after="60"/>
      </w:pPr>
    </w:p>
    <w:p>
      <w:pPr>
        <w:keepNext/>
        <w:spacing w:before="280" w:after="80"/>
      </w:pPr>
      <w:r>
        <w:rPr>
          <w:rFonts w:ascii="Arial" w:hAnsi="Arial"/>
          <w:b/>
          <w:color w:val="2A5298"/>
          <w:sz w:val="28"/>
        </w:rPr>
        <w:t>1. Título del Proyecto</w:t>
      </w:r>
    </w:p>
    <w:p>
      <w:pPr>
        <w:spacing w:after="120"/>
      </w:pPr>
      <w:r/>
      <w:r>
        <w:rPr>
          <w:b/>
        </w:rPr>
        <w:t>DataSanitizer: Motor de Calidad de Datos y Pre-Migración ERP</w:t>
      </w:r>
      <w:r/>
    </w:p>
    <w:p>
      <w:pPr>
        <w:spacing w:before="60" w:after="60"/>
      </w:pPr>
    </w:p>
    <w:p>
      <w:pPr>
        <w:keepNext/>
        <w:spacing w:before="280" w:after="80"/>
      </w:pPr>
      <w:r>
        <w:rPr>
          <w:rFonts w:ascii="Arial" w:hAnsi="Arial"/>
          <w:b/>
          <w:color w:val="2A5298"/>
          <w:sz w:val="28"/>
        </w:rPr>
        <w:t>2. Subtítulo de una Línea</w:t>
      </w:r>
    </w:p>
    <w:p>
      <w:pPr>
        <w:spacing w:after="120"/>
      </w:pPr>
      <w:r>
        <w:t>*Saneamiento automatizado, validación cruzada y deduplicación de datos maestros industriales sin salir de tu máquina local.*</w:t>
      </w:r>
    </w:p>
    <w:p>
      <w:pPr>
        <w:spacing w:before="60" w:after="60"/>
      </w:pPr>
    </w:p>
    <w:p>
      <w:pPr>
        <w:keepNext/>
        <w:spacing w:before="280" w:after="80"/>
      </w:pPr>
      <w:r>
        <w:rPr>
          <w:rFonts w:ascii="Arial" w:hAnsi="Arial"/>
          <w:b/>
          <w:color w:val="2A5298"/>
          <w:sz w:val="28"/>
        </w:rPr>
        <w:t>3. Problema que Resuelve</w:t>
      </w:r>
    </w:p>
    <w:p>
      <w:pPr>
        <w:spacing w:after="120"/>
      </w:pPr>
      <w:r>
        <w:t>En todo proyecto de migración o implantación de un ERP (como SAP S/4HANA), la calidad de los datos de entrada es el principal cuello de botella. Las herramientas de carga oficiales rechazan de forma repetida las plantillas de importación debido a errores sencillos de formato, campos obligatorios vacíos o inconsistencias de datos lógicos. Tradicionalmente, los consultores funcionales y controllers dedican cientos de horas a depurar y cruzar estos datos de forma manual y artesanal en Microsoft Excel, un proceso lento, costoso y propenso a introducir nuevos errores de tipeo.</w:t>
      </w:r>
    </w:p>
    <w:p>
      <w:pPr>
        <w:spacing w:before="60" w:after="60"/>
      </w:pPr>
    </w:p>
    <w:p>
      <w:pPr>
        <w:keepNext/>
        <w:spacing w:before="280" w:after="80"/>
      </w:pPr>
      <w:r>
        <w:rPr>
          <w:rFonts w:ascii="Arial" w:hAnsi="Arial"/>
          <w:b/>
          <w:color w:val="2A5298"/>
          <w:sz w:val="28"/>
        </w:rPr>
        <w:t>4. Qué Hace el Sistema</w:t>
      </w:r>
    </w:p>
    <w:p>
      <w:pPr>
        <w:spacing w:after="120"/>
      </w:pPr>
      <w:r>
        <w:t>DataSanitizer industrializa la preparación de datos maestros mediante un pipeline estructurado en cinco fases automatizadas:</w:t>
      </w:r>
    </w:p>
    <w:p>
      <w:pPr>
        <w:pStyle w:val="ListBullet"/>
        <w:spacing w:before="40" w:after="40"/>
        <w:ind w:left="360"/>
      </w:pPr>
      <w:r>
        <w:t xml:space="preserve">  </w:t>
      </w:r>
      <w:r>
        <w:rPr>
          <w:b/>
        </w:rPr>
        <w:t>Diagnóstico de Salud (Health Check):</w:t>
      </w:r>
      <w:r>
        <w:t xml:space="preserve"> Analiza en frío el archivo de entrada para identificar vacíos, formatos extraños y codificaciones problemáticas.</w:t>
      </w:r>
    </w:p>
    <w:p>
      <w:pPr>
        <w:pStyle w:val="ListBullet"/>
        <w:spacing w:before="40" w:after="40"/>
        <w:ind w:left="360"/>
      </w:pPr>
      <w:r>
        <w:t xml:space="preserve">  </w:t>
      </w:r>
      <w:r>
        <w:rPr>
          <w:b/>
        </w:rPr>
        <w:t>Validación Semántica y Fiscal:</w:t>
      </w:r>
      <w:r>
        <w:t xml:space="preserve"> Aplica el algoritmo matemático del dígito de control para NIF/CIF/NIE españoles, validación de IBANs europeos (módulo 97) y códigos de identificación BIC.</w:t>
      </w:r>
    </w:p>
    <w:p>
      <w:pPr>
        <w:pStyle w:val="ListBullet"/>
        <w:spacing w:before="40" w:after="40"/>
        <w:ind w:left="360"/>
      </w:pPr>
      <w:r>
        <w:t xml:space="preserve">  </w:t>
      </w:r>
      <w:r>
        <w:rPr>
          <w:b/>
        </w:rPr>
        <w:t>Coherencia Geográfica Cruzada:</w:t>
      </w:r>
      <w:r>
        <w:t xml:space="preserve"> Autocorrige provincias en función del código postal detectado y comprueba la concordancia de país entre cuentas bancarias y códigos BIC.</w:t>
      </w:r>
    </w:p>
    <w:p>
      <w:pPr>
        <w:pStyle w:val="ListBullet"/>
        <w:spacing w:before="40" w:after="40"/>
        <w:ind w:left="360"/>
      </w:pPr>
      <w:r>
        <w:t xml:space="preserve">  </w:t>
      </w:r>
      <w:r>
        <w:rPr>
          <w:b/>
        </w:rPr>
        <w:t>Reglas de Lógica Industrial (MM/PP/CO):</w:t>
      </w:r>
      <w:r>
        <w:t xml:space="preserve"> Detecta inconsistencias críticas en el maestro de materiales (ROH/FERT vs precio estándar), alertas de stock negativo u obsoleto, BOMs complejas (más de 50 componentes), y tiempos nulos en rutas de fabricación.</w:t>
      </w:r>
    </w:p>
    <w:p>
      <w:pPr>
        <w:pStyle w:val="ListBullet"/>
        <w:spacing w:before="40" w:after="40"/>
        <w:ind w:left="360"/>
      </w:pPr>
      <w:r>
        <w:t xml:space="preserve">  </w:t>
      </w:r>
      <w:r>
        <w:rPr>
          <w:b/>
        </w:rPr>
        <w:t>Deduplicación por Bloqueo:</w:t>
      </w:r>
      <w:r>
        <w:t xml:space="preserve"> Agrupa y sugiere la fusión de clientes/proveedores repetidos con variaciones tipográficas mediante el algoritmo Levenshtein, optimizado con claves de bloqueo geográfico para evitar comparaciones N² innecesarias.</w:t>
      </w:r>
    </w:p>
    <w:p>
      <w:pPr>
        <w:pStyle w:val="ListBullet"/>
        <w:spacing w:before="40" w:after="40"/>
        <w:ind w:left="360"/>
      </w:pPr>
      <w:r>
        <w:t xml:space="preserve">  </w:t>
      </w:r>
      <w:r>
        <w:rPr>
          <w:b/>
        </w:rPr>
        <w:t>Aislamiento de Rechazos:</w:t>
      </w:r>
      <w:r>
        <w:t xml:space="preserve"> Separa automáticamente los registros con fallos insalvables a un archivo secundario detallando el motivo de error, permitiendo que el 99% de los registros correctos sigan su flujo de carga.</w:t>
      </w:r>
    </w:p>
    <w:p>
      <w:pPr>
        <w:spacing w:before="60" w:after="60"/>
      </w:pPr>
    </w:p>
    <w:p>
      <w:pPr>
        <w:keepNext/>
        <w:spacing w:before="280" w:after="80"/>
      </w:pPr>
      <w:r>
        <w:rPr>
          <w:rFonts w:ascii="Arial" w:hAnsi="Arial"/>
          <w:b/>
          <w:color w:val="2A5298"/>
          <w:sz w:val="28"/>
        </w:rPr>
        <w:t>5. Stack Técnico Real</w:t>
      </w:r>
    </w:p>
    <w:p>
      <w:pPr>
        <w:pStyle w:val="ListBullet"/>
        <w:spacing w:before="40" w:after="40"/>
        <w:ind w:left="360"/>
      </w:pPr>
      <w:r>
        <w:t xml:space="preserve">  </w:t>
      </w:r>
      <w:r>
        <w:rPr>
          <w:b/>
        </w:rPr>
        <w:t>Python 3.10+</w:t>
      </w:r>
      <w:r>
        <w:t xml:space="preserve"> como núcleo y orquestador del motor de sanitización.</w:t>
      </w:r>
    </w:p>
    <w:p>
      <w:pPr>
        <w:pStyle w:val="ListBullet"/>
        <w:spacing w:before="40" w:after="40"/>
        <w:ind w:left="360"/>
      </w:pPr>
      <w:r>
        <w:t xml:space="preserve">  </w:t>
      </w:r>
      <w:r>
        <w:rPr>
          <w:b/>
        </w:rPr>
        <w:t>Pandas</w:t>
      </w:r>
      <w:r>
        <w:t xml:space="preserve"> para la manipulación, mapeo e indexación de DataFrames de alto rendimiento.</w:t>
      </w:r>
    </w:p>
    <w:p>
      <w:pPr>
        <w:pStyle w:val="ListBullet"/>
        <w:spacing w:before="40" w:after="40"/>
        <w:ind w:left="360"/>
      </w:pPr>
      <w:r>
        <w:t xml:space="preserve">  </w:t>
      </w:r>
      <w:r>
        <w:rPr>
          <w:b/>
        </w:rPr>
        <w:t>RapidFuzz</w:t>
      </w:r>
      <w:r>
        <w:t xml:space="preserve"> para el cálculo optimizado de similitudes de cadenas mediante distancia de Levenshtein.</w:t>
      </w:r>
    </w:p>
    <w:p>
      <w:pPr>
        <w:pStyle w:val="ListBullet"/>
        <w:spacing w:before="40" w:after="40"/>
        <w:ind w:left="360"/>
      </w:pPr>
      <w:r>
        <w:t xml:space="preserve">  </w:t>
      </w:r>
      <w:r>
        <w:rPr>
          <w:b/>
        </w:rPr>
        <w:t>Openpyxl</w:t>
      </w:r>
      <w:r>
        <w:t xml:space="preserve"> para la estructuración y formateo nativo de libros Excel de staging con sus cabeceras técnicas oficiales de SAP.</w:t>
      </w:r>
    </w:p>
    <w:p>
      <w:pPr>
        <w:pStyle w:val="ListBullet"/>
        <w:spacing w:before="40" w:after="40"/>
        <w:ind w:left="360"/>
      </w:pPr>
      <w:r>
        <w:t xml:space="preserve">  </w:t>
      </w:r>
      <w:r>
        <w:rPr>
          <w:b/>
        </w:rPr>
        <w:t>Streamlit</w:t>
      </w:r>
      <w:r>
        <w:t xml:space="preserve"> como framework ligero para la construcción de la interfaz gráfica interactiva y local.</w:t>
      </w:r>
    </w:p>
    <w:p>
      <w:pPr>
        <w:pStyle w:val="ListBullet"/>
        <w:spacing w:before="40" w:after="40"/>
        <w:ind w:left="360"/>
      </w:pPr>
      <w:r>
        <w:t xml:space="preserve">  </w:t>
      </w:r>
      <w:r>
        <w:rPr>
          <w:b/>
        </w:rPr>
        <w:t>Zipfile</w:t>
      </w:r>
      <w:r>
        <w:t xml:space="preserve"> para el empaquetado en memoria de los entregables en un paquete unificado (.ZIP) sin almacenar datos de usuario.</w:t>
      </w:r>
    </w:p>
    <w:p>
      <w:pPr>
        <w:spacing w:before="60" w:after="60"/>
      </w:pPr>
    </w:p>
    <w:p>
      <w:pPr>
        <w:keepNext/>
        <w:spacing w:before="280" w:after="80"/>
      </w:pPr>
      <w:r>
        <w:rPr>
          <w:rFonts w:ascii="Arial" w:hAnsi="Arial"/>
          <w:b/>
          <w:color w:val="2A5298"/>
          <w:sz w:val="28"/>
        </w:rPr>
        <w:t>6. Qué Valor Aporta a un Equipo SAP / Negocio / Controlling</w:t>
      </w:r>
    </w:p>
    <w:p>
      <w:pPr>
        <w:pStyle w:val="ListBullet"/>
        <w:spacing w:before="40" w:after="40"/>
        <w:ind w:left="360"/>
      </w:pPr>
      <w:r>
        <w:t xml:space="preserve">  </w:t>
      </w:r>
      <w:r>
        <w:rPr>
          <w:b/>
        </w:rPr>
        <w:t>Al equipo de migración SAP:</w:t>
      </w:r>
      <w:r>
        <w:t xml:space="preserve"> Agiliza la carga de staging eliminando las iteraciones de prueba y error en el Migration Cockpit.</w:t>
      </w:r>
    </w:p>
    <w:p>
      <w:pPr>
        <w:pStyle w:val="ListBullet"/>
        <w:spacing w:before="40" w:after="40"/>
        <w:ind w:left="360"/>
      </w:pPr>
      <w:r>
        <w:t xml:space="preserve">  </w:t>
      </w:r>
      <w:r>
        <w:rPr>
          <w:b/>
        </w:rPr>
        <w:t>Al negocio:</w:t>
      </w:r>
      <w:r>
        <w:t xml:space="preserve"> Reduce drásticamente las horas de trabajo administrativo y de consultoría, acelerando los tiempos del proyecto de migración y reduciendo el riesgo de retrasar el *go-live*.</w:t>
      </w:r>
    </w:p>
    <w:p>
      <w:pPr>
        <w:pStyle w:val="ListBullet"/>
        <w:spacing w:before="40" w:after="40"/>
        <w:ind w:left="360"/>
      </w:pPr>
      <w:r>
        <w:t xml:space="preserve">  </w:t>
      </w:r>
      <w:r>
        <w:rPr>
          <w:b/>
        </w:rPr>
        <w:t>Al área de Controlling:</w:t>
      </w:r>
      <w:r>
        <w:t xml:space="preserve"> Garantiza que los maestros de costes y materiales entren limpios a producción, previniendo errores de valoración de inventarios y desvíos contables posteriores.</w:t>
      </w:r>
    </w:p>
    <w:p>
      <w:pPr>
        <w:spacing w:before="60" w:after="60"/>
      </w:pPr>
    </w:p>
    <w:p>
      <w:pPr>
        <w:keepNext/>
        <w:spacing w:before="280" w:after="80"/>
      </w:pPr>
      <w:r>
        <w:rPr>
          <w:rFonts w:ascii="Arial" w:hAnsi="Arial"/>
          <w:b/>
          <w:color w:val="2A5298"/>
          <w:sz w:val="28"/>
        </w:rPr>
        <w:t>7. Qué lo Diferencia de una Limpieza Manual en Excel</w:t>
      </w:r>
    </w:p>
    <w:p>
      <w:pPr>
        <w:spacing w:after="120"/>
      </w:pPr>
      <w:r>
        <w:t xml:space="preserve">Microsoft Excel carece de motores de validación matemática complejos integrados de forma nativa para formatos como IBAN o NIF, y las macros de VBA para búsquedas difusas son difíciles de mantener y lentas para grandes volúmenes. DataSanitizer ejecuta estas reglas en milisegundos bajo un pipeline reproducible. Su motor procesa y sanitiza 10,000 registros en </w:t>
      </w:r>
      <w:r>
        <w:rPr>
          <w:b/>
        </w:rPr>
        <w:t>menos de 2 segundos</w:t>
      </w:r>
      <w:r>
        <w:t xml:space="preserve"> y realiza la deduplicación de 2,000 registros con bloqueo en </w:t>
      </w:r>
      <w:r>
        <w:rPr>
          <w:b/>
        </w:rPr>
        <w:t>menos de 0.1 segundos</w:t>
      </w:r>
      <w:r>
        <w:t>, aislando errores celdas por celda sin riesgo de caídas del software.</w:t>
      </w:r>
    </w:p>
    <w:p>
      <w:pPr>
        <w:spacing w:before="60" w:after="60"/>
      </w:pPr>
    </w:p>
    <w:p>
      <w:pPr>
        <w:keepNext/>
        <w:spacing w:before="280" w:after="80"/>
      </w:pPr>
      <w:r>
        <w:rPr>
          <w:rFonts w:ascii="Arial" w:hAnsi="Arial"/>
          <w:b/>
          <w:color w:val="2A5298"/>
          <w:sz w:val="28"/>
        </w:rPr>
        <w:t>8. Qué Aprendí Construyéndolo</w:t>
      </w:r>
    </w:p>
    <w:p>
      <w:pPr>
        <w:pStyle w:val="ListBullet"/>
        <w:spacing w:before="40" w:after="40"/>
        <w:ind w:left="360"/>
      </w:pPr>
      <w:r>
        <w:t xml:space="preserve">  </w:t>
      </w:r>
      <w:r>
        <w:rPr>
          <w:b/>
        </w:rPr>
        <w:t>La importancia del enfoque Local-First:</w:t>
      </w:r>
      <w:r>
        <w:t xml:space="preserve"> En datos financieros y maestros de negocio, la privacidad es innegociable. Diseñar una herramienta que no requiere enviar datos a APIs externas en la nube facilita la aprobación de uso por parte de departamentos de IT corporativos.</w:t>
      </w:r>
    </w:p>
    <w:p>
      <w:pPr>
        <w:pStyle w:val="ListBullet"/>
        <w:spacing w:before="40" w:after="40"/>
        <w:ind w:left="360"/>
      </w:pPr>
      <w:r>
        <w:t xml:space="preserve">  </w:t>
      </w:r>
      <w:r>
        <w:rPr>
          <w:b/>
        </w:rPr>
        <w:t>Hardening y tolerancia a fallos:</w:t>
      </w:r>
      <w:r>
        <w:t xml:space="preserve"> El software real debe ser tolerante al desorden. Aprendí a estructurar capturas de excepciones a nivel de celda individual; un error en una fila aislada jamás debe tirar el procesamiento de un archivo de miles de registros.</w:t>
      </w:r>
    </w:p>
    <w:p>
      <w:pPr>
        <w:pStyle w:val="ListBullet"/>
        <w:spacing w:before="40" w:after="40"/>
        <w:ind w:left="360"/>
      </w:pPr>
      <w:r>
        <w:t xml:space="preserve">  </w:t>
      </w:r>
      <w:r>
        <w:rPr>
          <w:b/>
        </w:rPr>
        <w:t>Autonomía técnica:</w:t>
      </w:r>
      <w:r>
        <w:t xml:space="preserve"> Consolidé la capacidad de utilizar Inteligencia Artificial como traductor de mi criterio y lógica de negocio hacia una arquitectura de desarrollo de software limpia, estructurada y profesional.</w:t>
      </w:r>
    </w:p>
    <w:p>
      <w:pPr>
        <w:spacing w:before="60" w:after="60"/>
      </w:pPr>
    </w:p>
    <w:p>
      <w:pPr>
        <w:keepNext/>
        <w:spacing w:before="280" w:after="80"/>
      </w:pPr>
      <w:r>
        <w:rPr>
          <w:rFonts w:ascii="Arial" w:hAnsi="Arial"/>
          <w:b/>
          <w:color w:val="2A5298"/>
          <w:sz w:val="28"/>
        </w:rPr>
        <w:t>9. Estado Actual del Proyecto</w:t>
      </w:r>
    </w:p>
    <w:p>
      <w:pPr>
        <w:pStyle w:val="ListBullet"/>
        <w:spacing w:before="40" w:after="40"/>
        <w:ind w:left="360"/>
      </w:pPr>
      <w:r>
        <w:t xml:space="preserve">  </w:t>
      </w:r>
      <w:r>
        <w:rPr>
          <w:b/>
        </w:rPr>
        <w:t>Versión Estable V4.0.0</w:t>
      </w:r>
      <w:r>
        <w:t xml:space="preserve"> finalizada y testeada.</w:t>
      </w:r>
    </w:p>
    <w:p>
      <w:pPr>
        <w:pStyle w:val="ListBullet"/>
        <w:spacing w:before="40" w:after="40"/>
        <w:ind w:left="360"/>
      </w:pPr>
      <w:r>
        <w:t xml:space="preserve">  </w:t>
      </w:r>
      <w:r>
        <w:rPr>
          <w:b/>
        </w:rPr>
        <w:t>Demostración en Vivo:</w:t>
      </w:r>
      <w:r>
        <w:t xml:space="preserve"> Disponible y operativa en Streamlit Community Cloud en [https://bfr-datasanitizer.streamlit.app/](https://bfr-datasanitizer.streamlit.app/)</w:t>
      </w:r>
    </w:p>
    <w:p>
      <w:pPr>
        <w:pStyle w:val="ListBullet"/>
        <w:spacing w:before="40" w:after="40"/>
        <w:ind w:left="360"/>
      </w:pPr>
      <w:r>
        <w:t xml:space="preserve">  Suite de pruebas robusta con </w:t>
      </w:r>
      <w:r>
        <w:rPr>
          <w:b/>
        </w:rPr>
        <w:t>50 tests funcionales</w:t>
      </w:r>
      <w:r>
        <w:t xml:space="preserve"> integrados que pasan con un 100% de éxito, y </w:t>
      </w:r>
      <w:r>
        <w:rPr>
          <w:b/>
        </w:rPr>
        <w:t>2 pruebas de rendimiento</w:t>
      </w:r>
      <w:r>
        <w:t xml:space="preserve"> separadas que certifican los acuerdos de nivel de servicio (SLA) de procesamiento.</w:t>
      </w:r>
    </w:p>
    <w:p>
      <w:pPr>
        <w:pStyle w:val="ListBullet"/>
        <w:spacing w:before="40" w:after="40"/>
        <w:ind w:left="360"/>
      </w:pPr>
      <w:r>
        <w:t xml:space="preserve">  Lanzador Windows autoinstalable (`Iniciar_Interfaz.bat`) operativo que gestiona de forma autónoma el entorno virtual y el inicio del sistema.</w:t>
      </w:r>
    </w:p>
    <w:p>
      <w:pPr>
        <w:spacing w:before="60" w:after="60"/>
      </w:pPr>
    </w:p>
    <w:p>
      <w:pPr>
        <w:keepNext/>
        <w:spacing w:before="280" w:after="80"/>
      </w:pPr>
      <w:r>
        <w:rPr>
          <w:rFonts w:ascii="Arial" w:hAnsi="Arial"/>
          <w:b/>
          <w:color w:val="2A5298"/>
          <w:sz w:val="28"/>
        </w:rPr>
        <w:t>10. Próximos Pasos Razonables</w:t>
      </w:r>
    </w:p>
    <w:p>
      <w:pPr>
        <w:pStyle w:val="ListBullet"/>
        <w:spacing w:before="40" w:after="40"/>
        <w:ind w:left="360"/>
      </w:pPr>
      <w:r>
        <w:t xml:space="preserve">  </w:t>
      </w:r>
      <w:r>
        <w:rPr>
          <w:b/>
        </w:rPr>
        <w:t>Adaptadores adicionales:</w:t>
      </w:r>
      <w:r>
        <w:t xml:space="preserve"> Desarrollar plantillas de exportación formateadas para otros ERPs populares como Odoo, Sage y Microsoft Dynamics.</w:t>
      </w:r>
    </w:p>
    <w:p>
      <w:pPr>
        <w:pStyle w:val="ListBullet"/>
        <w:spacing w:before="40" w:after="40"/>
        <w:ind w:left="360"/>
      </w:pPr>
      <w:r>
        <w:t xml:space="preserve">  </w:t>
      </w:r>
      <w:r>
        <w:rPr>
          <w:b/>
        </w:rPr>
        <w:t>Internacionalización fiscal:</w:t>
      </w:r>
      <w:r>
        <w:t xml:space="preserve"> Expandir las reglas de validación de identificaciones fiscales a otros países europeos (ej. VAT/IVA intracomunitario, códigos fiscales en Alemania y Francia).</w:t>
      </w:r>
    </w:p>
    <w:p>
      <w:pPr>
        <w:pStyle w:val="ListBullet"/>
        <w:spacing w:before="40" w:after="40"/>
        <w:ind w:left="360"/>
      </w:pPr>
      <w:r>
        <w:t xml:space="preserve">  </w:t>
      </w:r>
      <w:r>
        <w:rPr>
          <w:b/>
        </w:rPr>
        <w:t>Modo API/CLI:</w:t>
      </w:r>
      <w:r>
        <w:t xml:space="preserve"> Habilitar el motor como un paquete Python importable para pipelines ETL de datos en la nube.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