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Arial" w:hAnsi="Arial"/>
          <w:b/>
          <w:color w:val="1E3C72"/>
          <w:sz w:val="36"/>
        </w:rPr>
        <w:t>Copia para Web Personal (Odoo) — DataSanitizer</w:t>
      </w:r>
    </w:p>
    <w:p>
      <w:pPr>
        <w:spacing w:before="60" w:after="60"/>
      </w:pPr>
    </w:p>
    <w:p>
      <w:pPr>
        <w:spacing w:after="120"/>
      </w:pPr>
      <w:r>
        <w:t>Este documento contiene la estructura de texto optimizada para integrar DataSanitizer como un proyecto destacado dentro del sitio web personal (https://borjafelixrojas.odoo.com/), manteniendo el tono de ingeniería de procesos y pragmatismo operativo.</w:t>
      </w:r>
    </w:p>
    <w:p>
      <w:pPr>
        <w:spacing w:before="60" w:after="60"/>
      </w:pPr>
    </w:p>
    <w:p>
      <w:pPr>
        <w:spacing w:after="240"/>
        <w:jc w:val="center"/>
      </w:pPr>
      <w:r>
        <w:rPr>
          <w:color w:val="808080"/>
        </w:rPr>
        <w:t>________________________________________________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🖥️ Bloque Destacado de Proyecto (Sección Portafolio / Herramientas)</w:t>
      </w:r>
    </w:p>
    <w:p>
      <w:pPr>
        <w:spacing w:before="60" w:after="60"/>
      </w:pPr>
    </w:p>
    <w:p>
      <w:pPr>
        <w:keepNext/>
        <w:spacing w:before="200" w:after="60"/>
      </w:pPr>
      <w:r>
        <w:rPr>
          <w:rFonts w:ascii="Arial" w:hAnsi="Arial"/>
          <w:b/>
          <w:color w:val="3C3C3C"/>
          <w:sz w:val="24"/>
        </w:rPr>
        <w:t>🏷️ Titular</w:t>
      </w:r>
    </w:p>
    <w:p>
      <w:pPr>
        <w:spacing w:after="120"/>
      </w:pPr>
      <w:r/>
      <w:r>
        <w:rPr>
          <w:b/>
        </w:rPr>
        <w:t>DataSanitizer: Control y Calidad de Datos en Migraciones ERP</w:t>
      </w:r>
      <w:r/>
    </w:p>
    <w:p>
      <w:pPr>
        <w:spacing w:before="60" w:after="60"/>
      </w:pPr>
    </w:p>
    <w:p>
      <w:pPr>
        <w:keepNext/>
        <w:spacing w:before="200" w:after="60"/>
      </w:pPr>
      <w:r>
        <w:rPr>
          <w:rFonts w:ascii="Arial" w:hAnsi="Arial"/>
          <w:b/>
          <w:color w:val="3C3C3C"/>
          <w:sz w:val="24"/>
        </w:rPr>
        <w:t>📄 Subtítulo</w:t>
      </w:r>
    </w:p>
    <w:p>
      <w:pPr>
        <w:spacing w:after="120"/>
      </w:pPr>
      <w:r>
        <w:t>*Elimina el caos de datos heredados y asegura cargas de staging limpias a la primera.*</w:t>
      </w:r>
    </w:p>
    <w:p>
      <w:pPr>
        <w:spacing w:before="60" w:after="60"/>
      </w:pPr>
    </w:p>
    <w:p>
      <w:pPr>
        <w:keepNext/>
        <w:spacing w:before="200" w:after="60"/>
      </w:pPr>
      <w:r>
        <w:rPr>
          <w:rFonts w:ascii="Arial" w:hAnsi="Arial"/>
          <w:b/>
          <w:color w:val="3C3C3C"/>
          <w:sz w:val="24"/>
        </w:rPr>
        <w:t>📝 Descripción Corta</w:t>
      </w:r>
    </w:p>
    <w:p>
      <w:pPr>
        <w:spacing w:after="120"/>
      </w:pPr>
      <w:r>
        <w:t xml:space="preserve">Las migraciones a sistemas ERP como SAP S/4HANA suelen retrasarse debido a la baja calidad y desorden en los datos maestros de origen (materiales, proveedores, clientes). </w:t>
      </w:r>
    </w:p>
    <w:p>
      <w:pPr>
        <w:spacing w:before="60" w:after="60"/>
      </w:pPr>
    </w:p>
    <w:p>
      <w:pPr>
        <w:spacing w:after="120"/>
      </w:pPr>
      <w:r/>
      <w:r>
        <w:rPr>
          <w:b/>
        </w:rPr>
        <w:t>DataSanitizer</w:t>
      </w:r>
      <w:r>
        <w:t xml:space="preserve"> es un motor portátil y de ejecución local (*local-first*) que industrializa la depuración de datos. Automatiza el diagnóstico de salud inicial, valida identificadores fiscales y bancarios de forma matemática, autocorrige provincias según códigos postales y audita las consistencias lógicas de controlling antes de exportar plantillas listas para la carga.</w:t>
      </w:r>
    </w:p>
    <w:p>
      <w:pPr>
        <w:spacing w:before="60" w:after="60"/>
      </w:pPr>
    </w:p>
    <w:p>
      <w:pPr>
        <w:spacing w:after="240"/>
        <w:jc w:val="center"/>
      </w:pPr>
      <w:r>
        <w:rPr>
          <w:color w:val="808080"/>
        </w:rPr>
        <w:t>________________________________________________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🎯 3 Balas de Valor (Bullets de Impacto)</w:t>
      </w:r>
    </w:p>
    <w:p>
      <w:pPr>
        <w:spacing w:before="60" w:after="60"/>
      </w:pPr>
    </w:p>
    <w:p>
      <w:pPr>
        <w:pStyle w:val="ListNumber"/>
        <w:spacing w:before="40" w:after="40"/>
        <w:ind w:left="360"/>
      </w:pPr>
      <w:r/>
      <w:r>
        <w:rPr>
          <w:b/>
        </w:rPr>
        <w:t>Garantía Fiscal y Bancaria Automatizada:</w:t>
      </w:r>
      <w:r/>
    </w:p>
    <w:p>
      <w:pPr>
        <w:spacing w:after="120"/>
      </w:pPr>
      <w:r>
        <w:t xml:space="preserve">    Validación matemática estricta de NIF/CIF españoles y códigos IBAN/BIC europeos de forma masiva en milisegundos, erradicando los rechazos bancarios en producción.</w:t>
      </w:r>
    </w:p>
    <w:p>
      <w:pPr>
        <w:pStyle w:val="ListNumber"/>
        <w:spacing w:before="40" w:after="40"/>
        <w:ind w:left="360"/>
      </w:pPr>
      <w:r/>
      <w:r>
        <w:rPr>
          <w:b/>
        </w:rPr>
        <w:t>Validación de Consistencia Industrial (MM/PP/CO):</w:t>
      </w:r>
      <w:r/>
    </w:p>
    <w:p>
      <w:pPr>
        <w:spacing w:after="120"/>
      </w:pPr>
      <w:r>
        <w:t xml:space="preserve">    Comprobaciones cruzadas de integridad para el Maestro de Materiales, Listas de Materiales (BOMs), Hojas de Ruta y Centros de Coste (Controlling), evitando errores de valoración de stock.</w:t>
      </w:r>
    </w:p>
    <w:p>
      <w:pPr>
        <w:pStyle w:val="ListNumber"/>
        <w:spacing w:before="40" w:after="40"/>
        <w:ind w:left="360"/>
      </w:pPr>
      <w:r/>
      <w:r>
        <w:rPr>
          <w:b/>
        </w:rPr>
        <w:t>Privacidad Radical (Local-First):</w:t>
      </w:r>
      <w:r/>
    </w:p>
    <w:p>
      <w:pPr>
        <w:spacing w:after="120"/>
      </w:pPr>
      <w:r>
        <w:t xml:space="preserve">    El motor se ejecuta completamente dentro de la máquina local del usuario. La información sensible de clientes, precios o inventarios nunca es enviada a servidores de terceros en la nube.</w:t>
      </w:r>
    </w:p>
    <w:p>
      <w:pPr>
        <w:spacing w:before="60" w:after="60"/>
      </w:pPr>
    </w:p>
    <w:p>
      <w:pPr>
        <w:spacing w:after="240"/>
        <w:jc w:val="center"/>
      </w:pPr>
      <w:r>
        <w:rPr>
          <w:color w:val="808080"/>
        </w:rPr>
        <w:t>________________________________________________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🚀 Llamadas a la Acción (CTA)</w:t>
      </w:r>
    </w:p>
    <w:p>
      <w:pPr>
        <w:spacing w:before="60" w:after="60"/>
      </w:pP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Botón Principal (CTA 1):</w:t>
      </w:r>
      <w:r/>
    </w:p>
    <w:p>
      <w:pPr>
        <w:spacing w:after="120"/>
      </w:pPr>
      <w:r>
        <w:t xml:space="preserve">    *   *Texto:* </w:t>
      </w:r>
      <w:r>
        <w:rPr>
          <w:b/>
        </w:rPr>
        <w:t>Explorar Repositorio en GitHub</w:t>
      </w:r>
      <w:r/>
    </w:p>
    <w:p>
      <w:pPr>
        <w:spacing w:after="120"/>
      </w:pPr>
      <w:r>
        <w:t xml:space="preserve">    *   *Acción:* Enlaza a la carpeta de código público del proyecto (ej: `https://github.com/DonBorgiFR/data_sanitizer`).</w:t>
      </w:r>
    </w:p>
    <w:p>
      <w:pPr>
        <w:pStyle w:val="ListBullet"/>
        <w:spacing w:before="40" w:after="40"/>
        <w:ind w:left="360"/>
      </w:pPr>
      <w:r>
        <w:t xml:space="preserve">  </w:t>
      </w:r>
      <w:r>
        <w:rPr>
          <w:b/>
        </w:rPr>
        <w:t>Botón Secundario (CTA 2):</w:t>
      </w:r>
      <w:r/>
    </w:p>
    <w:p>
      <w:pPr>
        <w:spacing w:after="120"/>
      </w:pPr>
      <w:r>
        <w:t xml:space="preserve">    *   *Texto:* </w:t>
      </w:r>
      <w:r>
        <w:rPr>
          <w:b/>
        </w:rPr>
        <w:t>Ver Caso de Uso de Migración</w:t>
      </w:r>
      <w:r/>
    </w:p>
    <w:p>
      <w:pPr>
        <w:spacing w:after="120"/>
      </w:pPr>
      <w:r>
        <w:t xml:space="preserve">    *   *Acción:* Despliega o enlaza a la ficha técnica del proyecto detallando el procesamiento exitoso de los 10,000 registros sintéticos.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