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ptos" w:hAnsi="Aptos"/>
          <w:b/>
          <w:color w:val="2F6B8A"/>
          <w:sz w:val="18"/>
        </w:rPr>
        <w:t>SYSTEM STRUCTURE  •  PREPARED FOR CLIENT REVIEW</w:t>
      </w:r>
    </w:p>
    <w:p>
      <w:pPr>
        <w:spacing w:after="80"/>
      </w:pPr>
      <w:r>
        <w:rPr>
          <w:rFonts w:ascii="Aptos Display" w:hAnsi="Aptos Display"/>
          <w:b/>
          <w:color w:val="17324D"/>
          <w:sz w:val="54"/>
        </w:rPr>
        <w:t>IBEMS System Hierarchy</w:t>
      </w:r>
    </w:p>
    <w:p>
      <w:pPr>
        <w:spacing w:after="240"/>
      </w:pPr>
      <w:r>
        <w:rPr>
          <w:sz w:val="22"/>
        </w:rPr>
        <w:t>Authority, operational responsibility, and transaction accountability across the IBEMS portals.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480"/>
      </w:tblGrid>
      <w:tr>
        <w:tc>
          <w:tcPr>
            <w:tcW w:type="dxa" w:w="10224"/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  <w:tcMar>
              <w:top w:w="155" w:type="dxa"/>
              <w:start w:w="180" w:type="dxa"/>
              <w:bottom w:w="155" w:type="dxa"/>
              <w:end w:w="18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Administrator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FFFFFF"/>
                <w:sz w:val="17"/>
              </w:rPr>
              <w:t>System governance • users • stores • oversight</w:t>
            </w:r>
          </w:p>
        </w:tc>
      </w:tr>
    </w:tbl>
    <w:p>
      <w:pPr>
        <w:spacing w:before="20" w:after="20"/>
        <w:jc w:val="center"/>
      </w:pPr>
      <w:r>
        <w:rPr>
          <w:b/>
          <w:color w:val="2F6B8A"/>
          <w:sz w:val="22"/>
        </w:rPr>
        <w:t>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12"/>
            <w:shd w:fill="2F6B8A"/>
            <w:tcBorders>
              <w:top w:val="single" w:sz="8" w:color="2F6B8A"/>
              <w:left w:val="single" w:sz="8" w:color="2F6B8A"/>
              <w:bottom w:val="single" w:sz="8" w:color="2F6B8A"/>
              <w:right w:val="single" w:sz="8" w:color="2F6B8A"/>
            </w:tcBorders>
            <w:tcMar>
              <w:top w:w="155" w:type="dxa"/>
              <w:start w:w="180" w:type="dxa"/>
              <w:bottom w:w="155" w:type="dxa"/>
              <w:end w:w="18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Accounting Office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FFFFFF"/>
                <w:sz w:val="17"/>
              </w:rPr>
              <w:t>Salary-grade profiles • debt • deductions • settlement</w:t>
            </w:r>
          </w:p>
        </w:tc>
        <w:tc>
          <w:tcPr>
            <w:tcW w:type="dxa" w:w="5112"/>
            <w:shd w:fill="2F6B8A"/>
            <w:tcBorders>
              <w:top w:val="single" w:sz="8" w:color="2F6B8A"/>
              <w:left w:val="single" w:sz="8" w:color="2F6B8A"/>
              <w:bottom w:val="single" w:sz="8" w:color="2F6B8A"/>
              <w:right w:val="single" w:sz="8" w:color="2F6B8A"/>
            </w:tcBorders>
            <w:tcMar>
              <w:top w:w="155" w:type="dxa"/>
              <w:start w:w="180" w:type="dxa"/>
              <w:bottom w:w="155" w:type="dxa"/>
              <w:end w:w="18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Store Supervisor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FFFFFF"/>
                <w:sz w:val="17"/>
              </w:rPr>
              <w:t>Assigned-store review • variance governance • escalation</w:t>
            </w:r>
          </w:p>
        </w:tc>
      </w:tr>
    </w:tbl>
    <w:p>
      <w:pPr>
        <w:spacing w:before="20" w:after="20"/>
        <w:jc w:val="center"/>
      </w:pPr>
      <w:r>
        <w:rPr>
          <w:b/>
          <w:color w:val="2F6B8A"/>
          <w:sz w:val="22"/>
        </w:rPr>
        <w:t>▼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5112"/>
            <w:shd w:fill="4E7F73"/>
            <w:tcBorders>
              <w:top w:val="single" w:sz="8" w:color="4E7F73"/>
              <w:left w:val="single" w:sz="8" w:color="4E7F73"/>
              <w:bottom w:val="single" w:sz="8" w:color="4E7F73"/>
              <w:right w:val="single" w:sz="8" w:color="4E7F73"/>
            </w:tcBorders>
            <w:tcMar>
              <w:top w:w="155" w:type="dxa"/>
              <w:start w:w="180" w:type="dxa"/>
              <w:bottom w:w="155" w:type="dxa"/>
              <w:end w:w="18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Store Officer / Cashier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FFFFFF"/>
                <w:sz w:val="17"/>
              </w:rPr>
              <w:t>POS • inventory • receipts • day opening and closing</w:t>
            </w:r>
          </w:p>
        </w:tc>
        <w:tc>
          <w:tcPr>
            <w:tcW w:type="dxa" w:w="5112"/>
            <w:shd w:fill="4E7F73"/>
            <w:tcBorders>
              <w:top w:val="single" w:sz="8" w:color="4E7F73"/>
              <w:left w:val="single" w:sz="8" w:color="4E7F73"/>
              <w:bottom w:val="single" w:sz="8" w:color="4E7F73"/>
              <w:right w:val="single" w:sz="8" w:color="4E7F73"/>
            </w:tcBorders>
            <w:tcMar>
              <w:top w:w="155" w:type="dxa"/>
              <w:start w:w="180" w:type="dxa"/>
              <w:bottom w:w="155" w:type="dxa"/>
              <w:end w:w="180" w:type="dxa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ptos Display" w:hAnsi="Aptos Display"/>
                <w:b/>
                <w:color w:val="FFFFFF"/>
                <w:sz w:val="24"/>
              </w:rPr>
              <w:t>Employee / User</w:t>
            </w:r>
          </w:p>
          <w:p>
            <w:pPr>
              <w:spacing w:after="0"/>
              <w:jc w:val="center"/>
            </w:pPr>
            <w:r>
              <w:rPr>
                <w:rFonts w:ascii="Aptos" w:hAnsi="Aptos"/>
                <w:color w:val="FFFFFF"/>
                <w:sz w:val="17"/>
              </w:rPr>
              <w:t>Store catalog • purchases • personal history • balances</w:t>
            </w:r>
          </w:p>
        </w:tc>
      </w:tr>
    </w:tbl>
    <w:p>
      <w:pPr>
        <w:spacing w:before="200" w:after="140"/>
        <w:jc w:val="center"/>
      </w:pPr>
      <w:r>
        <w:rPr>
          <w:b/>
          <w:color w:val="17324D"/>
          <w:sz w:val="19"/>
        </w:rPr>
        <w:t>Authority flows downward. Operational records and audit evidence flow upward.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1F5"/>
            <w:tcBorders>
              <w:top w:val="single" w:sz="8" w:color="C8D9E5"/>
              <w:left w:val="single" w:sz="8" w:color="C8D9E5"/>
              <w:bottom w:val="single" w:sz="8" w:color="C8D9E5"/>
              <w:right w:val="single" w:sz="8" w:color="C8D9E5"/>
            </w:tcBorders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pPr>
              <w:jc w:val="center"/>
            </w:pPr>
            <w:r>
              <w:rPr>
                <w:b/>
                <w:color w:val="17324D"/>
              </w:rPr>
              <w:t>Design principle</w:t>
            </w:r>
            <w:r>
              <w:t xml:space="preserve">  Each portal exposes only the duties and records needed for its role, while preserving a connected audit trail.</w:t>
            </w:r>
          </w:p>
        </w:tc>
      </w:tr>
    </w:tbl>
    <w:p>
      <w:r>
        <w:br w:type="page"/>
      </w:r>
    </w:p>
    <w:p>
      <w:pPr>
        <w:spacing w:before="80" w:after="120"/>
      </w:pPr>
      <w:r>
        <w:rPr>
          <w:rFonts w:ascii="Aptos Display" w:hAnsi="Aptos Display"/>
          <w:b/>
          <w:color w:val="17324D"/>
          <w:sz w:val="36"/>
        </w:rPr>
        <w:t>Connected Transaction Flow</w:t>
      </w:r>
    </w:p>
    <w:p>
      <w:pPr>
        <w:spacing w:after="200"/>
      </w:pPr>
      <w:r>
        <w:t>A normal credit transaction moves through five accountable stages. No stage replaces or erases the source record.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691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F6B8A"/>
                <w:sz w:val="26"/>
              </w:rPr>
              <w:t>1</w:t>
            </w:r>
          </w:p>
        </w:tc>
        <w:tc>
          <w:tcPr>
            <w:tcW w:type="dxa" w:w="1555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b/>
                <w:color w:val="17324D"/>
              </w:rPr>
              <w:t>Profile</w:t>
            </w:r>
          </w:p>
        </w:tc>
        <w:tc>
          <w:tcPr>
            <w:tcW w:type="dxa" w:w="7560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color w:val="526578"/>
                <w:sz w:val="17"/>
              </w:rPr>
              <w:t>Accounting assigns employment type, salary grade, compensation, and effective date. Credit is derived by policy.</w:t>
            </w:r>
          </w:p>
        </w:tc>
      </w:tr>
      <w:tr>
        <w:tc>
          <w:tcPr>
            <w:tcW w:type="dxa" w:w="691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F6B8A"/>
                <w:sz w:val="26"/>
              </w:rPr>
              <w:t>2</w:t>
            </w:r>
          </w:p>
        </w:tc>
        <w:tc>
          <w:tcPr>
            <w:tcW w:type="dxa" w:w="1555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b/>
                <w:color w:val="17324D"/>
              </w:rPr>
              <w:t>Purchase</w:t>
            </w:r>
          </w:p>
        </w:tc>
        <w:tc>
          <w:tcPr>
            <w:tcW w:type="dxa" w:w="7560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color w:val="526578"/>
                <w:sz w:val="17"/>
              </w:rPr>
              <w:t>The employee selects available products; the cashier confirms identity, stock, payment method, and credit capacity.</w:t>
            </w:r>
          </w:p>
        </w:tc>
      </w:tr>
      <w:tr>
        <w:tc>
          <w:tcPr>
            <w:tcW w:type="dxa" w:w="691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F6B8A"/>
                <w:sz w:val="26"/>
              </w:rPr>
              <w:t>3</w:t>
            </w:r>
          </w:p>
        </w:tc>
        <w:tc>
          <w:tcPr>
            <w:tcW w:type="dxa" w:w="1555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b/>
                <w:color w:val="17324D"/>
              </w:rPr>
              <w:t>Posting</w:t>
            </w:r>
          </w:p>
        </w:tc>
        <w:tc>
          <w:tcPr>
            <w:tcW w:type="dxa" w:w="7560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color w:val="526578"/>
                <w:sz w:val="17"/>
              </w:rPr>
              <w:t>IBEMS records the sale, product lines, payment details, inventory movement, and employee debt atomically.</w:t>
            </w:r>
          </w:p>
        </w:tc>
      </w:tr>
      <w:tr>
        <w:tc>
          <w:tcPr>
            <w:tcW w:type="dxa" w:w="691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F6B8A"/>
                <w:sz w:val="26"/>
              </w:rPr>
              <w:t>4</w:t>
            </w:r>
          </w:p>
        </w:tc>
        <w:tc>
          <w:tcPr>
            <w:tcW w:type="dxa" w:w="1555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b/>
                <w:color w:val="17324D"/>
              </w:rPr>
              <w:t>Review</w:t>
            </w:r>
          </w:p>
        </w:tc>
        <w:tc>
          <w:tcPr>
            <w:tcW w:type="dxa" w:w="7560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color w:val="526578"/>
                <w:sz w:val="17"/>
              </w:rPr>
              <w:t>Store operations reconcile the business day; supervisors investigate exceptions and preserve supporting evidence.</w:t>
            </w:r>
          </w:p>
        </w:tc>
      </w:tr>
      <w:tr>
        <w:tc>
          <w:tcPr>
            <w:tcW w:type="dxa" w:w="691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2F6B8A"/>
                <w:sz w:val="26"/>
              </w:rPr>
              <w:t>5</w:t>
            </w:r>
          </w:p>
        </w:tc>
        <w:tc>
          <w:tcPr>
            <w:tcW w:type="dxa" w:w="1555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b/>
                <w:color w:val="17324D"/>
              </w:rPr>
              <w:t>Settlement</w:t>
            </w:r>
          </w:p>
        </w:tc>
        <w:tc>
          <w:tcPr>
            <w:tcW w:type="dxa" w:w="7560"/>
            <w:shd w:fill="F6F9FB"/>
            <w:tcBorders>
              <w:top w:val="single" w:sz="8" w:color="D5E0E8"/>
              <w:left w:val="single" w:sz="8" w:color="D5E0E8"/>
              <w:bottom w:val="single" w:sz="8" w:color="D5E0E8"/>
              <w:right w:val="single" w:sz="8" w:color="D5E0E8"/>
            </w:tcBorders>
            <w:tcMar>
              <w:top w:w="115" w:type="dxa"/>
              <w:start w:w="130" w:type="dxa"/>
              <w:bottom w:w="115" w:type="dxa"/>
              <w:end w:w="130" w:type="dxa"/>
            </w:tcMar>
            <w:vAlign w:val="center"/>
          </w:tcPr>
          <w:p>
            <w:r>
              <w:rPr>
                <w:color w:val="526578"/>
                <w:sz w:val="17"/>
              </w:rPr>
              <w:t>Accounting prepares deductions or repayments, reconciles results, and closes the period with an audit trail.</w:t>
            </w:r>
          </w:p>
        </w:tc>
      </w:tr>
    </w:tbl>
    <w:p>
      <w:pPr>
        <w:spacing w:before="160" w:after="120"/>
      </w:pPr>
      <w:r>
        <w:rPr>
          <w:rFonts w:ascii="Aptos Display" w:hAnsi="Aptos Display"/>
          <w:b/>
          <w:color w:val="17324D"/>
          <w:sz w:val="24"/>
        </w:rPr>
        <w:t>Role Responsibility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AF1F5"/>
            <w:tcBorders>
              <w:top w:val="single" w:sz="8" w:color="D3E0E8"/>
              <w:left w:val="single" w:sz="8" w:color="D3E0E8"/>
              <w:bottom w:val="single" w:sz="8" w:color="D3E0E8"/>
              <w:right w:val="single" w:sz="8" w:color="D3E0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7324D"/>
              </w:rPr>
              <w:t>Administrator</w:t>
            </w:r>
          </w:p>
          <w:p>
            <w:pPr>
              <w:spacing w:after="0"/>
            </w:pPr>
            <w:r>
              <w:rPr>
                <w:sz w:val="16"/>
              </w:rPr>
              <w:t>Controls structure, permissions, master data, and institution-wide oversight.</w:t>
            </w:r>
          </w:p>
        </w:tc>
        <w:tc>
          <w:tcPr>
            <w:tcW w:type="dxa" w:w="5112"/>
            <w:shd w:fill="F2F6F8"/>
            <w:tcBorders>
              <w:top w:val="single" w:sz="8" w:color="D3E0E8"/>
              <w:left w:val="single" w:sz="8" w:color="D3E0E8"/>
              <w:bottom w:val="single" w:sz="8" w:color="D3E0E8"/>
              <w:right w:val="single" w:sz="8" w:color="D3E0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7324D"/>
              </w:rPr>
              <w:t>Accounting Office</w:t>
            </w:r>
          </w:p>
          <w:p>
            <w:pPr>
              <w:spacing w:after="0"/>
            </w:pPr>
            <w:r>
              <w:rPr>
                <w:sz w:val="16"/>
              </w:rPr>
              <w:t>Owns salary-grade profiles, dynamic credit limits, debt review, deductions, and settlement.</w:t>
            </w:r>
          </w:p>
        </w:tc>
      </w:tr>
      <w:tr>
        <w:tc>
          <w:tcPr>
            <w:tcW w:type="dxa" w:w="5112"/>
            <w:shd w:fill="EAF1F5"/>
            <w:tcBorders>
              <w:top w:val="single" w:sz="8" w:color="D3E0E8"/>
              <w:left w:val="single" w:sz="8" w:color="D3E0E8"/>
              <w:bottom w:val="single" w:sz="8" w:color="D3E0E8"/>
              <w:right w:val="single" w:sz="8" w:color="D3E0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7324D"/>
              </w:rPr>
              <w:t>Store Supervisor</w:t>
            </w:r>
          </w:p>
          <w:p>
            <w:pPr>
              <w:spacing w:after="0"/>
            </w:pPr>
            <w:r>
              <w:rPr>
                <w:sz w:val="16"/>
              </w:rPr>
              <w:t>Reviews assigned stores, variances, escalations, and operational compliance.</w:t>
            </w:r>
          </w:p>
        </w:tc>
        <w:tc>
          <w:tcPr>
            <w:tcW w:type="dxa" w:w="5112"/>
            <w:shd w:fill="F2F6F8"/>
            <w:tcBorders>
              <w:top w:val="single" w:sz="8" w:color="D3E0E8"/>
              <w:left w:val="single" w:sz="8" w:color="D3E0E8"/>
              <w:bottom w:val="single" w:sz="8" w:color="D3E0E8"/>
              <w:right w:val="single" w:sz="8" w:color="D3E0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7324D"/>
              </w:rPr>
              <w:t>Store Officer / Cashier</w:t>
            </w:r>
          </w:p>
          <w:p>
            <w:pPr>
              <w:spacing w:after="0"/>
            </w:pPr>
            <w:r>
              <w:rPr>
                <w:sz w:val="16"/>
              </w:rPr>
              <w:t>Runs POS and inventory, manages day sessions, and creates source transaction records.</w:t>
            </w:r>
          </w:p>
        </w:tc>
      </w:tr>
      <w:tr>
        <w:tc>
          <w:tcPr>
            <w:tcW w:type="dxa" w:w="5112"/>
            <w:shd w:fill="EAF1F5"/>
            <w:tcBorders>
              <w:top w:val="single" w:sz="8" w:color="D3E0E8"/>
              <w:left w:val="single" w:sz="8" w:color="D3E0E8"/>
              <w:bottom w:val="single" w:sz="8" w:color="D3E0E8"/>
              <w:right w:val="single" w:sz="8" w:color="D3E0E8"/>
            </w:tcBorders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spacing w:after="40"/>
            </w:pPr>
            <w:r>
              <w:rPr>
                <w:b/>
                <w:color w:val="17324D"/>
              </w:rPr>
              <w:t>Employee / User</w:t>
            </w:r>
          </w:p>
          <w:p>
            <w:pPr>
              <w:spacing w:after="0"/>
            </w:pPr>
            <w:r>
              <w:rPr>
                <w:sz w:val="16"/>
              </w:rPr>
              <w:t>Views products and personal records, uses approved credit, and reviews purchases and balances.</w:t>
            </w:r>
          </w:p>
        </w:tc>
        <w:tc>
          <w:tcPr>
            <w:tcW w:type="dxa" w:w="5112"/>
            <w:shd w:fill="17324D"/>
            <w:tcBorders>
              <w:top w:val="single" w:sz="8" w:color="17324D"/>
              <w:left w:val="single" w:sz="8" w:color="17324D"/>
              <w:bottom w:val="single" w:sz="8" w:color="17324D"/>
              <w:right w:val="single" w:sz="8" w:color="17324D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ONE CONNECTED AUDIT TRAIL</w:t>
            </w:r>
          </w:p>
          <w:p>
            <w:pPr>
              <w:jc w:val="center"/>
            </w:pPr>
            <w:r>
              <w:rPr>
                <w:color w:val="FFFFFF"/>
                <w:sz w:val="16"/>
              </w:rPr>
              <w:t>Every role contributes evidence to the same governed transaction history.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26578"/>
        <w:sz w:val="16"/>
      </w:rPr>
      <w:t>Integrated Business Enterprise Management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26578"/>
        <w:sz w:val="16"/>
      </w:rPr>
      <w:t>IBEMS  /  CLIENT REFERENCE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color w:val="52657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