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9E1398">
      <w:pPr>
        <w:keepLines w:val="0"/>
        <w:widowControl/>
        <w:spacing w:before="2100"/>
        <w:jc w:val="center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56"/>
          <w14:textFill>
            <w14:solidFill>
              <w14:schemeClr w14:val="tx1"/>
            </w14:solidFill>
          </w14:textFill>
        </w:rPr>
        <w:t>实操考核题册</w:t>
      </w:r>
    </w:p>
    <w:p w14:paraId="06E43BF6">
      <w:pPr>
        <w:pStyle w:val="3"/>
        <w:keepLines w:val="0"/>
        <w:widowControl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40"/>
          <w14:textFill>
            <w14:solidFill>
              <w14:schemeClr w14:val="tx1"/>
            </w14:solidFill>
          </w14:textFill>
        </w:rPr>
        <w:t>统一考核说明</w:t>
      </w:r>
    </w:p>
    <w:p w14:paraId="7FC559F9">
      <w:pPr>
        <w:pStyle w:val="4"/>
        <w:keepLines w:val="0"/>
        <w:widowControl/>
        <w:spacing w:before="200" w:after="8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6"/>
          <w:lang w:val="en-US" w:eastAsia="zh-CN"/>
          <w14:textFill>
            <w14:solidFill>
              <w14:schemeClr w14:val="tx1"/>
            </w14:solidFill>
          </w14:textFill>
        </w:rPr>
        <w:t>一</w:t>
      </w: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、统一交付内容</w:t>
      </w:r>
    </w:p>
    <w:p w14:paraId="68418B16">
      <w:pPr>
        <w:pStyle w:val="16"/>
        <w:keepLines w:val="0"/>
        <w:widowControl/>
        <w:numPr>
          <w:ilvl w:val="0"/>
          <w:numId w:val="7"/>
        </w:numPr>
        <w:tabs>
          <w:tab w:val="clear" w:pos="360"/>
        </w:tabs>
        <w:spacing w:after="40"/>
        <w:ind w:left="360" w:leftChars="0" w:hanging="36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完整</w:t>
      </w:r>
      <w:r>
        <w:rPr>
          <w:rFonts w:hint="eastAsia" w:ascii="宋体" w:hAnsi="宋体" w:eastAsia="宋体" w:cs="宋体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项目</w:t>
      </w:r>
      <w:r>
        <w:rPr>
          <w:rFonts w:hint="eastAsia" w:ascii="宋体" w:hAnsi="宋体" w:eastAsia="宋体" w:cs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：包含完成指定场景</w:t>
      </w:r>
      <w:bookmarkStart w:id="0" w:name="_GoBack"/>
      <w:bookmarkEnd w:id="0"/>
      <w:r>
        <w:rPr>
          <w:rFonts w:hint="eastAsia" w:ascii="宋体" w:hAnsi="宋体" w:eastAsia="宋体" w:cs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所需的前端、后端及相关服务实现</w:t>
      </w:r>
      <w:r>
        <w:rPr>
          <w:rFonts w:hint="eastAsia" w:ascii="宋体" w:hAnsi="宋体" w:eastAsia="宋体" w:cs="宋体"/>
          <w:color w:val="000000" w:themeColor="text1"/>
          <w:sz w:val="2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以及git地址</w:t>
      </w:r>
      <w:r>
        <w:rPr>
          <w:rFonts w:hint="eastAsia" w:ascii="宋体" w:hAnsi="宋体" w:eastAsia="宋体" w:cs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。</w:t>
      </w:r>
    </w:p>
    <w:p w14:paraId="09F7BBA0">
      <w:pPr>
        <w:pStyle w:val="16"/>
        <w:keepLines w:val="0"/>
        <w:widowControl/>
        <w:numPr>
          <w:ilvl w:val="0"/>
          <w:numId w:val="7"/>
        </w:numPr>
        <w:tabs>
          <w:tab w:val="clear" w:pos="360"/>
        </w:tabs>
        <w:spacing w:after="40"/>
        <w:ind w:left="360" w:leftChars="0" w:hanging="36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README：说明项目如何启动、环境与配置、数据初始化、模型配置、主要业务流程、已实现范围、重要技术取舍、简化或未完成内容，以及继续开发时的优先补齐方向。</w:t>
      </w:r>
    </w:p>
    <w:p w14:paraId="5C9DD711">
      <w:pPr>
        <w:pStyle w:val="16"/>
        <w:keepLines w:val="0"/>
        <w:widowControl/>
        <w:numPr>
          <w:ilvl w:val="0"/>
          <w:numId w:val="7"/>
        </w:numPr>
        <w:tabs>
          <w:tab w:val="clear" w:pos="360"/>
        </w:tabs>
        <w:spacing w:after="40"/>
        <w:ind w:left="360" w:leftChars="0" w:hanging="36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接口文档：说明主要前后端接口及业务服务之间的契约，文档形式不限。</w:t>
      </w:r>
    </w:p>
    <w:p w14:paraId="317A07CC">
      <w:pPr>
        <w:pStyle w:val="16"/>
        <w:keepLines w:val="0"/>
        <w:widowControl/>
        <w:numPr>
          <w:ilvl w:val="0"/>
          <w:numId w:val="7"/>
        </w:numPr>
        <w:tabs>
          <w:tab w:val="clear" w:pos="360"/>
        </w:tabs>
        <w:spacing w:after="40"/>
        <w:ind w:left="360" w:leftChars="0" w:hanging="36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系统设计图：至少包含一张系统整体架构图，以及一张能够说明核心业务状态或关键交互时序的设计图。</w:t>
      </w:r>
    </w:p>
    <w:p w14:paraId="6E4ECAA1">
      <w:pPr>
        <w:pStyle w:val="16"/>
        <w:keepLines w:val="0"/>
        <w:widowControl/>
        <w:numPr>
          <w:ilvl w:val="0"/>
          <w:numId w:val="7"/>
        </w:numPr>
        <w:tabs>
          <w:tab w:val="clear" w:pos="360"/>
        </w:tabs>
        <w:spacing w:after="40"/>
        <w:ind w:left="360" w:leftChars="0" w:hanging="36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现场 Demo：应试者需要现场演示完整业务闭环，并能够解释关键设计、数据一致性、权限与 AI/确定性规则边界。</w:t>
      </w:r>
    </w:p>
    <w:p w14:paraId="7BD39D17">
      <w:pPr>
        <w:pStyle w:val="4"/>
        <w:keepLines w:val="0"/>
        <w:widowControl/>
        <w:spacing w:before="200" w:after="8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6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、场景目录</w:t>
      </w:r>
    </w:p>
    <w:p w14:paraId="73AD92A4">
      <w:pPr>
        <w:pStyle w:val="14"/>
        <w:keepLines w:val="0"/>
        <w:widowControl/>
        <w:spacing w:after="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场景 1：智能采购需求建单与供应商事实确认</w:t>
      </w:r>
    </w:p>
    <w:p w14:paraId="7EFB76E5">
      <w:pPr>
        <w:pStyle w:val="14"/>
        <w:keepLines w:val="0"/>
        <w:widowControl/>
        <w:spacing w:after="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场景 2：设备故障派修、工程师匹配与流式诊断报告</w:t>
      </w:r>
    </w:p>
    <w:p w14:paraId="32975B6F">
      <w:pPr>
        <w:pStyle w:val="14"/>
        <w:keepLines w:val="0"/>
        <w:widowControl/>
        <w:spacing w:after="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场景 3：商业物业租赁续约谈判 Agent</w:t>
      </w:r>
    </w:p>
    <w:p w14:paraId="7BBA2B7A">
      <w:pPr>
        <w:pStyle w:val="14"/>
        <w:keepLines w:val="0"/>
        <w:widowControl/>
        <w:spacing w:after="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场景 4：在线培训课程音视频智能化：转写、学习纪要、行动项与模板</w:t>
      </w:r>
    </w:p>
    <w:p w14:paraId="5809665E">
      <w:pPr>
        <w:pStyle w:val="14"/>
        <w:keepLines w:val="0"/>
        <w:widowControl/>
        <w:spacing w:after="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场景 5：电商售后异常、服务工单与通知闭环</w:t>
      </w:r>
    </w:p>
    <w:p w14:paraId="10A911FA">
      <w:pPr>
        <w:pStyle w:val="14"/>
        <w:keepLines w:val="0"/>
        <w:widowControl/>
        <w:spacing w:after="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场景 6：软件交付 AI 助手的反馈、Trace 与知识库问答</w:t>
      </w:r>
    </w:p>
    <w:p w14:paraId="7D872687">
      <w:pPr>
        <w:pStyle w:val="14"/>
        <w:keepLines w:val="0"/>
        <w:widowControl/>
        <w:spacing w:after="6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场景 7：连锁门店经营工作台、巡检日报周报与上线应急</w:t>
      </w:r>
    </w:p>
    <w:p w14:paraId="01CA1CB3">
      <w:pPr>
        <w:keepLines w:val="0"/>
        <w:widowControl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29ECDB29">
      <w:pPr>
        <w:pStyle w:val="3"/>
        <w:keepLines w:val="0"/>
        <w:widowControl/>
        <w:rPr>
          <w:b/>
          <w:bCs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36"/>
          <w14:textFill>
            <w14:solidFill>
              <w14:schemeClr w14:val="tx1"/>
            </w14:solidFill>
          </w14:textFill>
        </w:rPr>
        <w:t>场景 1  智能采购需求建单与供应商事实确认</w:t>
      </w:r>
    </w:p>
    <w:p w14:paraId="2D3E4B4B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业务背景</w:t>
      </w:r>
    </w:p>
    <w:p w14:paraId="18A9E1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某制造企业每天会收到大量来自研发、生产和仓储部门的采购需求。这些需求往往不是规范表单，而是以自然语言、附件或其他非结构化方式提交。例如：“下周装配线需要 200 个耐高温轴承，跟上次采购的差不多，品牌优先用原来的。”</w:t>
      </w:r>
    </w:p>
    <w:p w14:paraId="4FDB59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实际需求经常缺少物料编码、完整规格、明确交付日期、预算或供应商等信息，同时还可能引用“上次采购”“原来的品牌”等历史上下文。企业希望建设一个 AI 辅助采购需求工作台，把非结构化需求逐步整理成能够正式提交的采购申请，但 AI 不能替代用户完成关键业务确认，也不能修改正式物料和供应商主数据。</w:t>
      </w:r>
    </w:p>
    <w:p w14:paraId="6B5D70DA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业务角色</w:t>
      </w:r>
    </w:p>
    <w:p w14:paraId="648A9C3A">
      <w:pPr>
        <w:pStyle w:val="16"/>
        <w:keepLines w:val="0"/>
        <w:widowControl/>
        <w:numPr>
          <w:ilvl w:val="0"/>
          <w:numId w:val="8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采购专员：发起采购需求、补充信息、确认物料和供应商、处理附件并最终提交申请。</w:t>
      </w:r>
    </w:p>
    <w:p w14:paraId="6EF14F61">
      <w:pPr>
        <w:pStyle w:val="16"/>
        <w:keepLines w:val="0"/>
        <w:widowControl/>
        <w:numPr>
          <w:ilvl w:val="0"/>
          <w:numId w:val="8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采购主管：查看已经提交的申请及过程记录，可进行业务退回或复核。</w:t>
      </w:r>
    </w:p>
    <w:p w14:paraId="7A51D9B1">
      <w:pPr>
        <w:pStyle w:val="16"/>
        <w:keepLines w:val="0"/>
        <w:widowControl/>
        <w:numPr>
          <w:ilvl w:val="0"/>
          <w:numId w:val="8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系统管理角色：维护用于本系统的物料、供应商等基础数据，并能够查看必要的审计记录。</w:t>
      </w:r>
    </w:p>
    <w:p w14:paraId="31763E6A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业务目标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55E96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0F79EF82">
            <w:pPr>
              <w:spacing w:after="60" w:line="312" w:lineRule="auto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</w:rPr>
              <w:t>目标闭环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</w:rPr>
              <w:t>采购专员提出自然语言或附件需求 → AI 理解并整理已有信息 → 发现缺失项或歧义并继续确认 → 核实物料、供应商与历史采购事实 → 用户补充和选择 → 提交前校验 → 用户明确确认 → 创建正式采购申请 → 在详情中查看申请、附件与重要操作记录。</w:t>
            </w:r>
          </w:p>
        </w:tc>
      </w:tr>
    </w:tbl>
    <w:p w14:paraId="20E349F1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采购需求与信息确认</w:t>
      </w:r>
    </w:p>
    <w:p w14:paraId="4C5CA7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一张采购申请通常需要明确采购物料、规格或型号、数量、单位、期望交付日期以及项目或采购用途。根据具体需求，还可能包含预算、优先品牌、指定或优先供应商、联系人以及规格书、报价单等附件。</w:t>
      </w:r>
    </w:p>
    <w:p w14:paraId="70795F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系统不应强迫用户一开始填写完整表单，而应允许用户以自然语言和附件开始，再通过 AI 与结构化信息区域逐步形成完整申请。对于无法确定的信息，应明确表现为待确认、候选或存在歧义，而不是把模型推测直接写成事实。</w:t>
      </w:r>
    </w:p>
    <w:p w14:paraId="1AE24735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物料、供应商与历史事实</w:t>
      </w:r>
    </w:p>
    <w:p w14:paraId="3612B5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物料和供应商属于正式业务主数据。系统需要能够根据用户描述和 AI 理解结果查找候选，并让用户完成最终选择。AI 不得自行创建物料编码、修改物料主数据、启用供应商或把已经停用的对象当成当前有效事实。</w:t>
      </w:r>
    </w:p>
    <w:p w14:paraId="2B5CF7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采购人员可以使用“参考上次采购”“按照之前那次来”等表达引用历史申请。历史记录可以帮助定位当前物料、规格、数量、品牌或供应商，但历史内容只能作为参考。联系人、预算、备注，以及已经失效的物料或供应商等信息，不能在没有重新确认的情况下直接成为当前申请的最终值。</w:t>
      </w:r>
    </w:p>
    <w:p w14:paraId="65298B28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附件与 AI 辅助解析</w:t>
      </w:r>
    </w:p>
    <w:p w14:paraId="7D5959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用户可以上传与采购有关的 PDF 或图片，例如产品规格书、技术参数说明和供应商报价单。系统应能够利用实际附件内容辅助识别型号、规格、数量、报价、供应商等关键信息，并让用户看出这些信息来自附件，而不是来自正式主数据。</w:t>
      </w:r>
    </w:p>
    <w:p w14:paraId="529B42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附件提取结果仍属于待核实信息。附件成功上传但解析失败时，附件本身不能丢失，用户应能够继续人工补充、重新处理或重新上传。</w:t>
      </w:r>
    </w:p>
    <w:p w14:paraId="18801576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提交与业务控制</w:t>
      </w:r>
    </w:p>
    <w:p w14:paraId="6EADC4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AI 整理出的结果首先处于草稿状态。只有当前用户完成必要信息确认并主动执行最终提交后，系统才能创建正式采购申请。</w:t>
      </w:r>
    </w:p>
    <w:p w14:paraId="737F6B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提交前需要基于后端规则判断关键字段是否完整、数量和日期是否合法、所选物料和供应商当前是否有效、是否仍存在未确认的重要推测、附件是否处于合理状态，以及近期是否存在可能重复的采购需求。发现相似申请时，应提醒并提供参考，而不是仅凭相似度自动禁止提交。</w:t>
      </w:r>
    </w:p>
    <w:p w14:paraId="360E3C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正式提交必须保证幂等。重复点击、网络重试、页面刷新或同一请求被重复发送，都不能造成同一采购需求被创建多次。</w:t>
      </w:r>
    </w:p>
    <w:p w14:paraId="3437F613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会话、持久化与权限</w:t>
      </w:r>
    </w:p>
    <w:p w14:paraId="6FA320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采购人员可能同时处理多条需求，因此每条需求的原始输入、AI 对话、结构化字段、候选项、附件、确认记录和提交状态都需要独立保存。页面刷新或重新进入后，已经形成的草稿关系应能够恢复。</w:t>
      </w:r>
    </w:p>
    <w:p w14:paraId="05557E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如果某次 AI 请求仍在返回过程中，用户已经切换到另一条采购需求，旧请求后续返回的内容不能错误写入当前会话。不同用户之间的采购需求、草稿和附件也需要由后端隔离。</w:t>
      </w:r>
    </w:p>
    <w:p w14:paraId="18C9C2A9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需要正确处理的异常与边界</w:t>
      </w:r>
    </w:p>
    <w:p w14:paraId="119890EE">
      <w:pPr>
        <w:pStyle w:val="16"/>
        <w:keepLines w:val="0"/>
        <w:widowControl/>
        <w:numPr>
          <w:ilvl w:val="0"/>
          <w:numId w:val="9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物料或供应商查询出现超时或失败时，用户原始输入和当前草稿不能丢失，并应允许稍后重试或继续人工补充。</w:t>
      </w:r>
    </w:p>
    <w:p w14:paraId="5DC1A587">
      <w:pPr>
        <w:pStyle w:val="16"/>
        <w:keepLines w:val="0"/>
        <w:widowControl/>
        <w:numPr>
          <w:ilvl w:val="0"/>
          <w:numId w:val="9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附件上传成功但解析失败时，附件仍然保留，且不能导致整条采购流程作废。</w:t>
      </w:r>
    </w:p>
    <w:p w14:paraId="655A65CF">
      <w:pPr>
        <w:pStyle w:val="16"/>
        <w:keepLines w:val="0"/>
        <w:widowControl/>
        <w:numPr>
          <w:ilvl w:val="0"/>
          <w:numId w:val="9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真实模型调用超时、失败或输出异常时，系统应保留用户输入和已确认事实，不应直接清空或写入错误结果。</w:t>
      </w:r>
    </w:p>
    <w:p w14:paraId="75E40A2F">
      <w:pPr>
        <w:pStyle w:val="16"/>
        <w:keepLines w:val="0"/>
        <w:widowControl/>
        <w:numPr>
          <w:ilvl w:val="0"/>
          <w:numId w:val="9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用户连续多次点击提交时，只能创建一张正式采购申请。</w:t>
      </w:r>
    </w:p>
    <w:p w14:paraId="5643FF60">
      <w:pPr>
        <w:pStyle w:val="16"/>
        <w:keepLines w:val="0"/>
        <w:widowControl/>
        <w:numPr>
          <w:ilvl w:val="0"/>
          <w:numId w:val="9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AI 仍在生成时用户切换到另一会话，旧结果不能覆盖新会话。</w:t>
      </w:r>
    </w:p>
    <w:p w14:paraId="0DCBC9A9">
      <w:pPr>
        <w:pStyle w:val="16"/>
        <w:keepLines w:val="0"/>
        <w:widowControl/>
        <w:numPr>
          <w:ilvl w:val="0"/>
          <w:numId w:val="9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历史申请引用的物料或供应商当前已经停用时，应以当前主数据状态为准并要求重新确认。</w:t>
      </w:r>
    </w:p>
    <w:p w14:paraId="32946182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完成后的业务结果</w:t>
      </w:r>
    </w:p>
    <w:p w14:paraId="4CAB68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最终应能够演示一条从模糊采购描述开始，经 AI 追问、附件理解、历史参考、主数据候选确认、人工补充、后端校验和最终提交，形成正式采购申请的完整流程。提交后应进入可恢复的申请详情，能够查看最终内容、原始需求、相关附件以及关键确认与操作记录。</w:t>
      </w:r>
    </w:p>
    <w:p w14:paraId="270529EA">
      <w:pPr>
        <w:keepLines w:val="0"/>
        <w:widowControl/>
      </w:pPr>
      <w:r>
        <w:br w:type="page"/>
      </w:r>
    </w:p>
    <w:p w14:paraId="67424AF0">
      <w:pPr>
        <w:pStyle w:val="3"/>
        <w:keepLines w:val="0"/>
        <w:widowControl/>
      </w:pPr>
      <w:r>
        <w:rPr>
          <w:rFonts w:hint="eastAsia" w:ascii="宋体" w:hAnsi="宋体" w:eastAsia="宋体" w:cs="宋体"/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  <w:t>场景 2  设备故障派修、工程师匹配与流式诊断报告</w:t>
      </w:r>
    </w:p>
    <w:p w14:paraId="2CB148E8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业务背景</w:t>
      </w:r>
    </w:p>
    <w:p w14:paraId="306B11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某工厂拥有大量生产设备。设备发生故障后，值班人员需要尽快安排合适的维修工程师，同时考虑设备类型、故障等级、工程师技能、班次、距离、当前负载以及备件可用情况。</w:t>
      </w:r>
    </w:p>
    <w:p w14:paraId="6C1DCD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当现有资源不足时，系统可以给出调整维修时间窗、安排跨区域工程师、更换可用备件等建议，但这些建议可能改变原工单的重要条件，因此必须由值班人员决定是否接受。与此同时，系统需要生成一份诊断与派修说明，供交接班和事后复盘。</w:t>
      </w:r>
    </w:p>
    <w:p w14:paraId="74A394DC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业务角色</w:t>
      </w:r>
    </w:p>
    <w:p w14:paraId="55F40731">
      <w:pPr>
        <w:pStyle w:val="16"/>
        <w:keepLines w:val="0"/>
        <w:widowControl/>
        <w:numPr>
          <w:ilvl w:val="0"/>
          <w:numId w:val="10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值班员：创建和查看工单、确认或拒绝调整方案、选择维修工程师、查看诊断与派修报告。</w:t>
      </w:r>
    </w:p>
    <w:p w14:paraId="5580512E">
      <w:pPr>
        <w:pStyle w:val="16"/>
        <w:keepLines w:val="0"/>
        <w:widowControl/>
        <w:numPr>
          <w:ilvl w:val="0"/>
          <w:numId w:val="10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维修主管：查看匹配依据、补充或调整工程师候选、查看历史报告与处理结果。</w:t>
      </w:r>
    </w:p>
    <w:p w14:paraId="43A22C53">
      <w:pPr>
        <w:pStyle w:val="16"/>
        <w:keepLines w:val="0"/>
        <w:widowControl/>
        <w:numPr>
          <w:ilvl w:val="0"/>
          <w:numId w:val="10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外部资源服务：提供排班、距离、负载、备件库存等可用于匹配判断的事实信息。</w:t>
      </w:r>
    </w:p>
    <w:p w14:paraId="515F7FF0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业务目标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13C43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3572F394">
            <w:pPr>
              <w:spacing w:after="60" w:line="312" w:lineRule="auto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</w:rPr>
              <w:t>目标闭环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</w:rPr>
              <w:t>打开待派修工单 → 评估工程师与备件资源 → 必要时形成可解释的调整方案 → 用户接受或拒绝 → 执行工程师匹配 → 生成流式诊断与派修报告 → 保存当前结果和历史版本 → 刷新或重新进入后仍可查看。</w:t>
            </w:r>
          </w:p>
        </w:tc>
      </w:tr>
    </w:tbl>
    <w:p w14:paraId="176FFD88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工程师匹配与解释</w:t>
      </w:r>
    </w:p>
    <w:p w14:paraId="5ECE27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系统应根据设备和故障上下文评估可用工程师。匹配结果不仅要给出推荐，还应能够解释技能是否匹配、班次是否可用、距离和区域是否合理、当前负载情况，以及所需备件是否可获得。</w:t>
      </w:r>
    </w:p>
    <w:p w14:paraId="1AF2D0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具体匹配算法由应试者自行设计，但匹配结果必须具有可解释性，不能只返回一个无法说明来源的综合分。维修主管还应能够在业务允许范围内手工补充候选工程师。</w:t>
      </w:r>
    </w:p>
    <w:p w14:paraId="128CB1B9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资源调整与人工确认</w:t>
      </w:r>
    </w:p>
    <w:p w14:paraId="68C4CB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当当前资源无法满足原工单条件时，系统可以提出一个或多个调整方案。方案可以涉及维修时间窗、工程师区域或备件替代等，但任何会改变工单重要条件的内容都不能由系统静默写回。</w:t>
      </w:r>
    </w:p>
    <w:p w14:paraId="2F29E0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只有用户明确接受某个方案后，允许变更的工单字段才能更新，并基于新条件重新执行匹配。用户拒绝方案后，原工单条件必须保持不变。</w:t>
      </w:r>
    </w:p>
    <w:p w14:paraId="6BB08441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诊断与派修报告</w:t>
      </w:r>
    </w:p>
    <w:p w14:paraId="115B21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系统需要使用真实模型生成诊断与派修说明，并以流式方式让前端逐步展示生成内容。生成过程应具备明确的开始、进行中、成功、失败以及取消或重试等状态。</w:t>
      </w:r>
    </w:p>
    <w:p w14:paraId="46F873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诊断报告属于辅助信息，不得把模型生成文本直接当作设备安全操作指令。若报告重新生成，应保存可追溯版本；新的请求与旧请求并发时，晚返回的旧结果不能覆盖已经生成的新版本。</w:t>
      </w:r>
    </w:p>
    <w:p w14:paraId="54DEAD74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状态、版本与持久化</w:t>
      </w:r>
    </w:p>
    <w:p w14:paraId="2583DE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工单应能够明确区分资源评估中、等待人工确认、匹配中、报告生成中、已完成、失败可重试等业务状态。评估、匹配和报告结果都应与当时的工单版本和输入上下文对应，以避免旧请求覆盖新状态。</w:t>
      </w:r>
    </w:p>
    <w:p w14:paraId="7BEF75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历史已关闭工单应展示当时保存的匹配结果和报告，不应因为当前资源发生变化而自动重新计算历史结论。页面刷新、离开详情再返回或关闭浏览器后重新进入时，已经完成的有效结果仍应存在。</w:t>
      </w:r>
    </w:p>
    <w:p w14:paraId="7DD63977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需要正确处理的异常与边界</w:t>
      </w:r>
    </w:p>
    <w:p w14:paraId="2F6DF557">
      <w:pPr>
        <w:pStyle w:val="16"/>
        <w:keepLines w:val="0"/>
        <w:widowControl/>
        <w:numPr>
          <w:ilvl w:val="0"/>
          <w:numId w:val="11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排班或资源服务不可用时，系统需要明确标记资源信息不完整；在业务允许时仍可基于原始工单继续生成辅助诊断报告。</w:t>
      </w:r>
    </w:p>
    <w:p w14:paraId="5DEC1FA1">
      <w:pPr>
        <w:pStyle w:val="16"/>
        <w:keepLines w:val="0"/>
        <w:widowControl/>
        <w:numPr>
          <w:ilvl w:val="0"/>
          <w:numId w:val="11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同一工单短时间连续发起多次报告生成时，如果旧请求晚于新请求返回，旧结果不能覆盖新结果。</w:t>
      </w:r>
    </w:p>
    <w:p w14:paraId="31036EA7">
      <w:pPr>
        <w:pStyle w:val="16"/>
        <w:keepLines w:val="0"/>
        <w:widowControl/>
        <w:numPr>
          <w:ilvl w:val="0"/>
          <w:numId w:val="11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用户重复点击接受同一个调整方案时，不能造成重复修改或重复执行关键业务动作。</w:t>
      </w:r>
    </w:p>
    <w:p w14:paraId="10D7CC68">
      <w:pPr>
        <w:pStyle w:val="16"/>
        <w:keepLines w:val="0"/>
        <w:widowControl/>
        <w:numPr>
          <w:ilvl w:val="0"/>
          <w:numId w:val="11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报告生成过程中用户离开详情页，重新进入后应能够看到正确的任务状态和最终结果。</w:t>
      </w:r>
    </w:p>
    <w:p w14:paraId="55CA937A">
      <w:pPr>
        <w:pStyle w:val="16"/>
        <w:keepLines w:val="0"/>
        <w:widowControl/>
        <w:numPr>
          <w:ilvl w:val="0"/>
          <w:numId w:val="11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备件库存返回空结果时，应视为“当前没有可用备件”而不是系统异常。</w:t>
      </w:r>
    </w:p>
    <w:p w14:paraId="57C71B19">
      <w:pPr>
        <w:pStyle w:val="16"/>
        <w:keepLines w:val="0"/>
        <w:widowControl/>
        <w:numPr>
          <w:ilvl w:val="0"/>
          <w:numId w:val="11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报告生成失败时，不得用空内容覆盖最近一次成功报告。</w:t>
      </w:r>
    </w:p>
    <w:p w14:paraId="1C11C708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完成后的业务结果</w:t>
      </w:r>
    </w:p>
    <w:p w14:paraId="5C7B0A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最终应能够演示一张新工单从资源评估、人工决策、工程师匹配到流式诊断报告的完整流程，并能说明在资源服务失败、重复生成或并发返回等情况下，系统如何保持工单状态和报告版本正确。</w:t>
      </w:r>
    </w:p>
    <w:p w14:paraId="5405BC62">
      <w:pPr>
        <w:keepLines w:val="0"/>
        <w:widowControl/>
      </w:pPr>
      <w:r>
        <w:br w:type="page"/>
      </w:r>
    </w:p>
    <w:p w14:paraId="67E283B4">
      <w:pPr>
        <w:pStyle w:val="3"/>
        <w:keepLines w:val="0"/>
        <w:widowControl/>
      </w:pPr>
      <w:r>
        <w:rPr>
          <w:rFonts w:hint="eastAsia" w:ascii="宋体" w:hAnsi="宋体" w:eastAsia="宋体" w:cs="宋体"/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  <w:t>场景 3  商业物业租赁续约谈判 Agent</w:t>
      </w:r>
    </w:p>
    <w:p w14:paraId="1CCB8353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业务背景</w:t>
      </w:r>
    </w:p>
    <w:p w14:paraId="658101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某商业园区运营公司需要持续处理办公室租赁续约。资产经理会参考当前租金、市场指导价、面积、剩余租期、客户等级、免租期、押金以及最低收益要求，与租户进行多轮谈判。</w:t>
      </w:r>
    </w:p>
    <w:p w14:paraId="76E075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公司希望通过 AI Agent 辅助生成可解释的续约策略、谈判建议和成交概率判断，但所有金额、折扣、收益底线和审批条件都必须由确定性业务规则控制，不能直接采用模型生成的数字。</w:t>
      </w:r>
    </w:p>
    <w:p w14:paraId="32D8CDF0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业务角色</w:t>
      </w:r>
    </w:p>
    <w:p w14:paraId="229C16A7">
      <w:pPr>
        <w:pStyle w:val="16"/>
        <w:keepLines w:val="0"/>
        <w:widowControl/>
        <w:numPr>
          <w:ilvl w:val="0"/>
          <w:numId w:val="12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资产经理：发起续约会话、查看报价方案、录入租户反馈、切换报价策略、确认成交。</w:t>
      </w:r>
    </w:p>
    <w:p w14:paraId="49513C12">
      <w:pPr>
        <w:pStyle w:val="16"/>
        <w:keepLines w:val="0"/>
        <w:widowControl/>
        <w:numPr>
          <w:ilvl w:val="0"/>
          <w:numId w:val="12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招商主管：查看会话摘要、风险与僵局事件，必要时参与审批或业务复核。</w:t>
      </w:r>
    </w:p>
    <w:p w14:paraId="6C4E3820">
      <w:pPr>
        <w:pStyle w:val="16"/>
        <w:keepLines w:val="0"/>
        <w:widowControl/>
        <w:numPr>
          <w:ilvl w:val="0"/>
          <w:numId w:val="12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租户：不直接登录系统，租户反馈由资产经理录入，或由系统提供的对话方式模拟。</w:t>
      </w:r>
    </w:p>
    <w:p w14:paraId="60494D23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业务目标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3DEDD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474B2DD4">
            <w:pPr>
              <w:spacing w:after="60" w:line="312" w:lineRule="auto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</w:rPr>
              <w:t>目标闭环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</w:rPr>
              <w:t>初始化续约会话 → 基于合同、市场和规则生成多套可执行报价方案 → Agent 解释策略 → 资产经理录入租户反馈 → 进行多轮建议与预测 → 必要时切换报价版本 → 达成一致后由用户确认 → 写入续约结果或进入审批；无法收敛时形成僵局事件。</w:t>
            </w:r>
          </w:p>
        </w:tc>
      </w:tr>
    </w:tbl>
    <w:p w14:paraId="234DC983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确定性报价与规则控制</w:t>
      </w:r>
    </w:p>
    <w:p w14:paraId="524DEE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系统需要基于合同事实、市场指导价和规则配置形成至少三种不同策略方向的续约方案，例如保守、目标和激进方案。方案应能够解释年租金、折扣、免租期、押金变化、预期收益、是否触碰底线及相应风险依据。</w:t>
      </w:r>
    </w:p>
    <w:p w14:paraId="2534A5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所有金额、折扣、利润、收益率、底线和审批阈值必须由确定性程序计算和校验。模型可以解释方案、提出谈判策略或总结反馈，但不能自行决定真实报价数字。</w:t>
      </w:r>
    </w:p>
    <w:p w14:paraId="4612EB67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Agent 多轮谈判</w:t>
      </w:r>
    </w:p>
    <w:p w14:paraId="0AC6C9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续约会话应支持多轮租户反馈。Agent 使用真实模型理解反馈、给出下一步谈判建议、说明风险并形成成交概率或趋势判断。模型输出需要经过结构化约束和业务校验，不能因为模型返回格式异常就直接把原始文本当作可执行业务结果。</w:t>
      </w:r>
    </w:p>
    <w:p w14:paraId="60AC88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用户可以在谈判过程中切换报价版本。历史轮次必须能够解释当时使用的是哪一版合同输入、市场数据、规则版本、报价版本和模型版本，不能因为后续规则变化而静默改写历史结论。</w:t>
      </w:r>
    </w:p>
    <w:p w14:paraId="114C7E1C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成交确认、审批与僵局</w:t>
      </w:r>
    </w:p>
    <w:p w14:paraId="0D4CA2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最终成交必须由资产经理明确确认。如果最终条件超出公司设定的审批阈值，应进入待审批状态，而不是直接生效。重复确认成交不能重复创建续约记录或重复触发审批。</w:t>
      </w:r>
    </w:p>
    <w:p w14:paraId="6A61EC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系统应能够根据连续多轮偏离底线、租户明确拒绝、超过合理谈判轮次等情况形成僵局事件。僵局用于提醒和复盘，不应由系统自动对外发送承诺或修改合同。</w:t>
      </w:r>
    </w:p>
    <w:p w14:paraId="5BA21BD3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需要正确处理的异常与边界</w:t>
      </w:r>
    </w:p>
    <w:p w14:paraId="2D26F86D">
      <w:pPr>
        <w:pStyle w:val="16"/>
        <w:keepLines w:val="0"/>
        <w:widowControl/>
        <w:numPr>
          <w:ilvl w:val="0"/>
          <w:numId w:val="13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市场指导价缺失时，系统不能伪造市场事实，应明确提示数据缺口，并按照可用规则决定后续可执行范围。</w:t>
      </w:r>
    </w:p>
    <w:p w14:paraId="1C220117">
      <w:pPr>
        <w:pStyle w:val="16"/>
        <w:keepLines w:val="0"/>
        <w:widowControl/>
        <w:numPr>
          <w:ilvl w:val="0"/>
          <w:numId w:val="13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真实模型返回非法字段、非结构化文本或无法解析内容时，系统仍应保留确定性报价结果和安全的下一步，而不是直接报错或执行原始文本。</w:t>
      </w:r>
    </w:p>
    <w:p w14:paraId="78B16645">
      <w:pPr>
        <w:pStyle w:val="16"/>
        <w:keepLines w:val="0"/>
        <w:widowControl/>
        <w:numPr>
          <w:ilvl w:val="0"/>
          <w:numId w:val="13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用户切换报价版本后查看旧轮次时，历史内容应与原版本保持一致。</w:t>
      </w:r>
    </w:p>
    <w:p w14:paraId="38751816">
      <w:pPr>
        <w:pStyle w:val="16"/>
        <w:keepLines w:val="0"/>
        <w:widowControl/>
        <w:numPr>
          <w:ilvl w:val="0"/>
          <w:numId w:val="13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重复成交确认时不能重复创建续约记录或重复进入审批。</w:t>
      </w:r>
    </w:p>
    <w:p w14:paraId="2FB2BA87">
      <w:pPr>
        <w:pStyle w:val="16"/>
        <w:keepLines w:val="0"/>
        <w:widowControl/>
        <w:numPr>
          <w:ilvl w:val="0"/>
          <w:numId w:val="13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会话进行中规则被更新时，当前会话和历史轮次需要能够说明各自使用的规则版本；新规则不得静默重写旧结果。</w:t>
      </w:r>
    </w:p>
    <w:p w14:paraId="139BCAAF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完成后的业务结果</w:t>
      </w:r>
    </w:p>
    <w:p w14:paraId="20FBB7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最终应能够演示至少一段具有多轮反馈的续约谈判，从规则生成报价、Agent 给出策略、租户反馈、报价版本切换、趋势判断，到最终成交确认、进入审批或形成僵局。系统需要清楚体现“模型建议”和“确定性报价/审批规则”之间的边界。</w:t>
      </w:r>
    </w:p>
    <w:p w14:paraId="38DABEA3">
      <w:pPr>
        <w:keepLines w:val="0"/>
        <w:widowControl/>
      </w:pPr>
      <w:r>
        <w:br w:type="page"/>
      </w:r>
    </w:p>
    <w:p w14:paraId="7AD8FFC0">
      <w:pPr>
        <w:pStyle w:val="3"/>
        <w:keepLines w:val="0"/>
        <w:widowControl/>
      </w:pPr>
      <w:r>
        <w:rPr>
          <w:rFonts w:hint="eastAsia" w:ascii="宋体" w:hAnsi="宋体" w:eastAsia="宋体" w:cs="宋体"/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  <w:t>场景 4  在线培训课程音视频智能化：转写、学习纪要、行动项与模板</w:t>
      </w:r>
    </w:p>
    <w:p w14:paraId="6A5DCDAA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业务背景</w:t>
      </w:r>
    </w:p>
    <w:p w14:paraId="050F9E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某企业大学每周会举办大量内部培训。课程管理员上传课堂录音或录屏后，希望系统能够完成转写，并按时间片段和发言人展示内容，同时生成学习纪要、知识点、课后行动项和课程问答。</w:t>
      </w:r>
    </w:p>
    <w:p w14:paraId="1FD677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不同课程类型需要使用不同的纪要模板，讲师还需要维护自己的个性化模板。平台管理员则负责维护通用模板、术语词表和使用记录。</w:t>
      </w:r>
    </w:p>
    <w:p w14:paraId="001AB4FE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业务角色</w:t>
      </w:r>
    </w:p>
    <w:p w14:paraId="0F49E015">
      <w:pPr>
        <w:pStyle w:val="16"/>
        <w:keepLines w:val="0"/>
        <w:widowControl/>
        <w:numPr>
          <w:ilvl w:val="0"/>
          <w:numId w:val="14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课程管理员：创建课程、上传媒体、发起转写与分析、查看结果并确认行动项。</w:t>
      </w:r>
    </w:p>
    <w:p w14:paraId="76D29086">
      <w:pPr>
        <w:pStyle w:val="16"/>
        <w:keepLines w:val="0"/>
        <w:widowControl/>
        <w:numPr>
          <w:ilvl w:val="0"/>
          <w:numId w:val="14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讲师：查看自己负责的课程、修正转写内容、使用和维护自己的模板。</w:t>
      </w:r>
    </w:p>
    <w:p w14:paraId="38EED3E5">
      <w:pPr>
        <w:pStyle w:val="16"/>
        <w:keepLines w:val="0"/>
        <w:widowControl/>
        <w:numPr>
          <w:ilvl w:val="0"/>
          <w:numId w:val="14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平台管理员：维护通用模板、术语词表以及必要的使用与审计信息。</w:t>
      </w:r>
    </w:p>
    <w:p w14:paraId="793E6239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业务目标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A2C9B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1AE44AFB">
            <w:pPr>
              <w:spacing w:after="60" w:line="312" w:lineRule="auto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</w:rPr>
              <w:t>目标闭环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</w:rPr>
              <w:t>创建课程 → 上传实际音频或视频 → 完成转写 → 查看并人工修正片段与说话人 → 选择有效模板 → 生成学习纪要、知识点、行动项或问答 → 用户确认行动项 → 保存分析结果及当时使用的模板快照。</w:t>
            </w:r>
          </w:p>
        </w:tc>
      </w:tr>
    </w:tbl>
    <w:p w14:paraId="2D727C43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媒体、转写与人工修正</w:t>
      </w:r>
    </w:p>
    <w:p w14:paraId="213626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系统需要处理真实媒体文件，并将转写任务与后续 AI 分析任务作为两个独立状态管理。转写结果应能够按照时间片段展示，并允许用户修正文本或发言人。已经产生的人工修正应能够记录最后修改人和修改时间，或保留更完整的编辑历史。</w:t>
      </w:r>
    </w:p>
    <w:p w14:paraId="42DB5B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页面刷新、关闭浏览器后重新进入或长任务尚未结束时，系统都应能够恢复正确的任务状态。转写能力不能仅通过预设固定文本代替实际媒体处理结果。</w:t>
      </w:r>
    </w:p>
    <w:p w14:paraId="32B9B637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AI 学习分析</w:t>
      </w:r>
    </w:p>
    <w:p w14:paraId="145BE1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基于转写内容，系统应使用真实模型生成与学习相关的结构化结果，包括学习摘要、知识点、课后行动项、课程问答等。应至少形成能够体现课程价值的多类结果，并允许用户清楚区分原始转写、人工修正内容和 AI 生成内容。</w:t>
      </w:r>
    </w:p>
    <w:p w14:paraId="22DC5E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重复发起同一次分析时，不应无控制地产生重复纪要或重复行动项。分析失败也不能覆盖已经成功保存的有效结果。</w:t>
      </w:r>
    </w:p>
    <w:p w14:paraId="4D0E9DFF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模板与术语管理</w:t>
      </w:r>
    </w:p>
    <w:p w14:paraId="7C363E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平台需要存在通用模板和讲师个人模板。平台管理员能够维护通用模板，讲师只能管理自己的个人模板，不能读取或修改其他讲师的私有模板。</w:t>
      </w:r>
    </w:p>
    <w:p w14:paraId="355E1D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使用模板生成分析结果时，应保存当时实际使用的模板快照。若模板之后被修改或停用，历史纪要不能被静默改变。若用户打开页面后模板在后台被停用，最终提交时后端需要拒绝继续使用该模板并提示重新选择。</w:t>
      </w:r>
    </w:p>
    <w:p w14:paraId="7532D5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系统还应体现术语词表或替换词机制，使专业词汇能够影响后续转写或内容处理。词表更新后可以影响新生成结果，但不能无提示地改写既有历史结果。</w:t>
      </w:r>
    </w:p>
    <w:p w14:paraId="5512382A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行动项确认</w:t>
      </w:r>
    </w:p>
    <w:p w14:paraId="657A92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AI 生成的课后行动项只能先作为候选。用户需要能够确认或拒绝候选行动项，只有经过确认后才能进入正式已创建状态或触发后续通知。系统不能因为模型生成了行动项就直接对外执行。</w:t>
      </w:r>
    </w:p>
    <w:p w14:paraId="794525F7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需要正确处理的异常与边界</w:t>
      </w:r>
    </w:p>
    <w:p w14:paraId="22CFE1E3">
      <w:pPr>
        <w:pStyle w:val="16"/>
        <w:keepLines w:val="0"/>
        <w:widowControl/>
        <w:numPr>
          <w:ilvl w:val="0"/>
          <w:numId w:val="15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上传空文件、损坏媒体或无法处理的文件时，应给出明确失败状态，不得进入伪成功。</w:t>
      </w:r>
    </w:p>
    <w:p w14:paraId="3C50CE3E">
      <w:pPr>
        <w:pStyle w:val="16"/>
        <w:keepLines w:val="0"/>
        <w:widowControl/>
        <w:numPr>
          <w:ilvl w:val="0"/>
          <w:numId w:val="15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转写已经成功但 AI 分析失败时，转写结果必须保留，并允许稍后重试分析。</w:t>
      </w:r>
    </w:p>
    <w:p w14:paraId="6C1D3312">
      <w:pPr>
        <w:pStyle w:val="16"/>
        <w:keepLines w:val="0"/>
        <w:widowControl/>
        <w:numPr>
          <w:ilvl w:val="0"/>
          <w:numId w:val="15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用户刷新页面或关闭浏览器后重新进入时，长任务状态和已经完成的结果需要恢复。</w:t>
      </w:r>
    </w:p>
    <w:p w14:paraId="19236038">
      <w:pPr>
        <w:pStyle w:val="16"/>
        <w:keepLines w:val="0"/>
        <w:widowControl/>
        <w:numPr>
          <w:ilvl w:val="0"/>
          <w:numId w:val="15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管理员在用户已经选择模板后将模板停用，最终提交必须由后端重新校验并阻止继续使用。</w:t>
      </w:r>
    </w:p>
    <w:p w14:paraId="060B046A">
      <w:pPr>
        <w:pStyle w:val="16"/>
        <w:keepLines w:val="0"/>
        <w:widowControl/>
        <w:numPr>
          <w:ilvl w:val="0"/>
          <w:numId w:val="15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术语词表更新后重新生成可以产生新版本，但历史纪要与历史转写不得被静默重写。</w:t>
      </w:r>
    </w:p>
    <w:p w14:paraId="67974E98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完成后的业务结果</w:t>
      </w:r>
    </w:p>
    <w:p w14:paraId="376303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最终应能够从创建课程和上传媒体开始，完成实际转写、人工修正、基于模板的 AI 分析以及行动项人工确认，并能够从管理员和讲师两个角色看到正确的模板权限、历史结果和任务状态。</w:t>
      </w:r>
    </w:p>
    <w:p w14:paraId="6678C1BE">
      <w:pPr>
        <w:keepLines w:val="0"/>
        <w:widowControl/>
      </w:pPr>
      <w:r>
        <w:br w:type="page"/>
      </w:r>
    </w:p>
    <w:p w14:paraId="7FA575A0">
      <w:pPr>
        <w:pStyle w:val="3"/>
        <w:keepLines w:val="0"/>
        <w:widowControl/>
      </w:pPr>
      <w:r>
        <w:rPr>
          <w:rFonts w:hint="eastAsia" w:ascii="宋体" w:hAnsi="宋体" w:eastAsia="宋体" w:cs="宋体"/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  <w:t>场景 5  电商售后异常、服务工单与通知闭环</w:t>
      </w:r>
    </w:p>
    <w:p w14:paraId="0A721475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业务背景</w:t>
      </w:r>
    </w:p>
    <w:p w14:paraId="1E4891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某电商平台需要处理高价值退款、退货超时、重复投诉、异常签收等售后风险事件。规则或 AI 可以识别出高风险事件，但真正的退款、补发、关闭投诉等业务动作必须由客服或主管按照权限处理。</w:t>
      </w:r>
    </w:p>
    <w:p w14:paraId="11C117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平台还需要把部分任务交给供应商或仓库协同人处理，并通过受控公开链接提供最小必要信息；同时可以向符合组织规则的接收人发送提醒。任何公开访问和消息通知都必须避免越权和重复执行。</w:t>
      </w:r>
    </w:p>
    <w:p w14:paraId="34ABBD63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业务角色</w:t>
      </w:r>
    </w:p>
    <w:p w14:paraId="05B541C8">
      <w:pPr>
        <w:pStyle w:val="16"/>
        <w:keepLines w:val="0"/>
        <w:widowControl/>
        <w:numPr>
          <w:ilvl w:val="0"/>
          <w:numId w:val="16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客服专员：处理售后工单、记录进展、标记误报、解决或升级。</w:t>
      </w:r>
    </w:p>
    <w:p w14:paraId="77440088">
      <w:pPr>
        <w:pStyle w:val="16"/>
        <w:keepLines w:val="0"/>
        <w:widowControl/>
        <w:numPr>
          <w:ilvl w:val="0"/>
          <w:numId w:val="16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客服主管：重新分派、确认高风险业务动作、查看关键过程与审计记录。</w:t>
      </w:r>
    </w:p>
    <w:p w14:paraId="67FF406C">
      <w:pPr>
        <w:pStyle w:val="16"/>
        <w:keepLines w:val="0"/>
        <w:widowControl/>
        <w:numPr>
          <w:ilvl w:val="0"/>
          <w:numId w:val="16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供应商或仓库协同人：仅通过受控公开链接处理被分配给自己的最小协同任务。</w:t>
      </w:r>
    </w:p>
    <w:p w14:paraId="3DF8176B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业务目标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8D56E3E">
        <w:trPr>
          <w:jc w:val="center"/>
        </w:trPr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0F3AC67F">
            <w:pPr>
              <w:spacing w:after="60" w:line="312" w:lineRule="auto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</w:rPr>
              <w:t>目标闭环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</w:rPr>
              <w:t>风险事件出现 → 形成售后工单 → 分派负责人和协同人 → 必要时生成受控公开处理链接并发送通知 → 协同人处理 → 客服更新进展 → 主管查看过程与结果 → 最终解决、误报或升级，所有关键变化均可追溯。</w:t>
            </w:r>
          </w:p>
        </w:tc>
      </w:tr>
    </w:tbl>
    <w:p w14:paraId="0229C8DE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售后状态与工单分派</w:t>
      </w:r>
    </w:p>
    <w:p w14:paraId="2FBF6E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系统需要让客服能够查看异常事件、工单详情、处理记录和当前责任人，并按照合法状态路径完成误报、解决、升级、高风险确认等业务流转。</w:t>
      </w:r>
    </w:p>
    <w:p w14:paraId="564BD7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工单应支持负责人、协同人、截止时间、优先级等信息。负责人离职或账号停用时，工单需要能够重新分派，历史处理记录不能被覆盖。重复触发同一个等价风险事件时，不应重复创建多条等价工单。</w:t>
      </w:r>
    </w:p>
    <w:p w14:paraId="0FD3BFFE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受控公开处理链接</w:t>
      </w:r>
    </w:p>
    <w:p w14:paraId="7D2011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当供应商或仓库需要协同处理时，系统可以生成公开处理链接。链接只能暴露完成当前任务所必需的最小字段，不得暴露后台订单的完整信息。</w:t>
      </w:r>
    </w:p>
    <w:p w14:paraId="0550E0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公开访问凭证需要具备足够随机性，并且可过期、可撤销、绑定具体任务和具体权限。协同人不能通过修改任务标识、链接参数或访问凭证查看未分配给自己的任务。</w:t>
      </w:r>
    </w:p>
    <w:p w14:paraId="08224ABD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通知与白名单控制</w:t>
      </w:r>
    </w:p>
    <w:p w14:paraId="52A004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系统可以通过企业消息能力发送提醒，但发送前必须校验接收人是否符合白名单或组织授权规则。每次发送应保存请求、结果、失败原因和必要的重试信息。</w:t>
      </w:r>
    </w:p>
    <w:p w14:paraId="52F958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消息超时意味着结果未知时，页面不能直接显示发送成功；重复点击提醒或进行网络重试时，也不能对已经确认成功的消息重复发送。</w:t>
      </w:r>
    </w:p>
    <w:p w14:paraId="00DD2BE6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资金动作与人工审批</w:t>
      </w:r>
    </w:p>
    <w:p w14:paraId="7CA32B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高额退款、补发等具有资金或高风险影响的动作，只需实现候选建议、确认或审批流程，不要求接入真实支付系统。系统不得因为规则或 AI 识别出风险就直接执行资金动作。</w:t>
      </w:r>
    </w:p>
    <w:p w14:paraId="4D088675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审计与持久化</w:t>
      </w:r>
    </w:p>
    <w:p w14:paraId="43F38E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工单状态变化、任务分派、公开链接生成或撤销、协同处理结果、通知发送等关键动作都需要由后端持久化，并记录操作者、时间和必要原因。公开页提交的处理结果需要能够在后台刷新后看到，不能只存在于前端本地状态。</w:t>
      </w:r>
    </w:p>
    <w:p w14:paraId="32C0EFEA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需要正确处理的异常与边界</w:t>
      </w:r>
    </w:p>
    <w:p w14:paraId="599F757A">
      <w:pPr>
        <w:pStyle w:val="16"/>
        <w:keepLines w:val="0"/>
        <w:widowControl/>
        <w:numPr>
          <w:ilvl w:val="0"/>
          <w:numId w:val="17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消息发送发生超时且最终状态未知时，系统不能伪装为发送成功，并需要支持安全重试。</w:t>
      </w:r>
    </w:p>
    <w:p w14:paraId="5D9A0BBF">
      <w:pPr>
        <w:pStyle w:val="16"/>
        <w:keepLines w:val="0"/>
        <w:widowControl/>
        <w:numPr>
          <w:ilvl w:val="0"/>
          <w:numId w:val="17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公开访问凭证被修改、过期或撤销时，应拒绝访问且不泄露其他任务信息。</w:t>
      </w:r>
    </w:p>
    <w:p w14:paraId="0348A6F9">
      <w:pPr>
        <w:pStyle w:val="16"/>
        <w:keepLines w:val="0"/>
        <w:widowControl/>
        <w:numPr>
          <w:ilvl w:val="0"/>
          <w:numId w:val="17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用户重复点击“发送提醒”时，不能对同一成功消息重复发送。</w:t>
      </w:r>
    </w:p>
    <w:p w14:paraId="6D98A92D">
      <w:pPr>
        <w:pStyle w:val="16"/>
        <w:keepLines w:val="0"/>
        <w:widowControl/>
        <w:numPr>
          <w:ilvl w:val="0"/>
          <w:numId w:val="17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负责人账号被停用后，未完成工单应能够转交新的负责人。</w:t>
      </w:r>
    </w:p>
    <w:p w14:paraId="3DEAA249">
      <w:pPr>
        <w:pStyle w:val="16"/>
        <w:keepLines w:val="0"/>
        <w:widowControl/>
        <w:numPr>
          <w:ilvl w:val="0"/>
          <w:numId w:val="17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协同人尝试访问未分配任务时，必须由后端拒绝。</w:t>
      </w:r>
    </w:p>
    <w:p w14:paraId="29232BD9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完成后的业务结果</w:t>
      </w:r>
    </w:p>
    <w:p w14:paraId="0666DB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最终应能够演示一次风险事件形成工单、完成分派、通过受控公开页面协同处理、后台跟踪结果并最终解决或升级的完整流程，同时能够说明公开访问安全、消息幂等和状态审计如何保证业务不会越权或重复执行。</w:t>
      </w:r>
    </w:p>
    <w:p w14:paraId="0D92B759">
      <w:pPr>
        <w:keepLines w:val="0"/>
        <w:widowControl/>
      </w:pPr>
      <w:r>
        <w:br w:type="page"/>
      </w:r>
    </w:p>
    <w:p w14:paraId="6B8B4868">
      <w:pPr>
        <w:pStyle w:val="3"/>
        <w:keepLines w:val="0"/>
        <w:widowControl/>
      </w:pPr>
      <w:r>
        <w:rPr>
          <w:rFonts w:hint="eastAsia" w:ascii="宋体" w:hAnsi="宋体" w:eastAsia="宋体" w:cs="宋体"/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  <w:t>场景 6  软件交付 AI 助手的反馈、Trace 与知识库问答</w:t>
      </w:r>
    </w:p>
    <w:p w14:paraId="27EC205B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业务背景</w:t>
      </w:r>
    </w:p>
    <w:p w14:paraId="320ABE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某软件公司为研发团队提供 AI 助手，用于生成发布说明、提供故障排查建议以及总结代码变更风险。上线后，研发用户可能反馈“答案不对”“引用了过期流程”“敏感 token 被写进 Trace”等问题。</w:t>
      </w:r>
    </w:p>
    <w:p w14:paraId="1C9FDD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平台团队希望每一次 AI 回答都能够被追踪：知道使用了什么模型、什么提示词版本、什么检索证据、发生了哪类错误，并能够把用户反馈与具体 Trace 关联起来进行定位和闭环处理。同时，知识库问答需要基于发布规范、应急 Runbook 和开发规约等真实文档提供带引用的答案。</w:t>
      </w:r>
    </w:p>
    <w:p w14:paraId="253A02F2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业务角色</w:t>
      </w:r>
    </w:p>
    <w:p w14:paraId="0627EE35">
      <w:pPr>
        <w:pStyle w:val="16"/>
        <w:keepLines w:val="0"/>
        <w:widowControl/>
        <w:numPr>
          <w:ilvl w:val="0"/>
          <w:numId w:val="18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研发用户：使用 AI 助手、查看回答来源、提交质量反馈并查看自己的反馈状态。</w:t>
      </w:r>
    </w:p>
    <w:p w14:paraId="0B9FE401">
      <w:pPr>
        <w:pStyle w:val="16"/>
        <w:keepLines w:val="0"/>
        <w:widowControl/>
        <w:numPr>
          <w:ilvl w:val="0"/>
          <w:numId w:val="18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AI 平台运营：查看完整 Trace、领取和处理反馈、维护知识库内容。</w:t>
      </w:r>
    </w:p>
    <w:p w14:paraId="1491F2E2">
      <w:pPr>
        <w:pStyle w:val="16"/>
        <w:keepLines w:val="0"/>
        <w:widowControl/>
        <w:numPr>
          <w:ilvl w:val="0"/>
          <w:numId w:val="18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安全管理角色：维护或验证敏感信息处理规则，保证 Trace 与日志不泄露不必要的敏感内容。</w:t>
      </w:r>
    </w:p>
    <w:p w14:paraId="2EC3CB46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业务目标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1AD9C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3320095B">
            <w:pPr>
              <w:spacing w:after="60" w:line="312" w:lineRule="auto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</w:rPr>
              <w:t>目标闭环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</w:rPr>
              <w:t>用户发起 AI 请求 → 后端创建可追踪的 trace 标识 → 检索知识、调用真实模型并处理输出 → 返回结果与引用 → 用户提交反馈 → 运营人员通过 Trace 定位模型、提示词、检索或结构化处理问题 → 调整后重新验证并关闭反馈。</w:t>
            </w:r>
          </w:p>
        </w:tc>
      </w:tr>
    </w:tbl>
    <w:p w14:paraId="253E866A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AI Trace</w:t>
      </w:r>
    </w:p>
    <w:p w14:paraId="508398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每一次 AI 请求需要形成统一 Trace，并能够记录足以复盘的关键信息，例如业务场景、用户、业务对象、模型、提示词版本、检索摘要、耗时、状态、错误类型以及时间信息。Trace 标识应贯穿前端请求、后端编排、知识检索、模型调用和最终响应。</w:t>
      </w:r>
    </w:p>
    <w:p w14:paraId="5FBC94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普通研发用户只能访问与自己业务相关的 Trace 摘要和反馈；运营角色才能查看更完整的诊断信息。提示词版本必须是实际可查询字段，而不是只存在于代码注释中。历史 Trace 即使缺少新版本字段，查询页面也应能够安全展示而不是因为单条坏记录导致整体不可用。</w:t>
      </w:r>
    </w:p>
    <w:p w14:paraId="418085BB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RAG 知识库问答</w:t>
      </w:r>
    </w:p>
    <w:p w14:paraId="538833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系统需要基于应试者自行准备的真实 Markdown、PDF 或其他文档建立最小可运行知识库。问答过程需要完成文档导入、内容切分、检索、真实模型生成以及来源引用。</w:t>
      </w:r>
    </w:p>
    <w:p w14:paraId="69DC6D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回答中的引用至少需要让用户知道来源文档和对应片段。检索证据不足时，应明确回答未找到充分依据，而不是由模型自行编造流程或规则。</w:t>
      </w:r>
    </w:p>
    <w:p w14:paraId="7823BC44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反馈闭环</w:t>
      </w:r>
    </w:p>
    <w:p w14:paraId="196BD9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研发用户能够针对某次 AI 回答提交质量反馈。运营人员应能够筛选反馈、领取处理、记录处理结论，并将反馈推进到关闭或驳回等合理状态。重复关闭同一反馈不能产生重复业务动作。</w:t>
      </w:r>
    </w:p>
    <w:p w14:paraId="4A74D8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反馈处理过程需要保留操作者和时间，并能够从反馈反查对应 Trace，从 Trace 继续定位模型、提示词、检索证据和错误环节。</w:t>
      </w:r>
    </w:p>
    <w:p w14:paraId="20CFE14D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敏感信息与错误分类</w:t>
      </w:r>
    </w:p>
    <w:p w14:paraId="2F34C4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Trace 和日志可能包含 API Key、访问令牌、手机号、邮箱等敏感信息。系统需要在持久化或展示前进行脱敏或最小化，不能把用户输入中的敏感值原样长期保存在可查看 Trace 中。</w:t>
      </w:r>
    </w:p>
    <w:p w14:paraId="39FC2E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错误不能统一表现为一个笼统的系统异常。系统需要能够区分模型不可用、知识检索无命中、模型输出无法解析、权限不足和内部异常等不同类型，使用户和运营人员知道问题发生在哪一层。</w:t>
      </w:r>
    </w:p>
    <w:p w14:paraId="0FACFD4C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需要正确处理的异常与边界</w:t>
      </w:r>
    </w:p>
    <w:p w14:paraId="331ED5DA">
      <w:pPr>
        <w:pStyle w:val="16"/>
        <w:keepLines w:val="0"/>
        <w:widowControl/>
        <w:numPr>
          <w:ilvl w:val="0"/>
          <w:numId w:val="18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真实模型调用超时时，Trace 需要记录正确状态和错误类型，用户应得到可理解反馈。</w:t>
      </w:r>
    </w:p>
    <w:p w14:paraId="3AAFFC50">
      <w:pPr>
        <w:pStyle w:val="16"/>
        <w:keepLines w:val="0"/>
        <w:widowControl/>
        <w:numPr>
          <w:ilvl w:val="0"/>
          <w:numId w:val="18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知识检索没有返回有效证据时，系统应明确无充分依据，不得编造答案。</w:t>
      </w:r>
    </w:p>
    <w:p w14:paraId="35171124">
      <w:pPr>
        <w:pStyle w:val="16"/>
        <w:keepLines w:val="0"/>
        <w:widowControl/>
        <w:numPr>
          <w:ilvl w:val="0"/>
          <w:numId w:val="18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模型返回无法解析的结构化内容时，系统应记录结构化处理失败，并提供安全的失败结果。</w:t>
      </w:r>
    </w:p>
    <w:p w14:paraId="2C0396F1">
      <w:pPr>
        <w:pStyle w:val="16"/>
        <w:keepLines w:val="0"/>
        <w:widowControl/>
        <w:numPr>
          <w:ilvl w:val="0"/>
          <w:numId w:val="18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用户输入中包含 API token 等敏感字段时，Trace 与日志展示应完成脱敏。</w:t>
      </w:r>
    </w:p>
    <w:p w14:paraId="05C0F28A">
      <w:pPr>
        <w:pStyle w:val="16"/>
        <w:keepLines w:val="0"/>
        <w:widowControl/>
        <w:numPr>
          <w:ilvl w:val="0"/>
          <w:numId w:val="18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历史 Trace 缺少新版本字段时，查询和列表应能够兼容，不得因单条记录导致整体失败。</w:t>
      </w:r>
    </w:p>
    <w:p w14:paraId="22B7CA6B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完成后的业务结果</w:t>
      </w:r>
    </w:p>
    <w:p w14:paraId="21C6E7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最终应能够演示一次真实 AI 请求从知识检索、模型生成、引用展示到 Trace 查询，再由用户提交反馈、运营人员定位问题、调整知识或提示词后重新验证并关闭反馈的完整流程。</w:t>
      </w:r>
    </w:p>
    <w:p w14:paraId="70EB1D51">
      <w:pPr>
        <w:keepLines w:val="0"/>
        <w:widowControl/>
      </w:pPr>
      <w:r>
        <w:br w:type="page"/>
      </w:r>
    </w:p>
    <w:p w14:paraId="29A5EA42">
      <w:pPr>
        <w:pStyle w:val="3"/>
        <w:keepLines w:val="0"/>
        <w:widowControl/>
      </w:pPr>
      <w:r>
        <w:rPr>
          <w:rFonts w:hint="eastAsia" w:ascii="宋体" w:hAnsi="宋体" w:eastAsia="宋体" w:cs="宋体"/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  <w:t>场景 7  连锁门店经营工作台、巡检日报周报与上线应急</w:t>
      </w:r>
    </w:p>
    <w:p w14:paraId="34643B5E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业务背景</w:t>
      </w:r>
    </w:p>
    <w:p w14:paraId="6FD127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某连锁零售企业拥有大量门店，希望为区域经理提供经营工作台，用于查看销售、库存异常、缺货、客诉、门店巡检以及天气影响等信息。运营总部同时需要维护每日或每周巡检报告的生成日程、模板、告警阈值和数据保留策略。</w:t>
      </w:r>
    </w:p>
    <w:p w14:paraId="4E0C5C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上线过程中，部分外部数据源可能不稳定，移动端也可能出现长表格、复杂筛选、返回流程等适配问题。系统需要在局部数据失败时仍保持整体可用，并让用户清楚知道哪些数据来自哪里、何时更新以及当前是否降级。</w:t>
      </w:r>
    </w:p>
    <w:p w14:paraId="7984AE17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业务角色</w:t>
      </w:r>
    </w:p>
    <w:p w14:paraId="6F1CA5F6">
      <w:pPr>
        <w:pStyle w:val="16"/>
        <w:keepLines w:val="0"/>
        <w:widowControl/>
        <w:numPr>
          <w:ilvl w:val="0"/>
          <w:numId w:val="19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区域经理：查看自己授权区域的门店经营指标、异常和巡检情况。</w:t>
      </w:r>
    </w:p>
    <w:p w14:paraId="39202BFE">
      <w:pPr>
        <w:pStyle w:val="16"/>
        <w:keepLines w:val="0"/>
        <w:widowControl/>
        <w:numPr>
          <w:ilvl w:val="0"/>
          <w:numId w:val="19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运营管理员：维护报告日程、模板、阈值和数据保留策略。</w:t>
      </w:r>
    </w:p>
    <w:p w14:paraId="1ED89004">
      <w:pPr>
        <w:pStyle w:val="16"/>
        <w:keepLines w:val="0"/>
        <w:widowControl/>
        <w:numPr>
          <w:ilvl w:val="0"/>
          <w:numId w:val="19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技术负责人视角：需要能够说明系统上线后的发现、止损、降级、回滚、验证和复盘方案。</w:t>
      </w:r>
    </w:p>
    <w:p w14:paraId="702D6120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业务目标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D5CCD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40733B5B">
            <w:pPr>
              <w:spacing w:after="60" w:line="312" w:lineRule="auto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</w:rPr>
              <w:t>目标闭环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</w:rPr>
              <w:t>区域经理进入经营工作台 → 并行获取多个业务数据源 → 查看指标、异常与数据新鲜度 → 进入门店详情；运营管理员进入配置后台 → 修改报告日程、模板、阈值或保留策略 → 后端校验并持久化 → 查看配置效果；数据源或发布出现异常时，系统能够降级、回滚或保持只读可用。</w:t>
            </w:r>
          </w:p>
        </w:tc>
      </w:tr>
    </w:tbl>
    <w:p w14:paraId="5856B19D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经营工作台</w:t>
      </w:r>
    </w:p>
    <w:p w14:paraId="148314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工作台需要能够展示核心经营指标、门店列表、库存或缺货异常、客诉和巡检异常，并至少结合一个外部信息维度，例如天气。每个数据区域都需要有合理的加载、空数据、错误和无权限状态。</w:t>
      </w:r>
    </w:p>
    <w:p w14:paraId="6364B7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经营数据必须来自可验证的后端数据链路，并显示来源和更新时间。某个数据源失败时，不能用静态“看起来合理”的数字替代，也不能让整个工作台完全不可用；应明确标记失败来源、最后更新时间和当前降级状态。</w:t>
      </w:r>
    </w:p>
    <w:p w14:paraId="286679F3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配置后台</w:t>
      </w:r>
    </w:p>
    <w:p w14:paraId="0350E8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运营管理员需要能够维护日报或周报的生成日程、报告模板、告警阈值和数据保留策略，并支持必要的新增、编辑、启停与审计。所有配置必须由后端持久化，并在后端执行合法性校验，不能只依赖浏览器表单。</w:t>
      </w:r>
    </w:p>
    <w:p w14:paraId="6E99CF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非法的时间或 cron 表达、矛盾的时间范围、不合理阈值和保留周期都需要被后端拒绝并给出可理解反馈。没有管理员权限的角色不能修改全局配置。</w:t>
      </w:r>
    </w:p>
    <w:p w14:paraId="7D1BCC44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多端与交互可用性</w:t>
      </w:r>
    </w:p>
    <w:p w14:paraId="1507AC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系统至少需要保证 375px 移动端和 1440px 桌面端可正常使用。长门店名称、长文本、列表滚动、日期时间输入、复杂筛选抽屉以及返回操作不能造成关键内容遮挡、无法返回或不可控横向溢出。</w:t>
      </w:r>
    </w:p>
    <w:p w14:paraId="2E725DF1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上线、降级与应急</w:t>
      </w:r>
    </w:p>
    <w:p w14:paraId="053641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除了可运行系统外，本场景还要求形成一份面向实际上线的应急 Runbook。Runbook 应能够说明不同严重等级问题的发现方式、责任角色、止损动作、降级条件、回滚条件、回滚后的验证标准以及后续复盘和预防措施。</w:t>
      </w:r>
    </w:p>
    <w:p w14:paraId="268E2C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当部分数据源异常时，系统应能够通过局部降级、只读或其他合理策略保证核心页面仍可访问，并清楚标记哪些能力当前不可用。</w:t>
      </w:r>
    </w:p>
    <w:p w14:paraId="3114A47A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需要正确处理的异常与边界</w:t>
      </w:r>
    </w:p>
    <w:p w14:paraId="6FE870FD">
      <w:pPr>
        <w:pStyle w:val="16"/>
        <w:keepLines w:val="0"/>
        <w:widowControl/>
        <w:numPr>
          <w:ilvl w:val="0"/>
          <w:numId w:val="20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库存数据源返回服务器错误时，其他业务数据仍应可用，并明确标记库存数据失败。</w:t>
      </w:r>
    </w:p>
    <w:p w14:paraId="650B28D2">
      <w:pPr>
        <w:pStyle w:val="16"/>
        <w:keepLines w:val="0"/>
        <w:widowControl/>
        <w:numPr>
          <w:ilvl w:val="0"/>
          <w:numId w:val="20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天气数据源超时时，页面不得伪造天气信息，也不应拖垮整个工作台。</w:t>
      </w:r>
    </w:p>
    <w:p w14:paraId="7A74A3B2">
      <w:pPr>
        <w:pStyle w:val="16"/>
        <w:keepLines w:val="0"/>
        <w:widowControl/>
        <w:numPr>
          <w:ilvl w:val="0"/>
          <w:numId w:val="20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门店名称或其他业务文本过长时，移动端和桌面端布局都应保持可操作。</w:t>
      </w:r>
    </w:p>
    <w:p w14:paraId="64D5E41E">
      <w:pPr>
        <w:pStyle w:val="16"/>
        <w:keepLines w:val="0"/>
        <w:widowControl/>
        <w:numPr>
          <w:ilvl w:val="0"/>
          <w:numId w:val="20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移动端打开复杂筛选抽屉后，应能够正常关闭或返回，不出现无法恢复的交互状态。</w:t>
      </w:r>
    </w:p>
    <w:p w14:paraId="1753FD80">
      <w:pPr>
        <w:pStyle w:val="16"/>
        <w:keepLines w:val="0"/>
        <w:widowControl/>
        <w:numPr>
          <w:ilvl w:val="0"/>
          <w:numId w:val="20"/>
        </w:numPr>
        <w:spacing w:after="4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运营管理员输入非法日程或阈值时，后端需要拒绝保存，并返回明确错误。</w:t>
      </w:r>
    </w:p>
    <w:p w14:paraId="2DBA44BC">
      <w:pPr>
        <w:pStyle w:val="4"/>
        <w:keepLines w:val="0"/>
        <w:widowControl/>
        <w:spacing w:before="200" w:after="80"/>
      </w:pPr>
      <w:r>
        <w:rPr>
          <w:rFonts w:hint="eastAsia" w:ascii="宋体" w:hAnsi="宋体" w:eastAsia="宋体" w:cs="宋体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完成后的业务结果</w:t>
      </w:r>
    </w:p>
    <w:p w14:paraId="0ED27C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24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最终应能够演示区域经理查看多源经营数据和门店详情、运营管理员修改并持久化报告配置，以及某个数据源失败后页面仍能正确降级的完整流程。应试者还需要在现场说明自己的发布与回滚策略，以及为了完成项目主动简化了什么、为什么这样取舍、如果上线后继续建设会优先补齐什么。</w:t>
      </w:r>
    </w:p>
    <w:sectPr>
      <w:footerReference r:id="rId5" w:type="default"/>
      <w:pgSz w:w="12240" w:h="15840"/>
      <w:pgMar w:top="1134" w:right="1247" w:bottom="1020" w:left="1247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语文格子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语文格子">
    <w:panose1 w:val="02000500000000000000"/>
    <w:charset w:val="00"/>
    <w:family w:val="auto"/>
    <w:pitch w:val="default"/>
    <w:sig w:usb0="00000021" w:usb1="00002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C459F6">
    <w:pPr>
      <w:pStyle w:val="24"/>
      <w:jc w:val="center"/>
      <w:rPr>
        <w:rFonts w:hint="eastAsia" w:ascii="宋体" w:hAnsi="宋体" w:eastAsia="宋体" w:cs="宋体"/>
      </w:rPr>
    </w:pPr>
    <w:r>
      <w:rPr>
        <w:rFonts w:hint="eastAsia" w:ascii="宋体" w:hAnsi="宋体" w:eastAsia="宋体" w:cs="宋体"/>
        <w:color w:val="7F7F7F"/>
        <w:sz w:val="17"/>
      </w:rPr>
      <w:t xml:space="preserve">第 </w:t>
    </w:r>
    <w:r>
      <w:rPr>
        <w:rFonts w:hint="eastAsia" w:ascii="宋体" w:hAnsi="宋体" w:eastAsia="宋体" w:cs="宋体"/>
      </w:rPr>
      <w:fldChar w:fldCharType="begin"/>
    </w:r>
    <w:r>
      <w:rPr>
        <w:rFonts w:hint="eastAsia" w:ascii="宋体" w:hAnsi="宋体" w:eastAsia="宋体" w:cs="宋体"/>
      </w:rPr>
      <w:instrText xml:space="preserve"> PAGE </w:instrText>
    </w:r>
    <w:r>
      <w:rPr>
        <w:rFonts w:hint="eastAsia" w:ascii="宋体" w:hAnsi="宋体" w:eastAsia="宋体" w:cs="宋体"/>
      </w:rPr>
      <w:fldChar w:fldCharType="end"/>
    </w:r>
    <w:r>
      <w:rPr>
        <w:rFonts w:hint="eastAsia" w:ascii="宋体" w:hAnsi="宋体" w:eastAsia="宋体" w:cs="宋体"/>
        <w:color w:val="7F7F7F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DB241D"/>
    <w:multiLevelType w:val="singleLevel"/>
    <w:tmpl w:val="89DB241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261D7E"/>
    <w:multiLevelType w:val="singleLevel"/>
    <w:tmpl w:val="8E261D7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1BCB262"/>
    <w:multiLevelType w:val="singleLevel"/>
    <w:tmpl w:val="91BCB26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6B98E30"/>
    <w:multiLevelType w:val="singleLevel"/>
    <w:tmpl w:val="A6B98E3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ABCE5A7B"/>
    <w:multiLevelType w:val="singleLevel"/>
    <w:tmpl w:val="ABCE5A7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BF7ABA4B"/>
    <w:multiLevelType w:val="singleLevel"/>
    <w:tmpl w:val="BF7ABA4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CC76768B"/>
    <w:multiLevelType w:val="singleLevel"/>
    <w:tmpl w:val="CC76768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3F873A5"/>
    <w:multiLevelType w:val="singleLevel"/>
    <w:tmpl w:val="E3F873A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E7E410DE"/>
    <w:multiLevelType w:val="singleLevel"/>
    <w:tmpl w:val="E7E410D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ECC422A8"/>
    <w:multiLevelType w:val="singleLevel"/>
    <w:tmpl w:val="ECC422A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6">
    <w:nsid w:val="39573456"/>
    <w:multiLevelType w:val="singleLevel"/>
    <w:tmpl w:val="3957345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448C093E"/>
    <w:multiLevelType w:val="singleLevel"/>
    <w:tmpl w:val="448C093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4E7C1699"/>
    <w:multiLevelType w:val="singleLevel"/>
    <w:tmpl w:val="4E7C169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79231ED2"/>
    <w:multiLevelType w:val="singleLevel"/>
    <w:tmpl w:val="79231ED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1"/>
  </w:num>
  <w:num w:numId="2">
    <w:abstractNumId w:val="14"/>
  </w:num>
  <w:num w:numId="3">
    <w:abstractNumId w:val="15"/>
  </w:num>
  <w:num w:numId="4">
    <w:abstractNumId w:val="12"/>
  </w:num>
  <w:num w:numId="5">
    <w:abstractNumId w:val="10"/>
  </w:num>
  <w:num w:numId="6">
    <w:abstractNumId w:val="13"/>
  </w:num>
  <w:num w:numId="7">
    <w:abstractNumId w:val="19"/>
  </w:num>
  <w:num w:numId="8">
    <w:abstractNumId w:val="16"/>
  </w:num>
  <w:num w:numId="9">
    <w:abstractNumId w:val="18"/>
  </w:num>
  <w:num w:numId="10">
    <w:abstractNumId w:val="4"/>
  </w:num>
  <w:num w:numId="11">
    <w:abstractNumId w:val="7"/>
  </w:num>
  <w:num w:numId="12">
    <w:abstractNumId w:val="17"/>
  </w:num>
  <w:num w:numId="13">
    <w:abstractNumId w:val="2"/>
  </w:num>
  <w:num w:numId="14">
    <w:abstractNumId w:val="8"/>
  </w:num>
  <w:num w:numId="15">
    <w:abstractNumId w:val="9"/>
  </w:num>
  <w:num w:numId="16">
    <w:abstractNumId w:val="3"/>
  </w:num>
  <w:num w:numId="17">
    <w:abstractNumId w:val="0"/>
  </w:num>
  <w:num w:numId="18">
    <w:abstractNumId w:val="6"/>
  </w:num>
  <w:num w:numId="19">
    <w:abstractNumId w:val="5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IwMzJhZGNmZjM1YTNlYjEzM2ZjZGZhYzdjMzYwNzM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811D2C"/>
    <w:rsid w:val="1458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10253</Words>
  <Characters>10466</Characters>
  <Lines>0</Lines>
  <Paragraphs>0</Paragraphs>
  <TotalTime>14</TotalTime>
  <ScaleCrop>false</ScaleCrop>
  <LinksUpToDate>false</LinksUpToDate>
  <CharactersWithSpaces>10708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小冯</cp:lastModifiedBy>
  <dcterms:modified xsi:type="dcterms:W3CDTF">2026-09-01T05:13:47Z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eyJoZGlkIjoiYjhmOTJmNzYyYzZjMjZlNmFkMDBjOTlkNWY2YTUzYjgiLCJ1c2VySWQiOiIxNDY2MzE3NTMxIn0=</vt:lpwstr>
  </property>
  <property fmtid="{D5CDD505-2E9C-101B-9397-08002B2CF9AE}" pid="3" name="KSOProductBuildVer">
    <vt:lpwstr>2052-12.1.0.18276</vt:lpwstr>
  </property>
  <property fmtid="{D5CDD505-2E9C-101B-9397-08002B2CF9AE}" pid="4" name="ICV">
    <vt:lpwstr>DD475143E15C4991BB05C1EC2AF078A2_12</vt:lpwstr>
  </property>
</Properties>
</file>