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A0AC2" w14:textId="77777777" w:rsidR="00E37E9B" w:rsidRPr="00E37E9B" w:rsidRDefault="00E37E9B" w:rsidP="00E37E9B">
      <w:pPr>
        <w:spacing w:after="0" w:line="495" w:lineRule="atLeast"/>
        <w:textAlignment w:val="center"/>
        <w:outlineLvl w:val="1"/>
        <w:rPr>
          <w:rFonts w:ascii="Montserrat" w:eastAsia="Times New Roman" w:hAnsi="Montserrat" w:cs="Times New Roman"/>
          <w:color w:val="333333"/>
          <w:sz w:val="50"/>
          <w:szCs w:val="50"/>
          <w:lang w:eastAsia="es-AR"/>
        </w:rPr>
      </w:pPr>
      <w:r w:rsidRPr="00E37E9B">
        <w:rPr>
          <w:rFonts w:ascii="Montserrat" w:eastAsia="Times New Roman" w:hAnsi="Montserrat" w:cs="Times New Roman"/>
          <w:color w:val="333333"/>
          <w:sz w:val="50"/>
          <w:szCs w:val="50"/>
          <w:lang w:eastAsia="es-AR"/>
        </w:rPr>
        <w:t>Prohibiciones</w:t>
      </w:r>
    </w:p>
    <w:p w14:paraId="209B9164" w14:textId="77777777" w:rsidR="00E37E9B" w:rsidRPr="00E37E9B" w:rsidRDefault="00E37E9B" w:rsidP="00E37E9B">
      <w:pPr>
        <w:spacing w:after="375" w:line="300" w:lineRule="atLeast"/>
        <w:rPr>
          <w:rFonts w:ascii="Lora" w:eastAsia="Times New Roman" w:hAnsi="Lora" w:cs="Segoe UI"/>
          <w:color w:val="666666"/>
          <w:sz w:val="23"/>
          <w:szCs w:val="23"/>
          <w:lang w:eastAsia="es-AR"/>
        </w:rPr>
      </w:pPr>
      <w:r w:rsidRPr="00E37E9B">
        <w:rPr>
          <w:rFonts w:ascii="Lora" w:eastAsia="Times New Roman" w:hAnsi="Lora" w:cs="Segoe UI"/>
          <w:color w:val="666666"/>
          <w:sz w:val="23"/>
          <w:szCs w:val="23"/>
          <w:lang w:eastAsia="es-AR"/>
        </w:rPr>
        <w:t>En la vía pública está prohibido:</w:t>
      </w:r>
    </w:p>
    <w:p w14:paraId="0B2565CC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Conducir con impedimentos físicos o psíquicos, sin la licencia especial correspondiente.</w:t>
      </w:r>
    </w:p>
    <w:p w14:paraId="34BF0CFD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Conducir luego de haber consumido estupefacientes o medicamentos que disminuyan la aptitud para conducir.</w:t>
      </w:r>
    </w:p>
    <w:p w14:paraId="2062237F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Para quienes conduzcan motocicletas o ciclomotores queda prohibido conducir con una alcoholemia superior a 200 miligramos por litro de sangre.</w:t>
      </w:r>
    </w:p>
    <w:p w14:paraId="6FF893F4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Ceder o permitir la conducción a personas sin habilitación para ello.</w:t>
      </w:r>
    </w:p>
    <w:p w14:paraId="2E50E929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Circular a contramano, sobre los separadores de tránsito o fuera de la calzada, salvo sobre la banquina en caso de emergencia.</w:t>
      </w:r>
    </w:p>
    <w:p w14:paraId="710D8490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Disminuir arbitraria y bruscamente la velocidad, realizar movimientos zigzagueantes y/o maniobras caprichosas e intempestivas.</w:t>
      </w:r>
    </w:p>
    <w:p w14:paraId="2EA36AC5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 xml:space="preserve">Para los menores de 18 años que tengan LNC conducir ciclomotores de menos de 50 </w:t>
      </w:r>
      <w:proofErr w:type="spellStart"/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cc</w:t>
      </w:r>
      <w:proofErr w:type="spellEnd"/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 xml:space="preserve"> en zonas céntricas, o de gran concentración de vehículos o vías rápidas.</w:t>
      </w:r>
    </w:p>
    <w:p w14:paraId="4E43D51E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Obstruir el paso de peatones u otros vehículos en una bocacalle, si del otro lado de la encrucijada no hay espacio suficiente que permita su avance.</w:t>
      </w:r>
    </w:p>
    <w:p w14:paraId="1B53B9AA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Conducir a una distancia del vehículo que lo precede menor de la prudente, de acuerdo a la velocidad de marcha.</w:t>
      </w:r>
    </w:p>
    <w:p w14:paraId="76067975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 xml:space="preserve">Circular marcha atrás, excepto para estacionar, egresar de un </w:t>
      </w:r>
      <w:proofErr w:type="spellStart"/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garage</w:t>
      </w:r>
      <w:proofErr w:type="spellEnd"/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 xml:space="preserve"> o de una calle sin salida.</w:t>
      </w:r>
    </w:p>
    <w:p w14:paraId="716E8160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La detención irregular sobre la calzada, el estacionamiento sobre la banquina y la detención en ella, a menos que sea una emergencia.</w:t>
      </w:r>
    </w:p>
    <w:p w14:paraId="37663417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Cambiar de carril o fila, adelantarse, no respetar la velocidad precautoria y detenerse en curvas, encrucijadas y otras zonas peligrosas.</w:t>
      </w:r>
    </w:p>
    <w:p w14:paraId="66E925B4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Cruzar un paso a nivel si se percibiera la proximidad de un vehículo ferroviario, o si desde el cruce se estuvieran haciendo señales de advertencia o si las barreras estuviesen bajas o en movimiento, o la salida no estuviere expedita. También está prohibido detenerse sobre los rieles o a menos de cinco metros de ellos cuando no hubiere barreras, o quedarse en una posición que pudiere obstaculizar el libre movimiento de las barreras.</w:t>
      </w:r>
    </w:p>
    <w:p w14:paraId="195851F2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Circular con cubiertas con fallas o sin la profundidad legal de los canales en su banda de rodamiento.</w:t>
      </w:r>
    </w:p>
    <w:p w14:paraId="6C4C6570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A los conductores de bicicletas, de ciclomotores y motocicletas, circular atados a otros vehículos o enfilados inmediatamente tras otros automotores.</w:t>
      </w:r>
    </w:p>
    <w:p w14:paraId="49DC6030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A los ómnibus y camiones transitar en los caminos manteniendo entre sí una distancia menor a cien metros, salvo cuando tengan más de dos carriles por mano o para realizar una maniobra de adelantamiento.</w:t>
      </w:r>
    </w:p>
    <w:p w14:paraId="2662FDDC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Remolcar automotores, salvo para los vehículos destinados a tal fin. Los demás vehículos podrán hacerlo en caso de fuerza mayor utilizando elementos rígidos de acople y con la debida precaución.</w:t>
      </w:r>
    </w:p>
    <w:p w14:paraId="3EB1B464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lastRenderedPageBreak/>
        <w:t>Circular con un tren de vehículos integrado con más de un acoplado, salvo lo dispuesto para la maquinaria especial y agrícola.</w:t>
      </w:r>
    </w:p>
    <w:p w14:paraId="42624781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Transportar residuos, escombros, tierra, arena, grava, aserrín, otra carga a granel, polvorientas, que difunda olor desagradable, emanaciones nocivas o sea insalubre en vehículos o continentes no destinados a ese fin.</w:t>
      </w:r>
    </w:p>
    <w:p w14:paraId="4F5DFE46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Transportar cualquier carga o elemento que perturbe la visibilidad, afecte peligrosamente las condiciones aerodinámicas del vehículo, oculte luces o indicadores o sobresalga de los límites permitidos</w:t>
      </w:r>
    </w:p>
    <w:p w14:paraId="63F0982C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Efectuar reparaciones en zonas urbanas, salvo arreglos de circunstancia, en cualquier tipo de vehículo.</w:t>
      </w:r>
    </w:p>
    <w:p w14:paraId="200ABA89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Dejar animales sueltos y arrear hacienda, salvo en este último caso, por caminos de tierra y fuera de la calzada.</w:t>
      </w:r>
    </w:p>
    <w:p w14:paraId="56A2D87C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Estorbar u obstaculizar de cualquier forma la calzada o la banquina y hacer construcciones, instalarse o realizar venta de productos en zona alguna del camino.</w:t>
      </w:r>
    </w:p>
    <w:p w14:paraId="4057E829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Circular en vehículos con bandas de rodamiento metálicas o con grapas, tetones, cadenas, uñas, u otro elemento que dañe la calzada salvo sobre el barro, nieve o hielo y también los de tracción animal en caminos de tierra.</w:t>
      </w:r>
    </w:p>
    <w:p w14:paraId="077241F1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Usar la bocina o señales acústicas; salvo en caso de peligro o en zona rural, y tener el vehículo sirena o bocina no autorizadas.</w:t>
      </w:r>
    </w:p>
    <w:p w14:paraId="4558743F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Circular con vehículos que emitan gases, humos, ruidos, radiaciones u otras emanaciones contaminantes del ambiente, que excedan los límites reglamentarios.</w:t>
      </w:r>
    </w:p>
    <w:p w14:paraId="6D70697A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Conducir utilizando auriculares y sistemas de comunicación de operación manual continua.</w:t>
      </w:r>
    </w:p>
    <w:p w14:paraId="0C8B704C" w14:textId="77777777" w:rsidR="00E37E9B" w:rsidRPr="00E37E9B" w:rsidRDefault="00E37E9B" w:rsidP="00E37E9B">
      <w:pPr>
        <w:numPr>
          <w:ilvl w:val="0"/>
          <w:numId w:val="1"/>
        </w:numPr>
        <w:spacing w:after="75" w:line="240" w:lineRule="auto"/>
        <w:ind w:left="990"/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</w:pPr>
      <w:r w:rsidRPr="00E37E9B">
        <w:rPr>
          <w:rFonts w:ascii="Segoe UI" w:eastAsia="Times New Roman" w:hAnsi="Segoe UI" w:cs="Segoe UI"/>
          <w:color w:val="939393"/>
          <w:sz w:val="21"/>
          <w:szCs w:val="21"/>
          <w:lang w:eastAsia="es-AR"/>
        </w:rPr>
        <w:t>Circular con vehículos que posean defensas delanteras y/o traseras, enganches sobresalientes, o cualquier otro elemento que, excedan los límites de los paragolpes o laterales de la carrocería y puedan ser potencialmente peligrosos para el resto de los usuarios de la vía pública.</w:t>
      </w:r>
    </w:p>
    <w:p w14:paraId="79B1F92B" w14:textId="05612C6E" w:rsidR="00010FBE" w:rsidRDefault="00010FBE"/>
    <w:p w14:paraId="1E71BAF7" w14:textId="77777777" w:rsidR="00E37E9B" w:rsidRDefault="00E37E9B" w:rsidP="00E37E9B">
      <w:pPr>
        <w:pStyle w:val="Ttulo2"/>
        <w:spacing w:before="0" w:beforeAutospacing="0" w:after="420" w:afterAutospacing="0" w:line="375" w:lineRule="atLeast"/>
        <w:rPr>
          <w:rFonts w:ascii="Montserrat" w:hAnsi="Montserrat"/>
          <w:b w:val="0"/>
          <w:bCs w:val="0"/>
          <w:color w:val="333333"/>
          <w:sz w:val="38"/>
          <w:szCs w:val="38"/>
        </w:rPr>
      </w:pPr>
      <w:r>
        <w:rPr>
          <w:rFonts w:ascii="Montserrat" w:hAnsi="Montserrat"/>
          <w:b w:val="0"/>
          <w:bCs w:val="0"/>
          <w:color w:val="333333"/>
          <w:sz w:val="38"/>
          <w:szCs w:val="38"/>
        </w:rPr>
        <w:t>Sanciones</w:t>
      </w:r>
    </w:p>
    <w:p w14:paraId="0C1E47DC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/>
          <w:color w:val="666666"/>
          <w:sz w:val="23"/>
          <w:szCs w:val="23"/>
        </w:rPr>
      </w:pPr>
      <w:r>
        <w:rPr>
          <w:rFonts w:ascii="Lora" w:hAnsi="Lora"/>
          <w:color w:val="666666"/>
          <w:sz w:val="23"/>
          <w:szCs w:val="23"/>
        </w:rPr>
        <w:t>Las sanciones por infracciones a la ley son de cumplimiento efectivo, es decir no pueden ser aplicadas con carácter condicional, ni en suspenso y consisten en:</w:t>
      </w:r>
    </w:p>
    <w:p w14:paraId="7BF22A02" w14:textId="00B78A42" w:rsidR="00E37E9B" w:rsidRDefault="00E37E9B"/>
    <w:p w14:paraId="43DA1EDC" w14:textId="77777777" w:rsidR="00E37E9B" w:rsidRDefault="00E37E9B" w:rsidP="00E37E9B">
      <w:pPr>
        <w:pStyle w:val="Ttulo2"/>
        <w:spacing w:before="0" w:beforeAutospacing="0" w:after="420" w:afterAutospacing="0" w:line="375" w:lineRule="atLeast"/>
        <w:rPr>
          <w:rFonts w:ascii="Montserrat" w:hAnsi="Montserrat"/>
          <w:b w:val="0"/>
          <w:bCs w:val="0"/>
          <w:color w:val="333333"/>
          <w:sz w:val="38"/>
          <w:szCs w:val="38"/>
        </w:rPr>
      </w:pPr>
      <w:r>
        <w:rPr>
          <w:rFonts w:ascii="Montserrat" w:hAnsi="Montserrat"/>
          <w:b w:val="0"/>
          <w:bCs w:val="0"/>
          <w:color w:val="333333"/>
          <w:sz w:val="38"/>
          <w:szCs w:val="38"/>
        </w:rPr>
        <w:t>Arresto</w:t>
      </w:r>
    </w:p>
    <w:p w14:paraId="21DEC7A6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/>
          <w:color w:val="666666"/>
          <w:sz w:val="23"/>
          <w:szCs w:val="23"/>
        </w:rPr>
      </w:pPr>
      <w:r>
        <w:rPr>
          <w:rFonts w:ascii="Lora" w:hAnsi="Lora"/>
          <w:color w:val="666666"/>
          <w:sz w:val="23"/>
          <w:szCs w:val="23"/>
        </w:rPr>
        <w:t>La sanción en cuestión sólo procede cuando, existe un alto riesgo, falta de responsabilidad como así también falta de conciencia por parte de quien incurre en una infracción.</w:t>
      </w:r>
    </w:p>
    <w:p w14:paraId="1C3FB675" w14:textId="7A9DEA17" w:rsidR="00E37E9B" w:rsidRDefault="00E37E9B"/>
    <w:p w14:paraId="662734EB" w14:textId="77777777" w:rsidR="00E37E9B" w:rsidRDefault="00E37E9B" w:rsidP="00E37E9B">
      <w:pPr>
        <w:pStyle w:val="Ttulo2"/>
        <w:spacing w:before="0" w:beforeAutospacing="0" w:after="0" w:afterAutospacing="0" w:line="495" w:lineRule="atLeast"/>
        <w:textAlignment w:val="center"/>
        <w:rPr>
          <w:rFonts w:ascii="Montserrat" w:hAnsi="Montserrat"/>
          <w:b w:val="0"/>
          <w:bCs w:val="0"/>
          <w:color w:val="333333"/>
          <w:sz w:val="50"/>
          <w:szCs w:val="50"/>
        </w:rPr>
      </w:pPr>
      <w:r>
        <w:rPr>
          <w:rFonts w:ascii="Montserrat" w:hAnsi="Montserrat"/>
          <w:b w:val="0"/>
          <w:bCs w:val="0"/>
          <w:color w:val="333333"/>
          <w:sz w:val="50"/>
          <w:szCs w:val="50"/>
        </w:rPr>
        <w:t>Sanciones</w:t>
      </w:r>
    </w:p>
    <w:p w14:paraId="09260ACB" w14:textId="77777777" w:rsidR="00E37E9B" w:rsidRDefault="00E37E9B" w:rsidP="00E37E9B">
      <w:pPr>
        <w:pStyle w:val="Ttulo2"/>
        <w:spacing w:before="0" w:beforeAutospacing="0" w:after="420" w:afterAutospacing="0" w:line="375" w:lineRule="atLeast"/>
        <w:rPr>
          <w:rFonts w:ascii="Montserrat" w:hAnsi="Montserrat" w:cs="Segoe UI"/>
          <w:b w:val="0"/>
          <w:bCs w:val="0"/>
          <w:color w:val="333333"/>
          <w:sz w:val="38"/>
          <w:szCs w:val="38"/>
        </w:rPr>
      </w:pPr>
      <w:r>
        <w:rPr>
          <w:rFonts w:ascii="Montserrat" w:hAnsi="Montserrat" w:cs="Segoe UI"/>
          <w:b w:val="0"/>
          <w:bCs w:val="0"/>
          <w:color w:val="333333"/>
          <w:sz w:val="38"/>
          <w:szCs w:val="38"/>
        </w:rPr>
        <w:t>Inhabilitación</w:t>
      </w:r>
    </w:p>
    <w:p w14:paraId="1378C50C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>Es la pérdida del privilegio de conducir sobre cualquier vehículo o solo una clase de ellos, ya sea por sentencia de la justicia ordinaria o por la de faltas, por un determinado lapso o en forma definitiva.</w:t>
      </w:r>
    </w:p>
    <w:p w14:paraId="172A7CCD" w14:textId="1B2C12C9" w:rsidR="00E37E9B" w:rsidRDefault="00E37E9B"/>
    <w:p w14:paraId="46A1D04A" w14:textId="77777777" w:rsidR="00E37E9B" w:rsidRDefault="00E37E9B" w:rsidP="00E37E9B">
      <w:pPr>
        <w:pStyle w:val="Ttulo2"/>
        <w:spacing w:before="0" w:beforeAutospacing="0" w:after="0" w:afterAutospacing="0" w:line="495" w:lineRule="atLeast"/>
        <w:textAlignment w:val="center"/>
        <w:rPr>
          <w:rFonts w:ascii="Montserrat" w:hAnsi="Montserrat"/>
          <w:b w:val="0"/>
          <w:bCs w:val="0"/>
          <w:color w:val="333333"/>
          <w:sz w:val="50"/>
          <w:szCs w:val="50"/>
        </w:rPr>
      </w:pPr>
      <w:r>
        <w:rPr>
          <w:rFonts w:ascii="Montserrat" w:hAnsi="Montserrat"/>
          <w:b w:val="0"/>
          <w:bCs w:val="0"/>
          <w:color w:val="333333"/>
          <w:sz w:val="50"/>
          <w:szCs w:val="50"/>
        </w:rPr>
        <w:t>Sanciones</w:t>
      </w:r>
    </w:p>
    <w:p w14:paraId="48C0909B" w14:textId="77777777" w:rsidR="00E37E9B" w:rsidRDefault="00E37E9B" w:rsidP="00E37E9B">
      <w:pPr>
        <w:pStyle w:val="Ttulo2"/>
        <w:spacing w:before="0" w:beforeAutospacing="0" w:after="420" w:afterAutospacing="0" w:line="375" w:lineRule="atLeast"/>
        <w:rPr>
          <w:rFonts w:ascii="Montserrat" w:hAnsi="Montserrat" w:cs="Segoe UI"/>
          <w:b w:val="0"/>
          <w:bCs w:val="0"/>
          <w:color w:val="333333"/>
          <w:sz w:val="38"/>
          <w:szCs w:val="38"/>
        </w:rPr>
      </w:pPr>
      <w:r>
        <w:rPr>
          <w:rFonts w:ascii="Montserrat" w:hAnsi="Montserrat" w:cs="Segoe UI"/>
          <w:b w:val="0"/>
          <w:bCs w:val="0"/>
          <w:color w:val="333333"/>
          <w:sz w:val="38"/>
          <w:szCs w:val="38"/>
        </w:rPr>
        <w:t>Multa</w:t>
      </w:r>
    </w:p>
    <w:p w14:paraId="1E786F77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>Sanción económica que se impone a los responsables de infracciones.</w:t>
      </w:r>
    </w:p>
    <w:p w14:paraId="5B8CBF51" w14:textId="77777777" w:rsidR="00E37E9B" w:rsidRDefault="00E37E9B" w:rsidP="00E37E9B">
      <w:pPr>
        <w:pStyle w:val="Ttulo2"/>
        <w:spacing w:before="0" w:beforeAutospacing="0" w:after="0" w:afterAutospacing="0" w:line="495" w:lineRule="atLeast"/>
        <w:textAlignment w:val="center"/>
        <w:rPr>
          <w:rFonts w:ascii="Montserrat" w:hAnsi="Montserrat"/>
          <w:b w:val="0"/>
          <w:bCs w:val="0"/>
          <w:color w:val="333333"/>
          <w:sz w:val="50"/>
          <w:szCs w:val="50"/>
        </w:rPr>
      </w:pPr>
      <w:r>
        <w:rPr>
          <w:rFonts w:ascii="Montserrat" w:hAnsi="Montserrat"/>
          <w:b w:val="0"/>
          <w:bCs w:val="0"/>
          <w:color w:val="333333"/>
          <w:sz w:val="50"/>
          <w:szCs w:val="50"/>
        </w:rPr>
        <w:t>Sanciones</w:t>
      </w:r>
    </w:p>
    <w:p w14:paraId="4194770B" w14:textId="77777777" w:rsidR="00E37E9B" w:rsidRDefault="00E37E9B" w:rsidP="00E37E9B">
      <w:pPr>
        <w:pStyle w:val="Ttulo2"/>
        <w:spacing w:before="0" w:beforeAutospacing="0" w:after="420" w:afterAutospacing="0" w:line="375" w:lineRule="atLeast"/>
        <w:rPr>
          <w:rFonts w:ascii="Montserrat" w:hAnsi="Montserrat" w:cs="Segoe UI"/>
          <w:b w:val="0"/>
          <w:bCs w:val="0"/>
          <w:color w:val="333333"/>
          <w:sz w:val="38"/>
          <w:szCs w:val="38"/>
        </w:rPr>
      </w:pPr>
      <w:r>
        <w:rPr>
          <w:rFonts w:ascii="Montserrat" w:hAnsi="Montserrat" w:cs="Segoe UI"/>
          <w:b w:val="0"/>
          <w:bCs w:val="0"/>
          <w:color w:val="333333"/>
          <w:sz w:val="38"/>
          <w:szCs w:val="38"/>
        </w:rPr>
        <w:t>Concurrencia a cursos especiales de educación y capacitación para el correcto uso de la vía pública</w:t>
      </w:r>
    </w:p>
    <w:p w14:paraId="77A7BB0F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>Concurrencia obligatoria a cursos especiales de educación y capacitación. Este tipo de sanción tiene por objeto potenciar la educación vial e incidir culturalmente en la disminución de transgresiones a la normativa vigente. El Estado de esta manera, busca concientizar a la los ciudadanos, involucrándolos en un papel activo, y un compromiso social con la comunidad.</w:t>
      </w:r>
    </w:p>
    <w:p w14:paraId="673FBCB4" w14:textId="77777777" w:rsidR="00E37E9B" w:rsidRDefault="00E37E9B" w:rsidP="00E37E9B">
      <w:pPr>
        <w:pStyle w:val="Ttulo2"/>
        <w:spacing w:before="0" w:beforeAutospacing="0" w:after="0" w:afterAutospacing="0" w:line="495" w:lineRule="atLeast"/>
        <w:textAlignment w:val="center"/>
        <w:rPr>
          <w:rFonts w:ascii="Montserrat" w:hAnsi="Montserrat"/>
          <w:b w:val="0"/>
          <w:bCs w:val="0"/>
          <w:color w:val="333333"/>
          <w:sz w:val="50"/>
          <w:szCs w:val="50"/>
        </w:rPr>
      </w:pPr>
      <w:r>
        <w:rPr>
          <w:rFonts w:ascii="Montserrat" w:hAnsi="Montserrat"/>
          <w:b w:val="0"/>
          <w:bCs w:val="0"/>
          <w:color w:val="333333"/>
          <w:sz w:val="50"/>
          <w:szCs w:val="50"/>
        </w:rPr>
        <w:t>Sanciones</w:t>
      </w:r>
    </w:p>
    <w:p w14:paraId="133740CD" w14:textId="77777777" w:rsidR="00E37E9B" w:rsidRDefault="00E37E9B" w:rsidP="00E37E9B">
      <w:pPr>
        <w:pStyle w:val="Ttulo2"/>
        <w:spacing w:before="0" w:beforeAutospacing="0" w:after="420" w:afterAutospacing="0" w:line="375" w:lineRule="atLeast"/>
        <w:rPr>
          <w:rFonts w:ascii="Montserrat" w:hAnsi="Montserrat" w:cs="Segoe UI"/>
          <w:b w:val="0"/>
          <w:bCs w:val="0"/>
          <w:color w:val="333333"/>
          <w:sz w:val="38"/>
          <w:szCs w:val="38"/>
        </w:rPr>
      </w:pPr>
      <w:r>
        <w:rPr>
          <w:rFonts w:ascii="Montserrat" w:hAnsi="Montserrat" w:cs="Segoe UI"/>
          <w:b w:val="0"/>
          <w:bCs w:val="0"/>
          <w:color w:val="333333"/>
          <w:sz w:val="38"/>
          <w:szCs w:val="38"/>
        </w:rPr>
        <w:t>Decomiso</w:t>
      </w:r>
    </w:p>
    <w:p w14:paraId="49BDB22B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>Es una sanción accesoria a otra principal que importa la pérdida de los instrumentos o elementos expresamente prohibido por la ley (reflectores, sirenas, escapes libres).</w:t>
      </w:r>
    </w:p>
    <w:p w14:paraId="28945617" w14:textId="77777777" w:rsidR="00E37E9B" w:rsidRDefault="00E37E9B" w:rsidP="00E37E9B">
      <w:pPr>
        <w:pStyle w:val="Ttulo2"/>
        <w:spacing w:before="0" w:beforeAutospacing="0" w:after="0" w:afterAutospacing="0" w:line="495" w:lineRule="atLeast"/>
        <w:textAlignment w:val="center"/>
        <w:rPr>
          <w:rFonts w:ascii="Montserrat" w:hAnsi="Montserrat"/>
          <w:b w:val="0"/>
          <w:bCs w:val="0"/>
          <w:color w:val="333333"/>
          <w:sz w:val="50"/>
          <w:szCs w:val="50"/>
        </w:rPr>
      </w:pPr>
      <w:r>
        <w:rPr>
          <w:rFonts w:ascii="Montserrat" w:hAnsi="Montserrat"/>
          <w:b w:val="0"/>
          <w:bCs w:val="0"/>
          <w:color w:val="333333"/>
          <w:sz w:val="50"/>
          <w:szCs w:val="50"/>
        </w:rPr>
        <w:t>Características del obrar</w:t>
      </w:r>
    </w:p>
    <w:p w14:paraId="5DB783AD" w14:textId="77777777" w:rsidR="00E37E9B" w:rsidRDefault="00E37E9B" w:rsidP="00E37E9B">
      <w:pPr>
        <w:pStyle w:val="Ttulo2"/>
        <w:spacing w:before="0" w:beforeAutospacing="0" w:after="420" w:afterAutospacing="0" w:line="375" w:lineRule="atLeast"/>
        <w:rPr>
          <w:rFonts w:ascii="Montserrat" w:hAnsi="Montserrat" w:cs="Segoe UI"/>
          <w:b w:val="0"/>
          <w:bCs w:val="0"/>
          <w:color w:val="333333"/>
          <w:sz w:val="38"/>
          <w:szCs w:val="38"/>
        </w:rPr>
      </w:pPr>
      <w:r>
        <w:rPr>
          <w:rFonts w:ascii="Montserrat" w:hAnsi="Montserrat" w:cs="Segoe UI"/>
          <w:b w:val="0"/>
          <w:bCs w:val="0"/>
          <w:color w:val="333333"/>
          <w:sz w:val="38"/>
          <w:szCs w:val="38"/>
        </w:rPr>
        <w:t>Imprudencia</w:t>
      </w:r>
    </w:p>
    <w:p w14:paraId="64435D16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lastRenderedPageBreak/>
        <w:t>Es el actuar con peligro, es decir, aquel que realiza un acto que las reglas de la prudencia indican no hacerlo.</w:t>
      </w:r>
    </w:p>
    <w:p w14:paraId="04D9700E" w14:textId="0756FBA6" w:rsidR="00E37E9B" w:rsidRDefault="00E37E9B"/>
    <w:p w14:paraId="001B68B4" w14:textId="77777777" w:rsidR="00E37E9B" w:rsidRDefault="00E37E9B" w:rsidP="00E37E9B">
      <w:pPr>
        <w:pStyle w:val="Ttulo2"/>
        <w:spacing w:before="0" w:beforeAutospacing="0" w:after="0" w:afterAutospacing="0" w:line="495" w:lineRule="atLeast"/>
        <w:textAlignment w:val="center"/>
        <w:rPr>
          <w:rFonts w:ascii="Montserrat" w:hAnsi="Montserrat"/>
          <w:b w:val="0"/>
          <w:bCs w:val="0"/>
          <w:color w:val="333333"/>
          <w:sz w:val="50"/>
          <w:szCs w:val="50"/>
        </w:rPr>
      </w:pPr>
      <w:r>
        <w:rPr>
          <w:rFonts w:ascii="Montserrat" w:hAnsi="Montserrat"/>
          <w:b w:val="0"/>
          <w:bCs w:val="0"/>
          <w:color w:val="333333"/>
          <w:sz w:val="50"/>
          <w:szCs w:val="50"/>
        </w:rPr>
        <w:t>Características del obrar</w:t>
      </w:r>
    </w:p>
    <w:p w14:paraId="368C655B" w14:textId="77777777" w:rsidR="00E37E9B" w:rsidRDefault="00E37E9B" w:rsidP="00E37E9B">
      <w:pPr>
        <w:pStyle w:val="Ttulo2"/>
        <w:spacing w:before="0" w:beforeAutospacing="0" w:after="420" w:afterAutospacing="0" w:line="375" w:lineRule="atLeast"/>
        <w:rPr>
          <w:rFonts w:ascii="Montserrat" w:hAnsi="Montserrat" w:cs="Segoe UI"/>
          <w:b w:val="0"/>
          <w:bCs w:val="0"/>
          <w:color w:val="333333"/>
          <w:sz w:val="38"/>
          <w:szCs w:val="38"/>
        </w:rPr>
      </w:pPr>
      <w:r>
        <w:rPr>
          <w:rFonts w:ascii="Montserrat" w:hAnsi="Montserrat" w:cs="Segoe UI"/>
          <w:b w:val="0"/>
          <w:bCs w:val="0"/>
          <w:color w:val="333333"/>
          <w:sz w:val="38"/>
          <w:szCs w:val="38"/>
        </w:rPr>
        <w:t>Impericia</w:t>
      </w:r>
    </w:p>
    <w:p w14:paraId="43193518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>Es no actuar en forma adecuada ante una situación determinada, por desconocimiento y falta de práctica en la conducción del vehículo.</w:t>
      </w:r>
    </w:p>
    <w:p w14:paraId="2F00BCF0" w14:textId="3916A433" w:rsidR="00E37E9B" w:rsidRDefault="00E37E9B"/>
    <w:p w14:paraId="79DE15FA" w14:textId="77777777" w:rsidR="00E37E9B" w:rsidRDefault="00E37E9B" w:rsidP="00E37E9B">
      <w:pPr>
        <w:pStyle w:val="Ttulo2"/>
        <w:spacing w:before="0" w:beforeAutospacing="0" w:after="0" w:afterAutospacing="0" w:line="495" w:lineRule="atLeast"/>
        <w:textAlignment w:val="center"/>
        <w:rPr>
          <w:rFonts w:ascii="Montserrat" w:hAnsi="Montserrat"/>
          <w:b w:val="0"/>
          <w:bCs w:val="0"/>
          <w:color w:val="333333"/>
          <w:sz w:val="50"/>
          <w:szCs w:val="50"/>
        </w:rPr>
      </w:pPr>
      <w:r>
        <w:rPr>
          <w:rFonts w:ascii="Montserrat" w:hAnsi="Montserrat"/>
          <w:b w:val="0"/>
          <w:bCs w:val="0"/>
          <w:color w:val="333333"/>
          <w:sz w:val="50"/>
          <w:szCs w:val="50"/>
        </w:rPr>
        <w:t>Características del obrar</w:t>
      </w:r>
    </w:p>
    <w:p w14:paraId="57FE05F7" w14:textId="77777777" w:rsidR="00E37E9B" w:rsidRDefault="00E37E9B" w:rsidP="00E37E9B">
      <w:pPr>
        <w:pStyle w:val="Ttulo2"/>
        <w:spacing w:before="0" w:beforeAutospacing="0" w:after="420" w:afterAutospacing="0" w:line="375" w:lineRule="atLeast"/>
        <w:rPr>
          <w:rFonts w:ascii="Montserrat" w:hAnsi="Montserrat" w:cs="Segoe UI"/>
          <w:b w:val="0"/>
          <w:bCs w:val="0"/>
          <w:color w:val="333333"/>
          <w:sz w:val="38"/>
          <w:szCs w:val="38"/>
        </w:rPr>
      </w:pPr>
      <w:r>
        <w:rPr>
          <w:rFonts w:ascii="Montserrat" w:hAnsi="Montserrat" w:cs="Segoe UI"/>
          <w:b w:val="0"/>
          <w:bCs w:val="0"/>
          <w:color w:val="333333"/>
          <w:sz w:val="38"/>
          <w:szCs w:val="38"/>
        </w:rPr>
        <w:t>Negligencia</w:t>
      </w:r>
    </w:p>
    <w:p w14:paraId="4737AF2B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 xml:space="preserve">Es la ausencia de precaución, omisión, descuido voluntario y consciente en la conducción del vehículo, realizando un acto contrario al que le exige la normativa vigente. </w:t>
      </w:r>
      <w:proofErr w:type="spellStart"/>
      <w:r>
        <w:rPr>
          <w:rFonts w:ascii="Lora" w:hAnsi="Lora" w:cs="Segoe UI"/>
          <w:color w:val="666666"/>
          <w:sz w:val="23"/>
          <w:szCs w:val="23"/>
        </w:rPr>
        <w:t>Ej</w:t>
      </w:r>
      <w:proofErr w:type="spellEnd"/>
      <w:r>
        <w:rPr>
          <w:rFonts w:ascii="Lora" w:hAnsi="Lora" w:cs="Segoe UI"/>
          <w:color w:val="666666"/>
          <w:sz w:val="23"/>
          <w:szCs w:val="23"/>
        </w:rPr>
        <w:t>: quien circula con el vehículo en mal estado.</w:t>
      </w:r>
    </w:p>
    <w:p w14:paraId="34A60122" w14:textId="3E47E7AD" w:rsidR="00E37E9B" w:rsidRDefault="00E37E9B"/>
    <w:p w14:paraId="2147C64B" w14:textId="77777777" w:rsidR="00E37E9B" w:rsidRDefault="00E37E9B" w:rsidP="00E37E9B">
      <w:pPr>
        <w:pStyle w:val="Ttulo2"/>
        <w:spacing w:before="0" w:beforeAutospacing="0" w:after="0" w:afterAutospacing="0" w:line="495" w:lineRule="atLeast"/>
        <w:textAlignment w:val="center"/>
        <w:rPr>
          <w:rFonts w:ascii="Montserrat" w:hAnsi="Montserrat"/>
          <w:b w:val="0"/>
          <w:bCs w:val="0"/>
          <w:color w:val="333333"/>
          <w:sz w:val="50"/>
          <w:szCs w:val="50"/>
        </w:rPr>
      </w:pPr>
      <w:r>
        <w:rPr>
          <w:rFonts w:ascii="Montserrat" w:hAnsi="Montserrat"/>
          <w:b w:val="0"/>
          <w:bCs w:val="0"/>
          <w:color w:val="333333"/>
          <w:sz w:val="50"/>
          <w:szCs w:val="50"/>
        </w:rPr>
        <w:t>Estados de intoxicación general. Medidas Cautelares. Sanciones</w:t>
      </w:r>
    </w:p>
    <w:p w14:paraId="598EEDEE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>La autoridad de comprobación y/o aplicación correspondiente, dando inmediato conocimiento a la autoridad de juzgamiento, puede retener preventivamente al conductor si este es sorprendido in fraganti en estado de intoxicación alcohólica, de estupefacientes u otra sustancia que disminuya las condiciones psicofísicas normales o, en su defecto, ante la presunción de alguno de los estados antes mencionados. Al tiempo de la retención, a través de un comprobante médico o de un dispositivo aprobado, se acreditará el estado del conductor y el tiempo necesario para recuperar el estado normal.</w:t>
      </w:r>
    </w:p>
    <w:p w14:paraId="5B4AB6A0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 xml:space="preserve">No </w:t>
      </w:r>
      <w:proofErr w:type="gramStart"/>
      <w:r>
        <w:rPr>
          <w:rFonts w:ascii="Lora" w:hAnsi="Lora" w:cs="Segoe UI"/>
          <w:color w:val="666666"/>
          <w:sz w:val="23"/>
          <w:szCs w:val="23"/>
        </w:rPr>
        <w:t>obstante</w:t>
      </w:r>
      <w:proofErr w:type="gramEnd"/>
      <w:r>
        <w:rPr>
          <w:rFonts w:ascii="Lora" w:hAnsi="Lora" w:cs="Segoe UI"/>
          <w:color w:val="666666"/>
          <w:sz w:val="23"/>
          <w:szCs w:val="23"/>
        </w:rPr>
        <w:t xml:space="preserve"> lo previamente mencionado, también se podrá retener la licencia. La conducción bajo estos estados psicofísicos es considerada falta grave, por lo que se le impondrá al responsable la sanción de multa e incluso el arresto. </w:t>
      </w:r>
    </w:p>
    <w:p w14:paraId="5C4CF8EE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 xml:space="preserve">En los controles preventivos masivos para la determinación de intoxicación alcohólica o por el uso de estupefacientes, psicotrópicos, estimulantes y/o </w:t>
      </w:r>
      <w:r>
        <w:rPr>
          <w:rFonts w:ascii="Lora" w:hAnsi="Lora" w:cs="Segoe UI"/>
          <w:color w:val="666666"/>
          <w:sz w:val="23"/>
          <w:szCs w:val="23"/>
        </w:rPr>
        <w:lastRenderedPageBreak/>
        <w:t>cualquier sustancia análoga, se requerirá a los conductores el sometimiento voluntario a las pruebas que se establezcan.</w:t>
      </w:r>
    </w:p>
    <w:p w14:paraId="0FF6B661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>La negativa del conductor a someterse a las pruebas que se le indiquen constituirá falta y presunción en su contra; es decir, se presumirá que conduce en estado de intoxicación alcohólica, de estupefacientes o medicamentos que disminuyen su aptitud para conducir.</w:t>
      </w:r>
    </w:p>
    <w:p w14:paraId="06BF5AA5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>Si la intoxicación alcohólica resultara manifiesta y evidente, la autoridad correspondiente podrá retener preventivamente al conductor. Si el resultado diera positivo, se aplicará la sanción por falta grave, el arresto, secuestro y/o retención preventiva del vehículo, y se requerirá la intervención de la autoridad sanitaria correspondiente del lugar para la debida atención médica.</w:t>
      </w:r>
    </w:p>
    <w:p w14:paraId="76051047" w14:textId="77777777" w:rsidR="00E37E9B" w:rsidRDefault="00E37E9B" w:rsidP="00E37E9B">
      <w:pPr>
        <w:pStyle w:val="NormalWeb"/>
        <w:spacing w:before="0" w:beforeAutospacing="0" w:after="375" w:afterAutospacing="0" w:line="300" w:lineRule="atLeast"/>
        <w:rPr>
          <w:rFonts w:ascii="Lora" w:hAnsi="Lora" w:cs="Segoe UI"/>
          <w:color w:val="666666"/>
          <w:sz w:val="23"/>
          <w:szCs w:val="23"/>
        </w:rPr>
      </w:pPr>
      <w:r>
        <w:rPr>
          <w:rFonts w:ascii="Lora" w:hAnsi="Lora" w:cs="Segoe UI"/>
          <w:color w:val="666666"/>
          <w:sz w:val="23"/>
          <w:szCs w:val="23"/>
        </w:rPr>
        <w:t>A petición del interesado se podrán repetir las pruebas consistentes en análisis de sangre y/u orina u otros análogos conforme lo determine la Agencia Nacional de Seguridad Vial.</w:t>
      </w:r>
    </w:p>
    <w:p w14:paraId="678FB6A1" w14:textId="77777777" w:rsidR="00E37E9B" w:rsidRDefault="00E37E9B"/>
    <w:sectPr w:rsidR="00E37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45D1D"/>
    <w:multiLevelType w:val="multilevel"/>
    <w:tmpl w:val="C80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97"/>
    <w:rsid w:val="00010FBE"/>
    <w:rsid w:val="00B00A97"/>
    <w:rsid w:val="00E3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33B93"/>
  <w15:chartTrackingRefBased/>
  <w15:docId w15:val="{2EF32D45-D682-4E29-84BC-83CDB712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37E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37E9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37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1275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UsuarioPerg</dc:creator>
  <cp:keywords/>
  <dc:description/>
  <cp:lastModifiedBy>UsuarioPerg</cp:lastModifiedBy>
  <cp:revision>2</cp:revision>
  <dcterms:created xsi:type="dcterms:W3CDTF">2026-01-30T17:01:00Z</dcterms:created>
  <dcterms:modified xsi:type="dcterms:W3CDTF">2026-01-30T17:03:00Z</dcterms:modified>
</cp:coreProperties>
</file>