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00" w:before="1000" w:line="240" w:lineRule="auto"/>
        <w:ind w:left="0" w:right="2145" w:firstLine="0"/>
        <w:rPr>
          <w:rFonts w:ascii="Source Sans Pro" w:cs="Source Sans Pro" w:eastAsia="Source Sans Pro" w:hAnsi="Source Sans Pro"/>
          <w:color w:val="3a495f"/>
        </w:rPr>
      </w:pPr>
      <w:bookmarkStart w:colFirst="0" w:colLast="0" w:name="_tuqmlczck9e" w:id="0"/>
      <w:bookmarkEnd w:id="0"/>
      <w:r w:rsidDel="00000000" w:rsidR="00000000" w:rsidRPr="00000000">
        <w:rPr>
          <w:rtl w:val="0"/>
        </w:rPr>
        <w:t xml:space="preserve">Associate Test Engineer</w:t>
      </w:r>
      <w:r w:rsidDel="00000000" w:rsidR="00000000" w:rsidRPr="00000000">
        <w:rPr>
          <w:rtl w:val="0"/>
        </w:rPr>
      </w:r>
    </w:p>
    <w:p w:rsidR="00000000" w:rsidDel="00000000" w:rsidP="00000000" w:rsidRDefault="00000000" w:rsidRPr="00000000" w14:paraId="00000002">
      <w:pPr>
        <w:pStyle w:val="Subtitle"/>
        <w:ind w:left="0" w:firstLine="0"/>
        <w:rPr/>
      </w:pPr>
      <w:bookmarkStart w:colFirst="0" w:colLast="0" w:name="_64yfckl5xc5c" w:id="1"/>
      <w:bookmarkEnd w:id="1"/>
      <w:r w:rsidDel="00000000" w:rsidR="00000000" w:rsidRPr="00000000">
        <w:rPr>
          <w:rtl w:val="0"/>
        </w:rPr>
        <w:t xml:space="preserve">Testing Exercise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-933449</wp:posOffset>
            </wp:positionH>
            <wp:positionV relativeFrom="paragraph">
              <wp:posOffset>3105150</wp:posOffset>
            </wp:positionV>
            <wp:extent cx="6775450" cy="3844892"/>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775450" cy="3844892"/>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rPr/>
      </w:pPr>
      <w:bookmarkStart w:colFirst="0" w:colLast="0" w:name="_gqnsknldobx4" w:id="2"/>
      <w:bookmarkEnd w:id="2"/>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ind w:right="0"/>
        <w:rPr/>
      </w:pPr>
      <w:bookmarkStart w:colFirst="0" w:colLast="0" w:name="_t4n95rm9zuq6"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Thank you for your interest in a Quality Assurance career with Liferay. As part of our </w:t>
      </w:r>
      <w:r w:rsidDel="00000000" w:rsidR="00000000" w:rsidRPr="00000000">
        <w:rPr>
          <w:rtl w:val="0"/>
        </w:rPr>
        <w:t xml:space="preserve">application</w:t>
      </w:r>
      <w:r w:rsidDel="00000000" w:rsidR="00000000" w:rsidRPr="00000000">
        <w:rPr>
          <w:rtl w:val="0"/>
        </w:rPr>
        <w:t xml:space="preserve"> process, </w:t>
      </w:r>
      <w:r w:rsidDel="00000000" w:rsidR="00000000" w:rsidRPr="00000000">
        <w:rPr>
          <w:rtl w:val="0"/>
        </w:rPr>
        <w:t xml:space="preserve">please complete the following testing exercise to the best of your ability. Unless alternative arrangements have been made with your local recruiter, we expect applicants to return results within two days of receiving this exercise. Late delivery of results may negatively impact your assessment score.</w:t>
      </w:r>
    </w:p>
    <w:p w:rsidR="00000000" w:rsidDel="00000000" w:rsidP="00000000" w:rsidRDefault="00000000" w:rsidRPr="00000000" w14:paraId="00000008">
      <w:pPr>
        <w:pStyle w:val="Heading3"/>
        <w:rPr/>
      </w:pPr>
      <w:bookmarkStart w:colFirst="0" w:colLast="0" w:name="_ufqfy6by7epy" w:id="4"/>
      <w:bookmarkEnd w:id="4"/>
      <w:r w:rsidDel="00000000" w:rsidR="00000000" w:rsidRPr="00000000">
        <w:rPr>
          <w:rtl w:val="0"/>
        </w:rPr>
        <w:t xml:space="preserve">Deliverables</w:t>
      </w:r>
    </w:p>
    <w:p w:rsidR="00000000" w:rsidDel="00000000" w:rsidP="00000000" w:rsidRDefault="00000000" w:rsidRPr="00000000" w14:paraId="00000009">
      <w:pPr>
        <w:rPr/>
      </w:pPr>
      <w:r w:rsidDel="00000000" w:rsidR="00000000" w:rsidRPr="00000000">
        <w:rPr>
          <w:rtl w:val="0"/>
        </w:rPr>
        <w:t xml:space="preserve">Send the recruiter a link to a public Github repo containing the following:</w:t>
      </w:r>
    </w:p>
    <w:p w:rsidR="00000000" w:rsidDel="00000000" w:rsidP="00000000" w:rsidRDefault="00000000" w:rsidRPr="00000000" w14:paraId="0000000A">
      <w:pPr>
        <w:numPr>
          <w:ilvl w:val="0"/>
          <w:numId w:val="4"/>
        </w:numPr>
        <w:spacing w:after="0" w:afterAutospacing="0"/>
        <w:ind w:left="2520" w:hanging="360"/>
      </w:pPr>
      <w:r w:rsidDel="00000000" w:rsidR="00000000" w:rsidRPr="00000000">
        <w:rPr>
          <w:rtl w:val="0"/>
        </w:rPr>
        <w:t xml:space="preserve">A test plan</w:t>
      </w:r>
    </w:p>
    <w:p w:rsidR="00000000" w:rsidDel="00000000" w:rsidP="00000000" w:rsidRDefault="00000000" w:rsidRPr="00000000" w14:paraId="0000000B">
      <w:pPr>
        <w:numPr>
          <w:ilvl w:val="0"/>
          <w:numId w:val="4"/>
        </w:numPr>
        <w:spacing w:after="0" w:afterAutospacing="0"/>
        <w:ind w:left="2520" w:hanging="360"/>
        <w:rPr>
          <w:u w:val="none"/>
        </w:rPr>
      </w:pPr>
      <w:r w:rsidDel="00000000" w:rsidR="00000000" w:rsidRPr="00000000">
        <w:rPr>
          <w:rtl w:val="0"/>
        </w:rPr>
        <w:t xml:space="preserve">2 automated tests and supporting files</w:t>
      </w:r>
    </w:p>
    <w:p w:rsidR="00000000" w:rsidDel="00000000" w:rsidP="00000000" w:rsidRDefault="00000000" w:rsidRPr="00000000" w14:paraId="0000000C">
      <w:pPr>
        <w:numPr>
          <w:ilvl w:val="0"/>
          <w:numId w:val="4"/>
        </w:numPr>
        <w:ind w:left="2520" w:hanging="360"/>
        <w:rPr>
          <w:u w:val="none"/>
        </w:rPr>
      </w:pPr>
      <w:r w:rsidDel="00000000" w:rsidR="00000000" w:rsidRPr="00000000">
        <w:rPr>
          <w:rtl w:val="0"/>
        </w:rPr>
        <w:t xml:space="preserve">A bug report</w:t>
      </w:r>
      <w:r w:rsidDel="00000000" w:rsidR="00000000" w:rsidRPr="00000000">
        <w:rPr>
          <w:rtl w:val="0"/>
        </w:rPr>
      </w:r>
    </w:p>
    <w:p w:rsidR="00000000" w:rsidDel="00000000" w:rsidP="00000000" w:rsidRDefault="00000000" w:rsidRPr="00000000" w14:paraId="0000000D">
      <w:pPr>
        <w:pStyle w:val="Heading1"/>
        <w:rPr/>
      </w:pPr>
      <w:bookmarkStart w:colFirst="0" w:colLast="0" w:name="_lksdye9sgc64" w:id="5"/>
      <w:bookmarkEnd w:id="5"/>
      <w:r w:rsidDel="00000000" w:rsidR="00000000" w:rsidRPr="00000000">
        <w:rPr>
          <w:rtl w:val="0"/>
        </w:rPr>
        <w:t xml:space="preserve">Testing</w:t>
      </w:r>
      <w:r w:rsidDel="00000000" w:rsidR="00000000" w:rsidRPr="00000000">
        <w:rPr>
          <w:rtl w:val="0"/>
        </w:rPr>
        <w:t xml:space="preserve"> Exercise</w:t>
      </w:r>
    </w:p>
    <w:p w:rsidR="00000000" w:rsidDel="00000000" w:rsidP="00000000" w:rsidRDefault="00000000" w:rsidRPr="00000000" w14:paraId="0000000E">
      <w:pPr>
        <w:rPr/>
      </w:pPr>
      <w:r w:rsidDel="00000000" w:rsidR="00000000" w:rsidRPr="00000000">
        <w:rPr>
          <w:rtl w:val="0"/>
        </w:rPr>
        <w:t xml:space="preserve">The technical Exercise for Associate Test Engineer is broken into 3 parts: Test Planning / Reporting, Automated Testing, Bug Reporting.</w:t>
      </w:r>
    </w:p>
    <w:p w:rsidR="00000000" w:rsidDel="00000000" w:rsidP="00000000" w:rsidRDefault="00000000" w:rsidRPr="00000000" w14:paraId="0000000F">
      <w:pPr>
        <w:pStyle w:val="Heading2"/>
        <w:rPr/>
      </w:pPr>
      <w:bookmarkStart w:colFirst="0" w:colLast="0" w:name="_fqo8bntscana" w:id="6"/>
      <w:bookmarkEnd w:id="6"/>
      <w:r w:rsidDel="00000000" w:rsidR="00000000" w:rsidRPr="00000000">
        <w:rPr>
          <w:rtl w:val="0"/>
        </w:rPr>
        <w:t xml:space="preserve">Test Planning</w:t>
      </w:r>
    </w:p>
    <w:p w:rsidR="00000000" w:rsidDel="00000000" w:rsidP="00000000" w:rsidRDefault="00000000" w:rsidRPr="00000000" w14:paraId="00000010">
      <w:pPr>
        <w:rPr/>
      </w:pPr>
      <w:r w:rsidDel="00000000" w:rsidR="00000000" w:rsidRPr="00000000">
        <w:rPr>
          <w:rtl w:val="0"/>
        </w:rPr>
        <w:t xml:space="preserve">Visit </w:t>
      </w:r>
      <w:hyperlink r:id="rId7">
        <w:r w:rsidDel="00000000" w:rsidR="00000000" w:rsidRPr="00000000">
          <w:rPr>
            <w:color w:val="1155cc"/>
            <w:u w:val="single"/>
            <w:rtl w:val="0"/>
          </w:rPr>
          <w:t xml:space="preserve">https://forms.liferay.com/web/forms/shared/-/form/122548</w:t>
        </w:r>
      </w:hyperlink>
      <w:r w:rsidDel="00000000" w:rsidR="00000000" w:rsidRPr="00000000">
        <w:rPr>
          <w:rtl w:val="0"/>
        </w:rPr>
        <w:t xml:space="preserve"> design a test plan and test report to record your findings.</w:t>
      </w:r>
    </w:p>
    <w:p w:rsidR="00000000" w:rsidDel="00000000" w:rsidP="00000000" w:rsidRDefault="00000000" w:rsidRPr="00000000" w14:paraId="00000011">
      <w:pPr>
        <w:pStyle w:val="Heading3"/>
        <w:rPr/>
      </w:pPr>
      <w:bookmarkStart w:colFirst="0" w:colLast="0" w:name="_t683lhwexred" w:id="7"/>
      <w:bookmarkEnd w:id="7"/>
      <w:r w:rsidDel="00000000" w:rsidR="00000000" w:rsidRPr="00000000">
        <w:rPr>
          <w:rtl w:val="0"/>
        </w:rPr>
        <w:t xml:space="preserve">Assessment</w:t>
      </w:r>
    </w:p>
    <w:p w:rsidR="00000000" w:rsidDel="00000000" w:rsidP="00000000" w:rsidRDefault="00000000" w:rsidRPr="00000000" w14:paraId="00000012">
      <w:pPr>
        <w:rPr/>
      </w:pPr>
      <w:r w:rsidDel="00000000" w:rsidR="00000000" w:rsidRPr="00000000">
        <w:rPr>
          <w:rtl w:val="0"/>
        </w:rPr>
        <w:t xml:space="preserve">In this exercise we will assess the following:</w:t>
      </w:r>
    </w:p>
    <w:p w:rsidR="00000000" w:rsidDel="00000000" w:rsidP="00000000" w:rsidRDefault="00000000" w:rsidRPr="00000000" w14:paraId="00000013">
      <w:pPr>
        <w:numPr>
          <w:ilvl w:val="0"/>
          <w:numId w:val="1"/>
        </w:numPr>
        <w:spacing w:after="0" w:afterAutospacing="0"/>
        <w:ind w:left="2520" w:hanging="360"/>
        <w:rPr>
          <w:u w:val="none"/>
        </w:rPr>
      </w:pPr>
      <w:r w:rsidDel="00000000" w:rsidR="00000000" w:rsidRPr="00000000">
        <w:rPr>
          <w:rtl w:val="0"/>
        </w:rPr>
        <w:t xml:space="preserve">Your ability to demonstrate </w:t>
      </w:r>
      <w:r w:rsidDel="00000000" w:rsidR="00000000" w:rsidRPr="00000000">
        <w:rPr>
          <w:rtl w:val="0"/>
        </w:rPr>
        <w:t xml:space="preserve">effective </w:t>
      </w:r>
      <w:r w:rsidDel="00000000" w:rsidR="00000000" w:rsidRPr="00000000">
        <w:rPr>
          <w:rtl w:val="0"/>
        </w:rPr>
        <w:t xml:space="preserve">test planning and test report design</w:t>
      </w:r>
    </w:p>
    <w:p w:rsidR="00000000" w:rsidDel="00000000" w:rsidP="00000000" w:rsidRDefault="00000000" w:rsidRPr="00000000" w14:paraId="00000014">
      <w:pPr>
        <w:numPr>
          <w:ilvl w:val="0"/>
          <w:numId w:val="1"/>
        </w:numPr>
        <w:spacing w:after="0" w:afterAutospacing="0"/>
        <w:ind w:left="2520" w:hanging="360"/>
        <w:rPr>
          <w:u w:val="none"/>
        </w:rPr>
      </w:pPr>
      <w:r w:rsidDel="00000000" w:rsidR="00000000" w:rsidRPr="00000000">
        <w:rPr>
          <w:rtl w:val="0"/>
        </w:rPr>
        <w:t xml:space="preserve">Your ability </w:t>
      </w:r>
      <w:r w:rsidDel="00000000" w:rsidR="00000000" w:rsidRPr="00000000">
        <w:rPr>
          <w:rtl w:val="0"/>
        </w:rPr>
        <w:t xml:space="preserve">to utilize a diversity of relevant testing approaches to </w:t>
      </w:r>
      <w:r w:rsidDel="00000000" w:rsidR="00000000" w:rsidRPr="00000000">
        <w:rPr>
          <w:rtl w:val="0"/>
        </w:rPr>
        <w:t xml:space="preserve">test an application</w:t>
      </w:r>
      <w:r w:rsidDel="00000000" w:rsidR="00000000" w:rsidRPr="00000000">
        <w:rPr>
          <w:rtl w:val="0"/>
        </w:rPr>
      </w:r>
    </w:p>
    <w:p w:rsidR="00000000" w:rsidDel="00000000" w:rsidP="00000000" w:rsidRDefault="00000000" w:rsidRPr="00000000" w14:paraId="00000015">
      <w:pPr>
        <w:numPr>
          <w:ilvl w:val="0"/>
          <w:numId w:val="1"/>
        </w:numPr>
        <w:spacing w:after="0" w:afterAutospacing="0"/>
        <w:ind w:left="2520" w:hanging="360"/>
        <w:rPr>
          <w:u w:val="none"/>
        </w:rPr>
      </w:pPr>
      <w:r w:rsidDel="00000000" w:rsidR="00000000" w:rsidRPr="00000000">
        <w:rPr>
          <w:rtl w:val="0"/>
        </w:rPr>
        <w:t xml:space="preserve">Your ability to </w:t>
      </w:r>
      <w:r w:rsidDel="00000000" w:rsidR="00000000" w:rsidRPr="00000000">
        <w:rPr>
          <w:rtl w:val="0"/>
        </w:rPr>
        <w:t xml:space="preserve">identify or infer the relevant use cases (and related test cases) for an application with or without related documentation for the application</w:t>
      </w:r>
    </w:p>
    <w:p w:rsidR="00000000" w:rsidDel="00000000" w:rsidP="00000000" w:rsidRDefault="00000000" w:rsidRPr="00000000" w14:paraId="00000016">
      <w:pPr>
        <w:numPr>
          <w:ilvl w:val="0"/>
          <w:numId w:val="1"/>
        </w:numPr>
        <w:spacing w:after="0" w:afterAutospacing="0"/>
        <w:ind w:left="2520" w:hanging="360"/>
        <w:rPr>
          <w:u w:val="none"/>
        </w:rPr>
      </w:pPr>
      <w:r w:rsidDel="00000000" w:rsidR="00000000" w:rsidRPr="00000000">
        <w:rPr>
          <w:rtl w:val="0"/>
        </w:rPr>
        <w:t xml:space="preserve">Your ability to prioritize and categorize test cases</w:t>
      </w:r>
      <w:r w:rsidDel="00000000" w:rsidR="00000000" w:rsidRPr="00000000">
        <w:rPr>
          <w:rtl w:val="0"/>
        </w:rPr>
      </w:r>
    </w:p>
    <w:p w:rsidR="00000000" w:rsidDel="00000000" w:rsidP="00000000" w:rsidRDefault="00000000" w:rsidRPr="00000000" w14:paraId="00000017">
      <w:pPr>
        <w:numPr>
          <w:ilvl w:val="0"/>
          <w:numId w:val="1"/>
        </w:numPr>
        <w:ind w:left="2520" w:hanging="360"/>
        <w:rPr>
          <w:u w:val="none"/>
        </w:rPr>
      </w:pPr>
      <w:r w:rsidDel="00000000" w:rsidR="00000000" w:rsidRPr="00000000">
        <w:rPr>
          <w:rtl w:val="0"/>
        </w:rPr>
        <w:t xml:space="preserve">Your ability to set and adhere to standards</w:t>
      </w:r>
    </w:p>
    <w:p w:rsidR="00000000" w:rsidDel="00000000" w:rsidP="00000000" w:rsidRDefault="00000000" w:rsidRPr="00000000" w14:paraId="00000018">
      <w:pPr>
        <w:pStyle w:val="Heading2"/>
        <w:ind w:left="1980" w:firstLine="0"/>
        <w:rPr/>
      </w:pPr>
      <w:bookmarkStart w:colFirst="0" w:colLast="0" w:name="_1jhvluf7orev" w:id="8"/>
      <w:bookmarkEnd w:id="8"/>
      <w:r w:rsidDel="00000000" w:rsidR="00000000" w:rsidRPr="00000000">
        <w:rPr>
          <w:rtl w:val="0"/>
        </w:rPr>
        <w:t xml:space="preserve">Automated Testing</w:t>
      </w:r>
    </w:p>
    <w:p w:rsidR="00000000" w:rsidDel="00000000" w:rsidP="00000000" w:rsidRDefault="00000000" w:rsidRPr="00000000" w14:paraId="00000019">
      <w:pPr>
        <w:ind w:left="1980" w:firstLine="0"/>
        <w:rPr/>
      </w:pPr>
      <w:r w:rsidDel="00000000" w:rsidR="00000000" w:rsidRPr="00000000">
        <w:rPr>
          <w:rtl w:val="0"/>
        </w:rPr>
        <w:t xml:space="preserve">Design </w:t>
      </w:r>
      <w:r w:rsidDel="00000000" w:rsidR="00000000" w:rsidRPr="00000000">
        <w:rPr>
          <w:rtl w:val="0"/>
        </w:rPr>
        <w:t xml:space="preserve">two</w:t>
      </w:r>
      <w:r w:rsidDel="00000000" w:rsidR="00000000" w:rsidRPr="00000000">
        <w:rPr>
          <w:rtl w:val="0"/>
        </w:rPr>
        <w:t xml:space="preserve"> automated tests using Selenium </w:t>
      </w:r>
      <w:r w:rsidDel="00000000" w:rsidR="00000000" w:rsidRPr="00000000">
        <w:rPr>
          <w:rtl w:val="0"/>
        </w:rPr>
        <w:t xml:space="preserve">/ Selenium W</w:t>
      </w:r>
      <w:r w:rsidDel="00000000" w:rsidR="00000000" w:rsidRPr="00000000">
        <w:rPr>
          <w:rtl w:val="0"/>
        </w:rPr>
        <w:t xml:space="preserve">ebDriver that you would use as an acceptance test for Forms application. </w:t>
      </w:r>
      <w:r w:rsidDel="00000000" w:rsidR="00000000" w:rsidRPr="00000000">
        <w:rPr>
          <w:rtl w:val="0"/>
        </w:rPr>
        <w:t xml:space="preserve">Commit your tests/changes/documentation to a public </w:t>
      </w:r>
      <w:r w:rsidDel="00000000" w:rsidR="00000000" w:rsidRPr="00000000">
        <w:rPr>
          <w:rtl w:val="0"/>
        </w:rPr>
        <w:t xml:space="preserve">Github project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A">
      <w:pPr>
        <w:pStyle w:val="Heading3"/>
        <w:rPr/>
      </w:pPr>
      <w:bookmarkStart w:colFirst="0" w:colLast="0" w:name="_mwi6p3nia3m" w:id="9"/>
      <w:bookmarkEnd w:id="9"/>
      <w:r w:rsidDel="00000000" w:rsidR="00000000" w:rsidRPr="00000000">
        <w:rPr>
          <w:rtl w:val="0"/>
        </w:rPr>
        <w:t xml:space="preserve">Assessment</w:t>
      </w:r>
    </w:p>
    <w:p w:rsidR="00000000" w:rsidDel="00000000" w:rsidP="00000000" w:rsidRDefault="00000000" w:rsidRPr="00000000" w14:paraId="0000001B">
      <w:pPr>
        <w:rPr/>
      </w:pPr>
      <w:r w:rsidDel="00000000" w:rsidR="00000000" w:rsidRPr="00000000">
        <w:rPr>
          <w:rtl w:val="0"/>
        </w:rPr>
        <w:t xml:space="preserve">In this exercise we will assess the following:</w:t>
      </w:r>
    </w:p>
    <w:p w:rsidR="00000000" w:rsidDel="00000000" w:rsidP="00000000" w:rsidRDefault="00000000" w:rsidRPr="00000000" w14:paraId="0000001C">
      <w:pPr>
        <w:numPr>
          <w:ilvl w:val="0"/>
          <w:numId w:val="2"/>
        </w:numPr>
        <w:spacing w:after="0" w:afterAutospacing="0"/>
        <w:ind w:left="2520" w:hanging="360"/>
      </w:pPr>
      <w:r w:rsidDel="00000000" w:rsidR="00000000" w:rsidRPr="00000000">
        <w:rPr>
          <w:rtl w:val="0"/>
        </w:rPr>
        <w:t xml:space="preserve">Your ability to identify acceptance level tests</w:t>
      </w:r>
    </w:p>
    <w:p w:rsidR="00000000" w:rsidDel="00000000" w:rsidP="00000000" w:rsidRDefault="00000000" w:rsidRPr="00000000" w14:paraId="0000001D">
      <w:pPr>
        <w:numPr>
          <w:ilvl w:val="0"/>
          <w:numId w:val="2"/>
        </w:numPr>
        <w:spacing w:after="0" w:afterAutospacing="0"/>
        <w:ind w:left="2520" w:hanging="360"/>
        <w:rPr>
          <w:u w:val="none"/>
        </w:rPr>
      </w:pPr>
      <w:r w:rsidDel="00000000" w:rsidR="00000000" w:rsidRPr="00000000">
        <w:rPr>
          <w:rtl w:val="0"/>
        </w:rPr>
        <w:t xml:space="preserve">Your ability to </w:t>
      </w:r>
      <w:r w:rsidDel="00000000" w:rsidR="00000000" w:rsidRPr="00000000">
        <w:rPr>
          <w:rtl w:val="0"/>
        </w:rPr>
        <w:t xml:space="preserve">identify and </w:t>
      </w:r>
      <w:r w:rsidDel="00000000" w:rsidR="00000000" w:rsidRPr="00000000">
        <w:rPr>
          <w:rtl w:val="0"/>
        </w:rPr>
        <w:t xml:space="preserve">use proper locators</w:t>
      </w:r>
    </w:p>
    <w:p w:rsidR="00000000" w:rsidDel="00000000" w:rsidP="00000000" w:rsidRDefault="00000000" w:rsidRPr="00000000" w14:paraId="0000001E">
      <w:pPr>
        <w:numPr>
          <w:ilvl w:val="0"/>
          <w:numId w:val="2"/>
        </w:numPr>
        <w:spacing w:after="0" w:afterAutospacing="0"/>
        <w:ind w:left="2520" w:hanging="360"/>
        <w:rPr>
          <w:u w:val="none"/>
        </w:rPr>
      </w:pPr>
      <w:r w:rsidDel="00000000" w:rsidR="00000000" w:rsidRPr="00000000">
        <w:rPr>
          <w:rtl w:val="0"/>
        </w:rPr>
        <w:t xml:space="preserve">Your ability to assert the right outcome</w:t>
      </w:r>
    </w:p>
    <w:p w:rsidR="00000000" w:rsidDel="00000000" w:rsidP="00000000" w:rsidRDefault="00000000" w:rsidRPr="00000000" w14:paraId="0000001F">
      <w:pPr>
        <w:numPr>
          <w:ilvl w:val="0"/>
          <w:numId w:val="2"/>
        </w:numPr>
        <w:spacing w:after="0" w:afterAutospacing="0"/>
        <w:ind w:left="2520" w:hanging="360"/>
        <w:rPr>
          <w:u w:val="none"/>
        </w:rPr>
      </w:pPr>
      <w:r w:rsidDel="00000000" w:rsidR="00000000" w:rsidRPr="00000000">
        <w:rPr>
          <w:rtl w:val="0"/>
        </w:rPr>
        <w:t xml:space="preserve">Your tests should run </w:t>
      </w:r>
      <w:r w:rsidDel="00000000" w:rsidR="00000000" w:rsidRPr="00000000">
        <w:rPr>
          <w:rtl w:val="0"/>
        </w:rPr>
        <w:t xml:space="preserve">as deterministically as possible</w:t>
      </w:r>
      <w:r w:rsidDel="00000000" w:rsidR="00000000" w:rsidRPr="00000000">
        <w:rPr>
          <w:rtl w:val="0"/>
        </w:rPr>
      </w:r>
    </w:p>
    <w:p w:rsidR="00000000" w:rsidDel="00000000" w:rsidP="00000000" w:rsidRDefault="00000000" w:rsidRPr="00000000" w14:paraId="00000020">
      <w:pPr>
        <w:numPr>
          <w:ilvl w:val="0"/>
          <w:numId w:val="2"/>
        </w:numPr>
        <w:ind w:left="2520" w:hanging="360"/>
        <w:rPr>
          <w:u w:val="none"/>
        </w:rPr>
      </w:pPr>
      <w:r w:rsidDel="00000000" w:rsidR="00000000" w:rsidRPr="00000000">
        <w:rPr>
          <w:rtl w:val="0"/>
        </w:rPr>
        <w:t xml:space="preserve">Your ability to use Github and commit changes in logical blocks</w:t>
      </w:r>
    </w:p>
    <w:p w:rsidR="00000000" w:rsidDel="00000000" w:rsidP="00000000" w:rsidRDefault="00000000" w:rsidRPr="00000000" w14:paraId="00000021">
      <w:pPr>
        <w:ind w:left="1440" w:firstLine="540"/>
        <w:rPr>
          <w:rFonts w:ascii="Source Sans Pro" w:cs="Source Sans Pro" w:eastAsia="Source Sans Pro" w:hAnsi="Source Sans Pro"/>
          <w:sz w:val="40"/>
          <w:szCs w:val="40"/>
        </w:rPr>
      </w:pPr>
      <w:r w:rsidDel="00000000" w:rsidR="00000000" w:rsidRPr="00000000">
        <w:rPr>
          <w:rFonts w:ascii="Source Sans Pro" w:cs="Source Sans Pro" w:eastAsia="Source Sans Pro" w:hAnsi="Source Sans Pro"/>
          <w:sz w:val="40"/>
          <w:szCs w:val="40"/>
          <w:rtl w:val="0"/>
        </w:rPr>
        <w:t xml:space="preserve">Bug Reporting</w:t>
      </w:r>
    </w:p>
    <w:p w:rsidR="00000000" w:rsidDel="00000000" w:rsidP="00000000" w:rsidRDefault="00000000" w:rsidRPr="00000000" w14:paraId="00000022">
      <w:pPr>
        <w:rPr/>
      </w:pPr>
      <w:r w:rsidDel="00000000" w:rsidR="00000000" w:rsidRPr="00000000">
        <w:rPr>
          <w:rtl w:val="0"/>
        </w:rPr>
        <w:t xml:space="preserve">There are bugs within the Forms application. As you design and execute test cases</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ocument bug reports and identify failing test cases on your test report.</w:t>
      </w:r>
      <w:r w:rsidDel="00000000" w:rsidR="00000000" w:rsidRPr="00000000">
        <w:rPr>
          <w:rtl w:val="0"/>
        </w:rPr>
      </w:r>
    </w:p>
    <w:p w:rsidR="00000000" w:rsidDel="00000000" w:rsidP="00000000" w:rsidRDefault="00000000" w:rsidRPr="00000000" w14:paraId="00000023">
      <w:pPr>
        <w:pStyle w:val="Heading3"/>
        <w:rPr/>
      </w:pPr>
      <w:bookmarkStart w:colFirst="0" w:colLast="0" w:name="_57ssheg2d6zr" w:id="10"/>
      <w:bookmarkEnd w:id="10"/>
      <w:r w:rsidDel="00000000" w:rsidR="00000000" w:rsidRPr="00000000">
        <w:rPr>
          <w:rtl w:val="0"/>
        </w:rPr>
        <w:t xml:space="preserve">Assessment</w:t>
      </w:r>
    </w:p>
    <w:p w:rsidR="00000000" w:rsidDel="00000000" w:rsidP="00000000" w:rsidRDefault="00000000" w:rsidRPr="00000000" w14:paraId="00000024">
      <w:pPr>
        <w:rPr/>
      </w:pPr>
      <w:r w:rsidDel="00000000" w:rsidR="00000000" w:rsidRPr="00000000">
        <w:rPr>
          <w:rtl w:val="0"/>
        </w:rPr>
        <w:t xml:space="preserve">In this exercise we will assess the following:</w:t>
      </w:r>
    </w:p>
    <w:p w:rsidR="00000000" w:rsidDel="00000000" w:rsidP="00000000" w:rsidRDefault="00000000" w:rsidRPr="00000000" w14:paraId="00000025">
      <w:pPr>
        <w:numPr>
          <w:ilvl w:val="0"/>
          <w:numId w:val="3"/>
        </w:numPr>
        <w:spacing w:after="0" w:afterAutospacing="0"/>
        <w:ind w:left="2520" w:hanging="360"/>
      </w:pPr>
      <w:r w:rsidDel="00000000" w:rsidR="00000000" w:rsidRPr="00000000">
        <w:rPr>
          <w:rtl w:val="0"/>
        </w:rPr>
        <w:t xml:space="preserve">Your ability to use correct grammar, spelling</w:t>
      </w:r>
      <w:r w:rsidDel="00000000" w:rsidR="00000000" w:rsidRPr="00000000">
        <w:rPr>
          <w:rtl w:val="0"/>
        </w:rPr>
        <w:t xml:space="preserve">,</w:t>
      </w:r>
      <w:r w:rsidDel="00000000" w:rsidR="00000000" w:rsidRPr="00000000">
        <w:rPr>
          <w:rtl w:val="0"/>
        </w:rPr>
        <w:t xml:space="preserve"> and punctuation</w:t>
      </w:r>
    </w:p>
    <w:p w:rsidR="00000000" w:rsidDel="00000000" w:rsidP="00000000" w:rsidRDefault="00000000" w:rsidRPr="00000000" w14:paraId="00000026">
      <w:pPr>
        <w:numPr>
          <w:ilvl w:val="0"/>
          <w:numId w:val="3"/>
        </w:numPr>
        <w:spacing w:after="0" w:afterAutospacing="0"/>
        <w:ind w:left="2520" w:hanging="360"/>
        <w:rPr>
          <w:u w:val="none"/>
        </w:rPr>
      </w:pPr>
      <w:r w:rsidDel="00000000" w:rsidR="00000000" w:rsidRPr="00000000">
        <w:rPr>
          <w:rtl w:val="0"/>
        </w:rPr>
        <w:t xml:space="preserve">Your ability to demonstrate knowledge about bug reporting standards</w:t>
      </w:r>
    </w:p>
    <w:p w:rsidR="00000000" w:rsidDel="00000000" w:rsidP="00000000" w:rsidRDefault="00000000" w:rsidRPr="00000000" w14:paraId="00000027">
      <w:pPr>
        <w:numPr>
          <w:ilvl w:val="0"/>
          <w:numId w:val="3"/>
        </w:numPr>
        <w:ind w:left="2520" w:hanging="360"/>
        <w:rPr>
          <w:u w:val="none"/>
        </w:rPr>
      </w:pPr>
      <w:r w:rsidDel="00000000" w:rsidR="00000000" w:rsidRPr="00000000">
        <w:rPr>
          <w:rtl w:val="0"/>
        </w:rPr>
        <w:t xml:space="preserve">Your ability to provide clear and concise steps to reproduce</w:t>
      </w:r>
    </w:p>
    <w:sectPr>
      <w:headerReference r:id="rId8" w:type="first"/>
      <w:footerReference r:id="rId9" w:type="default"/>
      <w:footerReference r:id="rId10" w:type="first"/>
      <w:pgSz w:h="15840" w:w="12240" w:orient="portrait"/>
      <w:pgMar w:bottom="1440" w:top="1440" w:left="1440" w:right="108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Source Serif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erif Pr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ans Pr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Source Sans Pr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spacing w:after="0" w:before="300" w:line="240" w:lineRule="auto"/>
      <w:ind w:left="-1440" w:right="-1080" w:firstLine="0"/>
      <w:jc w:val="center"/>
      <w:rPr/>
    </w:pPr>
    <w:r w:rsidDel="00000000" w:rsidR="00000000" w:rsidRPr="00000000">
      <w:rPr/>
      <w:drawing>
        <wp:inline distB="0" distT="0" distL="0" distR="0">
          <wp:extent cx="6965950" cy="503563"/>
          <wp:effectExtent b="0" l="0" r="0" t="0"/>
          <wp:docPr id="1" name="image1.png"/>
          <a:graphic>
            <a:graphicData uri="http://schemas.openxmlformats.org/drawingml/2006/picture">
              <pic:pic>
                <pic:nvPicPr>
                  <pic:cNvPr id="0" name="image1.png"/>
                  <pic:cNvPicPr preferRelativeResize="0"/>
                </pic:nvPicPr>
                <pic:blipFill>
                  <a:blip r:embed="rId1"/>
                  <a:srcRect b="288" l="0" r="0" t="288"/>
                  <a:stretch>
                    <a:fillRect/>
                  </a:stretch>
                </pic:blipFill>
                <pic:spPr>
                  <a:xfrm>
                    <a:off x="0" y="0"/>
                    <a:ext cx="6965950" cy="503563"/>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Style w:val="Subtitle"/>
      <w:ind w:left="-1440" w:firstLine="0"/>
      <w:rPr>
        <w:rFonts w:ascii="Source Sans Pro Light" w:cs="Source Sans Pro Light" w:eastAsia="Source Sans Pro Light" w:hAnsi="Source Sans Pro Light"/>
        <w:color w:val="5b727e"/>
        <w:sz w:val="28"/>
        <w:szCs w:val="28"/>
      </w:rPr>
    </w:pPr>
    <w:bookmarkStart w:colFirst="0" w:colLast="0" w:name="_f231jhtzzs9v" w:id="11"/>
    <w:bookmarkEnd w:id="1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erif Pro" w:cs="Source Serif Pro" w:eastAsia="Source Serif Pro" w:hAnsi="Source Serif Pro"/>
        <w:color w:val="3a495f"/>
        <w:sz w:val="22"/>
        <w:szCs w:val="22"/>
        <w:lang w:val="en"/>
      </w:rPr>
    </w:rPrDefault>
    <w:pPrDefault>
      <w:pPr>
        <w:spacing w:after="200" w:line="300" w:lineRule="auto"/>
        <w:ind w:left="198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240" w:lineRule="auto"/>
      <w:ind w:right="0"/>
    </w:pPr>
    <w:rPr>
      <w:rFonts w:ascii="Source Sans Pro" w:cs="Source Sans Pro" w:eastAsia="Source Sans Pro" w:hAnsi="Source Sans Pro"/>
      <w:sz w:val="54"/>
      <w:szCs w:val="54"/>
    </w:rPr>
  </w:style>
  <w:style w:type="paragraph" w:styleId="Heading2">
    <w:name w:val="heading 2"/>
    <w:basedOn w:val="Normal"/>
    <w:next w:val="Normal"/>
    <w:pPr>
      <w:keepNext w:val="1"/>
      <w:keepLines w:val="1"/>
      <w:spacing w:before="400" w:line="240" w:lineRule="auto"/>
    </w:pPr>
    <w:rPr>
      <w:rFonts w:ascii="Source Sans Pro" w:cs="Source Sans Pro" w:eastAsia="Source Sans Pro" w:hAnsi="Source Sans Pro"/>
      <w:sz w:val="40"/>
      <w:szCs w:val="40"/>
    </w:rPr>
  </w:style>
  <w:style w:type="paragraph" w:styleId="Heading3">
    <w:name w:val="heading 3"/>
    <w:basedOn w:val="Normal"/>
    <w:next w:val="Normal"/>
    <w:pPr>
      <w:keepNext w:val="1"/>
      <w:keepLines w:val="1"/>
      <w:spacing w:before="300" w:line="240" w:lineRule="auto"/>
    </w:pPr>
    <w:rPr>
      <w:rFonts w:ascii="Source Sans Pro" w:cs="Source Sans Pro" w:eastAsia="Source Sans Pro" w:hAnsi="Source Sans Pro"/>
      <w:sz w:val="32"/>
      <w:szCs w:val="32"/>
    </w:rPr>
  </w:style>
  <w:style w:type="paragraph" w:styleId="Heading4">
    <w:name w:val="heading 4"/>
    <w:basedOn w:val="Normal"/>
    <w:next w:val="Normal"/>
    <w:pPr>
      <w:keepNext w:val="1"/>
      <w:keepLines w:val="1"/>
      <w:spacing w:after="0" w:lineRule="auto"/>
    </w:pPr>
    <w:rPr>
      <w:rFonts w:ascii="Source Sans Pro SemiBold" w:cs="Source Sans Pro SemiBold" w:eastAsia="Source Sans Pro SemiBold" w:hAnsi="Source Sans Pro SemiBold"/>
    </w:rPr>
  </w:style>
  <w:style w:type="paragraph" w:styleId="Heading5">
    <w:name w:val="heading 5"/>
    <w:basedOn w:val="Normal"/>
    <w:next w:val="Normal"/>
    <w:pPr>
      <w:keepNext w:val="1"/>
      <w:keepLines w:val="1"/>
      <w:spacing w:after="0" w:line="240" w:lineRule="auto"/>
      <w:ind w:left="0" w:firstLine="0"/>
    </w:pPr>
    <w:rPr>
      <w:rFonts w:ascii="Source Serif Pro SemiBold" w:cs="Source Serif Pro SemiBold" w:eastAsia="Source Serif Pro SemiBold" w:hAnsi="Source Serif Pro SemiBold"/>
      <w:sz w:val="20"/>
      <w:szCs w:val="20"/>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1800" w:line="240" w:lineRule="auto"/>
      <w:ind w:left="0" w:right="2145" w:firstLine="0"/>
    </w:pPr>
    <w:rPr>
      <w:rFonts w:ascii="Source Sans Pro" w:cs="Source Sans Pro" w:eastAsia="Source Sans Pro" w:hAnsi="Source Sans Pro"/>
      <w:color w:val="3a495f"/>
      <w:sz w:val="96"/>
      <w:szCs w:val="96"/>
    </w:rPr>
  </w:style>
  <w:style w:type="paragraph" w:styleId="Subtitle">
    <w:name w:val="Subtitle"/>
    <w:basedOn w:val="Normal"/>
    <w:next w:val="Normal"/>
    <w:pPr>
      <w:keepNext w:val="1"/>
      <w:keepLines w:val="1"/>
      <w:spacing w:line="240" w:lineRule="auto"/>
      <w:ind w:left="0" w:right="2164.2857142857133" w:firstLine="0"/>
    </w:pPr>
    <w:rPr>
      <w:color w:val="3a495f"/>
      <w:sz w:val="36"/>
      <w:szCs w:val="36"/>
    </w:rPr>
  </w:style>
</w:styles>
</file>

<file path=word/_rels/document.xml.rels><?xml version="1.0" encoding="UTF-8" standalone="yes"?><Relationships xmlns="http://schemas.openxmlformats.org/package/2006/relationships"><Relationship Id="rId1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forms.liferay.com/web/forms/shared/-/form/122548"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20" Type="http://schemas.openxmlformats.org/officeDocument/2006/relationships/font" Target="fonts/SourceSansPro-boldItalic.ttf"/><Relationship Id="rId11" Type="http://schemas.openxmlformats.org/officeDocument/2006/relationships/font" Target="fonts/SourceSansProLight-italic.ttf"/><Relationship Id="rId10" Type="http://schemas.openxmlformats.org/officeDocument/2006/relationships/font" Target="fonts/SourceSansProLight-bold.ttf"/><Relationship Id="rId13" Type="http://schemas.openxmlformats.org/officeDocument/2006/relationships/font" Target="fonts/SourceSansProSemiBold-regular.ttf"/><Relationship Id="rId12" Type="http://schemas.openxmlformats.org/officeDocument/2006/relationships/font" Target="fonts/SourceSansProLight-boldItalic.ttf"/><Relationship Id="rId1" Type="http://schemas.openxmlformats.org/officeDocument/2006/relationships/font" Target="fonts/SourceSerifPro-regular.ttf"/><Relationship Id="rId2" Type="http://schemas.openxmlformats.org/officeDocument/2006/relationships/font" Target="fonts/SourceSerifPro-bold.ttf"/><Relationship Id="rId3" Type="http://schemas.openxmlformats.org/officeDocument/2006/relationships/font" Target="fonts/SourceSerifPro-italic.ttf"/><Relationship Id="rId4" Type="http://schemas.openxmlformats.org/officeDocument/2006/relationships/font" Target="fonts/SourceSerifPro-boldItalic.ttf"/><Relationship Id="rId9" Type="http://schemas.openxmlformats.org/officeDocument/2006/relationships/font" Target="fonts/SourceSansProLight-regular.ttf"/><Relationship Id="rId15" Type="http://schemas.openxmlformats.org/officeDocument/2006/relationships/font" Target="fonts/SourceSansProSemiBold-italic.ttf"/><Relationship Id="rId14" Type="http://schemas.openxmlformats.org/officeDocument/2006/relationships/font" Target="fonts/SourceSansProSemiBold-bold.ttf"/><Relationship Id="rId17" Type="http://schemas.openxmlformats.org/officeDocument/2006/relationships/font" Target="fonts/SourceSansPro-regular.ttf"/><Relationship Id="rId16" Type="http://schemas.openxmlformats.org/officeDocument/2006/relationships/font" Target="fonts/SourceSansProSemiBold-boldItalic.ttf"/><Relationship Id="rId5" Type="http://schemas.openxmlformats.org/officeDocument/2006/relationships/font" Target="fonts/SourceSerifProSemiBold-regular.ttf"/><Relationship Id="rId19" Type="http://schemas.openxmlformats.org/officeDocument/2006/relationships/font" Target="fonts/SourceSansPro-italic.ttf"/><Relationship Id="rId6" Type="http://schemas.openxmlformats.org/officeDocument/2006/relationships/font" Target="fonts/SourceSerifProSemiBold-bold.ttf"/><Relationship Id="rId18" Type="http://schemas.openxmlformats.org/officeDocument/2006/relationships/font" Target="fonts/SourceSansPro-bold.ttf"/><Relationship Id="rId7" Type="http://schemas.openxmlformats.org/officeDocument/2006/relationships/font" Target="fonts/SourceSerifProSemiBold-italic.ttf"/><Relationship Id="rId8" Type="http://schemas.openxmlformats.org/officeDocument/2006/relationships/font" Target="fonts/SourceSerifProSemiBold-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