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06905" w14:textId="77777777" w:rsidR="00A1350B" w:rsidRPr="00A1350B" w:rsidRDefault="00A1350B" w:rsidP="00A1350B">
      <w:pPr>
        <w:spacing w:after="100" w:afterAutospacing="1" w:line="240" w:lineRule="auto"/>
        <w:outlineLvl w:val="0"/>
        <w:rPr>
          <w:rFonts w:ascii="Arial" w:eastAsia="Times New Roman" w:hAnsi="Arial" w:cs="Arial"/>
          <w:b/>
          <w:bCs/>
          <w:kern w:val="36"/>
          <w:sz w:val="48"/>
          <w:szCs w:val="48"/>
          <w:lang w:val="en-GB" w:eastAsia="en-GB"/>
          <w14:ligatures w14:val="none"/>
        </w:rPr>
      </w:pPr>
      <w:r w:rsidRPr="00A1350B">
        <w:rPr>
          <w:rFonts w:ascii="Arial" w:eastAsia="Times New Roman" w:hAnsi="Arial" w:cs="Arial"/>
          <w:b/>
          <w:bCs/>
          <w:kern w:val="36"/>
          <w:sz w:val="48"/>
          <w:szCs w:val="48"/>
          <w:lang w:val="en-GB" w:eastAsia="en-GB"/>
          <w14:ligatures w14:val="none"/>
        </w:rPr>
        <w:t>Data Methodology &amp; Pipeline Summary</w:t>
      </w:r>
    </w:p>
    <w:p w14:paraId="2C09D9DB"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1. Universe Selection and Security Filtering</w:t>
      </w:r>
    </w:p>
    <w:p w14:paraId="10F775E9"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restricted the dataset to Common Stocks (Ordinary, A/B) and Primary Capital Certificates (PCCs), while excluding derivatives (Warrants, ETNs, Funds).</w:t>
      </w:r>
    </w:p>
    <w:p w14:paraId="00732CD6"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Machine Learning models require standardized return distributions to learn effectively. Derivatives possess non-linear payoffs and different risk profiles that would contaminate the equity signal. For the Oslo </w:t>
      </w:r>
      <w:proofErr w:type="spellStart"/>
      <w:r w:rsidRPr="00A1350B">
        <w:rPr>
          <w:rFonts w:ascii="Arial" w:eastAsia="Times New Roman" w:hAnsi="Arial" w:cs="Arial"/>
          <w:kern w:val="0"/>
          <w:sz w:val="24"/>
          <w:szCs w:val="24"/>
          <w:lang w:val="en-GB" w:eastAsia="en-GB"/>
          <w14:ligatures w14:val="none"/>
        </w:rPr>
        <w:t>Børs</w:t>
      </w:r>
      <w:proofErr w:type="spellEnd"/>
      <w:r w:rsidRPr="00A1350B">
        <w:rPr>
          <w:rFonts w:ascii="Arial" w:eastAsia="Times New Roman" w:hAnsi="Arial" w:cs="Arial"/>
          <w:kern w:val="0"/>
          <w:sz w:val="24"/>
          <w:szCs w:val="24"/>
          <w:lang w:val="en-GB" w:eastAsia="en-GB"/>
          <w14:ligatures w14:val="none"/>
        </w:rPr>
        <w:t xml:space="preserve"> specifically, PCCs (Equity Certificates) are a staple of the Norwegian savings bank sector and act as standard tradable equity for institutional investors.</w:t>
      </w:r>
    </w:p>
    <w:p w14:paraId="5D8BC244"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55A89135"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i/>
          <w:iCs/>
          <w:kern w:val="0"/>
          <w:sz w:val="24"/>
          <w:szCs w:val="24"/>
          <w:lang w:val="en-GB" w:eastAsia="en-GB"/>
          <w14:ligatures w14:val="none"/>
        </w:rPr>
        <w:t>Norges</w:t>
      </w:r>
      <w:proofErr w:type="spellEnd"/>
      <w:r w:rsidRPr="00A1350B">
        <w:rPr>
          <w:rFonts w:ascii="Arial" w:eastAsia="Times New Roman" w:hAnsi="Arial" w:cs="Arial"/>
          <w:i/>
          <w:iCs/>
          <w:kern w:val="0"/>
          <w:sz w:val="24"/>
          <w:szCs w:val="24"/>
          <w:lang w:val="en-GB" w:eastAsia="en-GB"/>
          <w14:ligatures w14:val="none"/>
        </w:rPr>
        <w:t xml:space="preserve"> Bank (2018)</w:t>
      </w:r>
      <w:r w:rsidRPr="00A1350B">
        <w:rPr>
          <w:rFonts w:ascii="Arial" w:eastAsia="Times New Roman" w:hAnsi="Arial" w:cs="Arial"/>
          <w:kern w:val="0"/>
          <w:sz w:val="24"/>
          <w:szCs w:val="24"/>
          <w:lang w:val="en-GB" w:eastAsia="en-GB"/>
          <w14:ligatures w14:val="none"/>
        </w:rPr>
        <w:t xml:space="preserve"> on the structure and tradability of Primary Capital Certificates in the Norwegian financial system.</w:t>
      </w:r>
    </w:p>
    <w:p w14:paraId="3ED76FC7"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on restricting machine learning panels to standardized, tradable common equities.</w:t>
      </w:r>
    </w:p>
    <w:p w14:paraId="69E7F0BE"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2. Handling Multiple Share Classes and Ticker Recycling</w:t>
      </w:r>
    </w:p>
    <w:p w14:paraId="020BA5DC"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For companies with multiple share classes (e.g., A and B shares), we select the ISIN with the highest monthly turnover. We also rely strictly on ISIN rather than Tickers to track assets over time.</w:t>
      </w:r>
    </w:p>
    <w:p w14:paraId="13E68D91"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Relying on Tickers in a 40-year dataset leads to "Symbol Reuse" bias where entirely different companies are accidentally linked. Dropping the less liquid share class prevents multicollinearity in the ML model and ensures the model is learning from prices that reflect actual market clearing rather than stale, untraded quotes.</w:t>
      </w:r>
    </w:p>
    <w:p w14:paraId="0ED1A057"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r w:rsidRPr="00A1350B">
        <w:rPr>
          <w:rFonts w:ascii="Arial" w:eastAsia="Times New Roman" w:hAnsi="Arial" w:cs="Arial"/>
          <w:kern w:val="0"/>
          <w:sz w:val="24"/>
          <w:szCs w:val="24"/>
          <w:lang w:val="en-GB" w:eastAsia="en-GB"/>
          <w14:ligatures w14:val="none"/>
        </w:rPr>
        <w:t xml:space="preserve"> * </w:t>
      </w:r>
      <w:r w:rsidRPr="00A1350B">
        <w:rPr>
          <w:rFonts w:ascii="Arial" w:eastAsia="Times New Roman" w:hAnsi="Arial" w:cs="Arial"/>
          <w:i/>
          <w:iCs/>
          <w:kern w:val="0"/>
          <w:sz w:val="24"/>
          <w:szCs w:val="24"/>
          <w:lang w:val="en-GB" w:eastAsia="en-GB"/>
          <w14:ligatures w14:val="none"/>
        </w:rPr>
        <w:t>Chui, Subrahmanyam, and Titman (2022)</w:t>
      </w:r>
      <w:r w:rsidRPr="00A1350B">
        <w:rPr>
          <w:rFonts w:ascii="Arial" w:eastAsia="Times New Roman" w:hAnsi="Arial" w:cs="Arial"/>
          <w:kern w:val="0"/>
          <w:sz w:val="24"/>
          <w:szCs w:val="24"/>
          <w:lang w:val="en-GB" w:eastAsia="en-GB"/>
          <w14:ligatures w14:val="none"/>
        </w:rPr>
        <w:t xml:space="preserve"> on how liquidity and investor clienteles differ drastically between dual-class shares.</w:t>
      </w:r>
    </w:p>
    <w:p w14:paraId="1B00D79D" w14:textId="77777777" w:rsidR="00A1350B" w:rsidRPr="00A1350B" w:rsidRDefault="00A1350B" w:rsidP="00A1350B">
      <w:pPr>
        <w:numPr>
          <w:ilvl w:val="1"/>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Fama and French (1992)</w:t>
      </w:r>
      <w:r w:rsidRPr="00A1350B">
        <w:rPr>
          <w:rFonts w:ascii="Arial" w:eastAsia="Times New Roman" w:hAnsi="Arial" w:cs="Arial"/>
          <w:kern w:val="0"/>
          <w:sz w:val="24"/>
          <w:szCs w:val="24"/>
          <w:lang w:val="en-GB" w:eastAsia="en-GB"/>
          <w14:ligatures w14:val="none"/>
        </w:rPr>
        <w:t xml:space="preserve"> on standard practices for resolving dual-class redundancies in asset pricing panels.</w:t>
      </w:r>
    </w:p>
    <w:p w14:paraId="0A5C69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3. Survivorship Bias and Time-Series "Spells"</w:t>
      </w:r>
    </w:p>
    <w:p w14:paraId="16517159"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retain all delisted stocks (M&amp;A and Bankruptcies) in the dataset up to their final trading month without imputing artificial exit returns. Furthermore, gaps in trading history are treated by assigning a new </w:t>
      </w:r>
      <w:proofErr w:type="spellStart"/>
      <w:r w:rsidRPr="00A1350B">
        <w:rPr>
          <w:rFonts w:ascii="Arial" w:eastAsia="Times New Roman" w:hAnsi="Arial" w:cs="Arial"/>
          <w:kern w:val="0"/>
          <w:sz w:val="20"/>
          <w:szCs w:val="20"/>
          <w:lang w:val="en-GB" w:eastAsia="en-GB"/>
          <w14:ligatures w14:val="none"/>
        </w:rPr>
        <w:t>SpellID</w:t>
      </w:r>
      <w:proofErr w:type="spellEnd"/>
      <w:r w:rsidRPr="00A1350B">
        <w:rPr>
          <w:rFonts w:ascii="Arial" w:eastAsia="Times New Roman" w:hAnsi="Arial" w:cs="Arial"/>
          <w:kern w:val="0"/>
          <w:sz w:val="24"/>
          <w:szCs w:val="24"/>
          <w:lang w:val="en-GB" w:eastAsia="en-GB"/>
          <w14:ligatures w14:val="none"/>
        </w:rPr>
        <w:t>, meaning a stock that disappears and re-lists is treated as a new mathematical entry.</w:t>
      </w:r>
    </w:p>
    <w:p w14:paraId="4D761635"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Dropping delisted firms introduces severe survivorship bias, making historical returns look artificially high. Grouping rolling calculations by </w:t>
      </w:r>
      <w:proofErr w:type="spellStart"/>
      <w:r w:rsidRPr="00A1350B">
        <w:rPr>
          <w:rFonts w:ascii="Arial" w:eastAsia="Times New Roman" w:hAnsi="Arial" w:cs="Arial"/>
          <w:kern w:val="0"/>
          <w:sz w:val="20"/>
          <w:szCs w:val="20"/>
          <w:lang w:val="en-GB" w:eastAsia="en-GB"/>
          <w14:ligatures w14:val="none"/>
        </w:rPr>
        <w:t>SpellID</w:t>
      </w:r>
      <w:proofErr w:type="spellEnd"/>
      <w:r w:rsidRPr="00A1350B">
        <w:rPr>
          <w:rFonts w:ascii="Arial" w:eastAsia="Times New Roman" w:hAnsi="Arial" w:cs="Arial"/>
          <w:kern w:val="0"/>
          <w:sz w:val="24"/>
          <w:szCs w:val="24"/>
          <w:lang w:val="en-GB" w:eastAsia="en-GB"/>
          <w14:ligatures w14:val="none"/>
        </w:rPr>
        <w:t xml:space="preserve"> ensures that a stock returning from a 5-year suspension does not improperly "borrow" momentum from its past life (Look-Ahead Bias).</w:t>
      </w:r>
    </w:p>
    <w:p w14:paraId="463ED5E8"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4. The Liquidity Filter (The "Investable Universe")</w:t>
      </w:r>
    </w:p>
    <w:p w14:paraId="73A0F94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Instead of dropping "penny stocks" based on a nominal price (e.g., &lt; 1 NOK) or pure Market Cap, we calculate the absolute </w:t>
      </w:r>
      <w:r w:rsidRPr="00A1350B">
        <w:rPr>
          <w:rFonts w:ascii="Arial" w:eastAsia="Times New Roman" w:hAnsi="Arial" w:cs="Arial"/>
          <w:b/>
          <w:bCs/>
          <w:kern w:val="0"/>
          <w:sz w:val="24"/>
          <w:szCs w:val="24"/>
          <w:lang w:val="en-GB" w:eastAsia="en-GB"/>
          <w14:ligatures w14:val="none"/>
        </w:rPr>
        <w:t>NOK Volume</w:t>
      </w:r>
      <w:r w:rsidRPr="00A1350B">
        <w:rPr>
          <w:rFonts w:ascii="Arial" w:eastAsia="Times New Roman" w:hAnsi="Arial" w:cs="Arial"/>
          <w:kern w:val="0"/>
          <w:sz w:val="24"/>
          <w:szCs w:val="24"/>
          <w:lang w:val="en-GB" w:eastAsia="en-GB"/>
          <w14:ligatures w14:val="none"/>
        </w:rPr>
        <w:t xml:space="preserve"> (Price $\times$ Shares Traded). We cross-sectionally rank this volume each month and drop the bottom 20% of the market </w:t>
      </w:r>
      <w:r w:rsidRPr="00A1350B">
        <w:rPr>
          <w:rFonts w:ascii="Arial" w:eastAsia="Times New Roman" w:hAnsi="Arial" w:cs="Arial"/>
          <w:i/>
          <w:iCs/>
          <w:kern w:val="0"/>
          <w:sz w:val="24"/>
          <w:szCs w:val="24"/>
          <w:lang w:val="en-GB" w:eastAsia="en-GB"/>
          <w14:ligatures w14:val="none"/>
        </w:rPr>
        <w:t>before</w:t>
      </w:r>
      <w:r w:rsidRPr="00A1350B">
        <w:rPr>
          <w:rFonts w:ascii="Arial" w:eastAsia="Times New Roman" w:hAnsi="Arial" w:cs="Arial"/>
          <w:kern w:val="0"/>
          <w:sz w:val="24"/>
          <w:szCs w:val="24"/>
          <w:lang w:val="en-GB" w:eastAsia="en-GB"/>
          <w14:ligatures w14:val="none"/>
        </w:rPr>
        <w:t xml:space="preserve"> training the ML model.</w:t>
      </w:r>
    </w:p>
    <w:p w14:paraId="0187E40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Micro-cap illiquid stocks suffer from the "bid-ask bounce," which creates massive, artificial return volatility. If left in the training set, tree-based models (</w:t>
      </w:r>
      <w:proofErr w:type="spellStart"/>
      <w:r w:rsidRPr="00A1350B">
        <w:rPr>
          <w:rFonts w:ascii="Arial" w:eastAsia="Times New Roman" w:hAnsi="Arial" w:cs="Arial"/>
          <w:kern w:val="0"/>
          <w:sz w:val="24"/>
          <w:szCs w:val="24"/>
          <w:lang w:val="en-GB" w:eastAsia="en-GB"/>
          <w14:ligatures w14:val="none"/>
        </w:rPr>
        <w:t>XGBoost</w:t>
      </w:r>
      <w:proofErr w:type="spellEnd"/>
      <w:r w:rsidRPr="00A1350B">
        <w:rPr>
          <w:rFonts w:ascii="Arial" w:eastAsia="Times New Roman" w:hAnsi="Arial" w:cs="Arial"/>
          <w:kern w:val="0"/>
          <w:sz w:val="24"/>
          <w:szCs w:val="24"/>
          <w:lang w:val="en-GB" w:eastAsia="en-GB"/>
          <w14:ligatures w14:val="none"/>
        </w:rPr>
        <w:t>) will waste their capacity trying to predict this microstructure noise instead of learning true economic signals. The NOK Volume perfectly balances the need for a company to be both fundamentally large enough and actively traded enough to be held by mutual funds.</w:t>
      </w:r>
    </w:p>
    <w:p w14:paraId="55437BBE"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18EEFF65"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i/>
          <w:iCs/>
          <w:kern w:val="0"/>
          <w:sz w:val="24"/>
          <w:szCs w:val="24"/>
          <w:lang w:val="en-GB" w:eastAsia="en-GB"/>
          <w14:ligatures w14:val="none"/>
        </w:rPr>
        <w:t>Nechvátalová</w:t>
      </w:r>
      <w:proofErr w:type="spellEnd"/>
      <w:r w:rsidRPr="00A1350B">
        <w:rPr>
          <w:rFonts w:ascii="Arial" w:eastAsia="Times New Roman" w:hAnsi="Arial" w:cs="Arial"/>
          <w:i/>
          <w:iCs/>
          <w:kern w:val="0"/>
          <w:sz w:val="24"/>
          <w:szCs w:val="24"/>
          <w:lang w:val="en-GB" w:eastAsia="en-GB"/>
          <w14:ligatures w14:val="none"/>
        </w:rPr>
        <w:t xml:space="preserve"> (2021)</w:t>
      </w:r>
      <w:r w:rsidRPr="00A1350B">
        <w:rPr>
          <w:rFonts w:ascii="Arial" w:eastAsia="Times New Roman" w:hAnsi="Arial" w:cs="Arial"/>
          <w:kern w:val="0"/>
          <w:sz w:val="24"/>
          <w:szCs w:val="24"/>
          <w:lang w:val="en-GB" w:eastAsia="en-GB"/>
          <w14:ligatures w14:val="none"/>
        </w:rPr>
        <w:t xml:space="preserve"> on how machine learning models fail when applied to low signal-to-noise ratio micro-caps, advocating for highly liquid universes.</w:t>
      </w:r>
    </w:p>
    <w:p w14:paraId="23C87CB1"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Molnár et al. (2025)</w:t>
      </w:r>
      <w:r w:rsidRPr="00A1350B">
        <w:rPr>
          <w:rFonts w:ascii="Arial" w:eastAsia="Times New Roman" w:hAnsi="Arial" w:cs="Arial"/>
          <w:kern w:val="0"/>
          <w:sz w:val="24"/>
          <w:szCs w:val="24"/>
          <w:lang w:val="en-GB" w:eastAsia="en-GB"/>
          <w14:ligatures w14:val="none"/>
        </w:rPr>
        <w:t xml:space="preserve"> on how microstructure noise and illiquidity dramatically bias return measurements.</w:t>
      </w:r>
    </w:p>
    <w:p w14:paraId="5D645237"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5. Target Decoupling (ML Target vs. Simulation Target)</w:t>
      </w:r>
    </w:p>
    <w:p w14:paraId="6CB2DF7F"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created two separate target variables for $t+1$.</w:t>
      </w:r>
    </w:p>
    <w:p w14:paraId="2534EAF9"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kern w:val="0"/>
          <w:sz w:val="20"/>
          <w:szCs w:val="20"/>
          <w:lang w:val="en-GB" w:eastAsia="en-GB"/>
          <w14:ligatures w14:val="none"/>
        </w:rPr>
        <w:t>Target_ML</w:t>
      </w:r>
      <w:proofErr w:type="spellEnd"/>
      <w:r w:rsidRPr="00A1350B">
        <w:rPr>
          <w:rFonts w:ascii="Arial" w:eastAsia="Times New Roman" w:hAnsi="Arial" w:cs="Arial"/>
          <w:kern w:val="0"/>
          <w:sz w:val="24"/>
          <w:szCs w:val="24"/>
          <w:lang w:val="en-GB" w:eastAsia="en-GB"/>
          <w14:ligatures w14:val="none"/>
        </w:rPr>
        <w:t xml:space="preserve">: The next month's return,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(capped at 1st/99th percentiles).</w:t>
      </w:r>
    </w:p>
    <w:p w14:paraId="7A271238"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proofErr w:type="spellStart"/>
      <w:r w:rsidRPr="00A1350B">
        <w:rPr>
          <w:rFonts w:ascii="Arial" w:eastAsia="Times New Roman" w:hAnsi="Arial" w:cs="Arial"/>
          <w:kern w:val="0"/>
          <w:sz w:val="20"/>
          <w:szCs w:val="20"/>
          <w:lang w:val="en-GB" w:eastAsia="en-GB"/>
          <w14:ligatures w14:val="none"/>
        </w:rPr>
        <w:t>Target_Raw</w:t>
      </w:r>
      <w:proofErr w:type="spellEnd"/>
      <w:r w:rsidRPr="00A1350B">
        <w:rPr>
          <w:rFonts w:ascii="Arial" w:eastAsia="Times New Roman" w:hAnsi="Arial" w:cs="Arial"/>
          <w:kern w:val="0"/>
          <w:sz w:val="24"/>
          <w:szCs w:val="24"/>
          <w:lang w:val="en-GB" w:eastAsia="en-GB"/>
          <w14:ligatures w14:val="none"/>
        </w:rPr>
        <w:t>: The next month's raw, uncapped return.</w:t>
      </w:r>
    </w:p>
    <w:p w14:paraId="47F2DE49"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w:t>
      </w:r>
      <w:proofErr w:type="spellStart"/>
      <w:r w:rsidRPr="00A1350B">
        <w:rPr>
          <w:rFonts w:ascii="Arial" w:eastAsia="Times New Roman" w:hAnsi="Arial" w:cs="Arial"/>
          <w:kern w:val="0"/>
          <w:sz w:val="24"/>
          <w:szCs w:val="24"/>
          <w:lang w:val="en-GB" w:eastAsia="en-GB"/>
          <w14:ligatures w14:val="none"/>
        </w:rPr>
        <w:t>XGBoost</w:t>
      </w:r>
      <w:proofErr w:type="spellEnd"/>
      <w:r w:rsidRPr="00A1350B">
        <w:rPr>
          <w:rFonts w:ascii="Arial" w:eastAsia="Times New Roman" w:hAnsi="Arial" w:cs="Arial"/>
          <w:kern w:val="0"/>
          <w:sz w:val="24"/>
          <w:szCs w:val="24"/>
          <w:lang w:val="en-GB" w:eastAsia="en-GB"/>
          <w14:ligatures w14:val="none"/>
        </w:rPr>
        <w:t xml:space="preserve"> optimizes using a loss function (like Mean Squared Error). A single un-capped +59,000% return would permanently distort the model's decision trees. However, if we evaluate our trading </w:t>
      </w:r>
      <w:proofErr w:type="spellStart"/>
      <w:r w:rsidRPr="00A1350B">
        <w:rPr>
          <w:rFonts w:ascii="Arial" w:eastAsia="Times New Roman" w:hAnsi="Arial" w:cs="Arial"/>
          <w:kern w:val="0"/>
          <w:sz w:val="24"/>
          <w:szCs w:val="24"/>
          <w:lang w:val="en-GB" w:eastAsia="en-GB"/>
          <w14:ligatures w14:val="none"/>
        </w:rPr>
        <w:t>backtest</w:t>
      </w:r>
      <w:proofErr w:type="spellEnd"/>
      <w:r w:rsidRPr="00A1350B">
        <w:rPr>
          <w:rFonts w:ascii="Arial" w:eastAsia="Times New Roman" w:hAnsi="Arial" w:cs="Arial"/>
          <w:kern w:val="0"/>
          <w:sz w:val="24"/>
          <w:szCs w:val="24"/>
          <w:lang w:val="en-GB" w:eastAsia="en-GB"/>
          <w14:ligatures w14:val="none"/>
        </w:rPr>
        <w:t xml:space="preserve"> using the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target, we artificially limit our maximum simulated profits, destroying the validity of the </w:t>
      </w:r>
      <w:proofErr w:type="spellStart"/>
      <w:r w:rsidRPr="00A1350B">
        <w:rPr>
          <w:rFonts w:ascii="Arial" w:eastAsia="Times New Roman" w:hAnsi="Arial" w:cs="Arial"/>
          <w:kern w:val="0"/>
          <w:sz w:val="24"/>
          <w:szCs w:val="24"/>
          <w:lang w:val="en-GB" w:eastAsia="en-GB"/>
          <w14:ligatures w14:val="none"/>
        </w:rPr>
        <w:t>backtest</w:t>
      </w:r>
      <w:proofErr w:type="spellEnd"/>
      <w:r w:rsidRPr="00A1350B">
        <w:rPr>
          <w:rFonts w:ascii="Arial" w:eastAsia="Times New Roman" w:hAnsi="Arial" w:cs="Arial"/>
          <w:kern w:val="0"/>
          <w:sz w:val="24"/>
          <w:szCs w:val="24"/>
          <w:lang w:val="en-GB" w:eastAsia="en-GB"/>
          <w14:ligatures w14:val="none"/>
        </w:rPr>
        <w:t>. Decoupling them solves both the statistical and financial requirements.</w:t>
      </w:r>
    </w:p>
    <w:p w14:paraId="4B467E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6. The "Factor Zoo" (Feature Engineering)</w:t>
      </w:r>
    </w:p>
    <w:p w14:paraId="6A79324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calculated rolling technical indicators on the </w:t>
      </w:r>
      <w:proofErr w:type="spellStart"/>
      <w:r w:rsidRPr="00A1350B">
        <w:rPr>
          <w:rFonts w:ascii="Arial" w:eastAsia="Times New Roman" w:hAnsi="Arial" w:cs="Arial"/>
          <w:kern w:val="0"/>
          <w:sz w:val="24"/>
          <w:szCs w:val="24"/>
          <w:lang w:val="en-GB" w:eastAsia="en-GB"/>
          <w14:ligatures w14:val="none"/>
        </w:rPr>
        <w:t>winsorized</w:t>
      </w:r>
      <w:proofErr w:type="spellEnd"/>
      <w:r w:rsidRPr="00A1350B">
        <w:rPr>
          <w:rFonts w:ascii="Arial" w:eastAsia="Times New Roman" w:hAnsi="Arial" w:cs="Arial"/>
          <w:kern w:val="0"/>
          <w:sz w:val="24"/>
          <w:szCs w:val="24"/>
          <w:lang w:val="en-GB" w:eastAsia="en-GB"/>
          <w14:ligatures w14:val="none"/>
        </w:rPr>
        <w:t xml:space="preserve"> historical returns:</w:t>
      </w:r>
    </w:p>
    <w:p w14:paraId="468A1C1E"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Reversal (1m):</w:t>
      </w:r>
      <w:r w:rsidRPr="00A1350B">
        <w:rPr>
          <w:rFonts w:ascii="Arial" w:eastAsia="Times New Roman" w:hAnsi="Arial" w:cs="Arial"/>
          <w:kern w:val="0"/>
          <w:sz w:val="24"/>
          <w:szCs w:val="24"/>
          <w:lang w:val="en-GB" w:eastAsia="en-GB"/>
          <w14:ligatures w14:val="none"/>
        </w:rPr>
        <w:t xml:space="preserve"> The immediate past month's return.</w:t>
      </w:r>
    </w:p>
    <w:p w14:paraId="3B657454"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Momentum (6m, 12m):</w:t>
      </w:r>
      <w:r w:rsidRPr="00A1350B">
        <w:rPr>
          <w:rFonts w:ascii="Arial" w:eastAsia="Times New Roman" w:hAnsi="Arial" w:cs="Arial"/>
          <w:kern w:val="0"/>
          <w:sz w:val="24"/>
          <w:szCs w:val="24"/>
          <w:lang w:val="en-GB" w:eastAsia="en-GB"/>
          <w14:ligatures w14:val="none"/>
        </w:rPr>
        <w:t xml:space="preserve"> Cumulative past returns </w:t>
      </w:r>
      <w:r w:rsidRPr="00A1350B">
        <w:rPr>
          <w:rFonts w:ascii="Arial" w:eastAsia="Times New Roman" w:hAnsi="Arial" w:cs="Arial"/>
          <w:i/>
          <w:iCs/>
          <w:kern w:val="0"/>
          <w:sz w:val="24"/>
          <w:szCs w:val="24"/>
          <w:lang w:val="en-GB" w:eastAsia="en-GB"/>
          <w14:ligatures w14:val="none"/>
        </w:rPr>
        <w:t>skipping</w:t>
      </w:r>
      <w:r w:rsidRPr="00A1350B">
        <w:rPr>
          <w:rFonts w:ascii="Arial" w:eastAsia="Times New Roman" w:hAnsi="Arial" w:cs="Arial"/>
          <w:kern w:val="0"/>
          <w:sz w:val="24"/>
          <w:szCs w:val="24"/>
          <w:lang w:val="en-GB" w:eastAsia="en-GB"/>
          <w14:ligatures w14:val="none"/>
        </w:rPr>
        <w:t xml:space="preserve"> the most recent month ($t-2$ to $t-12$).</w:t>
      </w:r>
    </w:p>
    <w:p w14:paraId="3E2C94A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Volatility (3m, 6m):</w:t>
      </w:r>
      <w:r w:rsidRPr="00A1350B">
        <w:rPr>
          <w:rFonts w:ascii="Arial" w:eastAsia="Times New Roman" w:hAnsi="Arial" w:cs="Arial"/>
          <w:kern w:val="0"/>
          <w:sz w:val="24"/>
          <w:szCs w:val="24"/>
          <w:lang w:val="en-GB" w:eastAsia="en-GB"/>
          <w14:ligatures w14:val="none"/>
        </w:rPr>
        <w:t xml:space="preserve"> Rolling standard deviation.</w:t>
      </w:r>
    </w:p>
    <w:p w14:paraId="4F4FB836"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Skipping the most recent month when calculating momentum is the industry standard to prevent short-term liquidity reversals from </w:t>
      </w:r>
      <w:proofErr w:type="spellStart"/>
      <w:r w:rsidRPr="00A1350B">
        <w:rPr>
          <w:rFonts w:ascii="Arial" w:eastAsia="Times New Roman" w:hAnsi="Arial" w:cs="Arial"/>
          <w:kern w:val="0"/>
          <w:sz w:val="24"/>
          <w:szCs w:val="24"/>
          <w:lang w:val="en-GB" w:eastAsia="en-GB"/>
          <w14:ligatures w14:val="none"/>
        </w:rPr>
        <w:t>canceling</w:t>
      </w:r>
      <w:proofErr w:type="spellEnd"/>
      <w:r w:rsidRPr="00A1350B">
        <w:rPr>
          <w:rFonts w:ascii="Arial" w:eastAsia="Times New Roman" w:hAnsi="Arial" w:cs="Arial"/>
          <w:kern w:val="0"/>
          <w:sz w:val="24"/>
          <w:szCs w:val="24"/>
          <w:lang w:val="en-GB" w:eastAsia="en-GB"/>
          <w14:ligatures w14:val="none"/>
        </w:rPr>
        <w:t xml:space="preserve"> out long-term fundamental momentum.</w:t>
      </w:r>
    </w:p>
    <w:p w14:paraId="405ADEE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9257A2F"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Jegadeesh and Titman (1993, 2001)</w:t>
      </w:r>
      <w:r w:rsidRPr="00A1350B">
        <w:rPr>
          <w:rFonts w:ascii="Arial" w:eastAsia="Times New Roman" w:hAnsi="Arial" w:cs="Arial"/>
          <w:kern w:val="0"/>
          <w:sz w:val="24"/>
          <w:szCs w:val="24"/>
          <w:lang w:val="en-GB" w:eastAsia="en-GB"/>
          <w14:ligatures w14:val="none"/>
        </w:rPr>
        <w:t xml:space="preserve"> – The seminal papers proving that momentum requires skipping the most recent month to avoid the short-term reversal effect.</w:t>
      </w:r>
    </w:p>
    <w:p w14:paraId="2DCD677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Green, Hand, and Zhang (2017)</w:t>
      </w:r>
      <w:r w:rsidRPr="00A1350B">
        <w:rPr>
          <w:rFonts w:ascii="Arial" w:eastAsia="Times New Roman" w:hAnsi="Arial" w:cs="Arial"/>
          <w:kern w:val="0"/>
          <w:sz w:val="24"/>
          <w:szCs w:val="24"/>
          <w:lang w:val="en-GB" w:eastAsia="en-GB"/>
          <w14:ligatures w14:val="none"/>
        </w:rPr>
        <w:t xml:space="preserve"> on the standard composition of the "Factor Zoo."</w:t>
      </w:r>
    </w:p>
    <w:p w14:paraId="3C072CF4"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7. Cross-Sectional Z-Scoring</w:t>
      </w:r>
    </w:p>
    <w:p w14:paraId="7A54559E"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Rather than feeding raw feature values to the ML model, every feature is converted to a Z-score relative only to the other stocks active </w:t>
      </w:r>
      <w:r w:rsidRPr="00A1350B">
        <w:rPr>
          <w:rFonts w:ascii="Arial" w:eastAsia="Times New Roman" w:hAnsi="Arial" w:cs="Arial"/>
          <w:i/>
          <w:iCs/>
          <w:kern w:val="0"/>
          <w:sz w:val="24"/>
          <w:szCs w:val="24"/>
          <w:lang w:val="en-GB" w:eastAsia="en-GB"/>
          <w14:ligatures w14:val="none"/>
        </w:rPr>
        <w:t>in that specific month</w:t>
      </w:r>
      <w:r w:rsidRPr="00A1350B">
        <w:rPr>
          <w:rFonts w:ascii="Arial" w:eastAsia="Times New Roman" w:hAnsi="Arial" w:cs="Arial"/>
          <w:kern w:val="0"/>
          <w:sz w:val="24"/>
          <w:szCs w:val="24"/>
          <w:lang w:val="en-GB" w:eastAsia="en-GB"/>
          <w14:ligatures w14:val="none"/>
        </w:rPr>
        <w:t>.</w:t>
      </w:r>
    </w:p>
    <w:p w14:paraId="10658B75"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Financial data is highly non-stationary (e.g., inflation in the 1980s vs. zero-rates in the 2010s). Cross-sectional Z-scoring removes macroeconomic regime shifts, forcing the model to evaluate relative stock strength. We use Z-scores rather than simple percentile ranks to preserve the magnitude (distance) of extreme outliers, allowing the model to recognize uniquely strong signals.</w:t>
      </w:r>
    </w:p>
    <w:p w14:paraId="22A3C120"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F34B63F"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 The definitive modern paper on Machine Learning in asset pricing, which explicitly uses cross-sectional scaling to normalize deep learning inputs.</w:t>
      </w:r>
    </w:p>
    <w:p w14:paraId="244095FC"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Kelly, Pruitt, and Su (2019)</w:t>
      </w:r>
      <w:r w:rsidRPr="00A1350B">
        <w:rPr>
          <w:rFonts w:ascii="Arial" w:eastAsia="Times New Roman" w:hAnsi="Arial" w:cs="Arial"/>
          <w:kern w:val="0"/>
          <w:sz w:val="24"/>
          <w:szCs w:val="24"/>
          <w:lang w:val="en-GB" w:eastAsia="en-GB"/>
          <w14:ligatures w14:val="none"/>
        </w:rPr>
        <w:t xml:space="preserve"> on characteristic-based cross-sectional asset pricing.</w:t>
      </w:r>
    </w:p>
    <w:p w14:paraId="57D908BC" w14:textId="77777777" w:rsidR="00A929A5" w:rsidRDefault="00A929A5"/>
    <w:p w14:paraId="3A0905CB" w14:textId="77777777" w:rsidR="00665CE0" w:rsidRPr="00665CE0" w:rsidRDefault="00665CE0" w:rsidP="00665CE0">
      <w:pPr>
        <w:spacing w:after="100" w:afterAutospacing="1" w:line="240" w:lineRule="auto"/>
        <w:outlineLvl w:val="0"/>
        <w:rPr>
          <w:rFonts w:ascii="Arial" w:eastAsia="Times New Roman" w:hAnsi="Arial" w:cs="Arial"/>
          <w:b/>
          <w:bCs/>
          <w:kern w:val="36"/>
          <w:sz w:val="48"/>
          <w:szCs w:val="48"/>
          <w:lang w:val="en-GB" w:eastAsia="en-GB"/>
          <w14:ligatures w14:val="none"/>
        </w:rPr>
      </w:pPr>
      <w:r w:rsidRPr="00665CE0">
        <w:rPr>
          <w:rFonts w:ascii="Arial" w:eastAsia="Times New Roman" w:hAnsi="Arial" w:cs="Arial"/>
          <w:b/>
          <w:bCs/>
          <w:kern w:val="36"/>
          <w:sz w:val="48"/>
          <w:szCs w:val="48"/>
          <w:lang w:val="en-GB" w:eastAsia="en-GB"/>
          <w14:ligatures w14:val="none"/>
        </w:rPr>
        <w:t>Machine Learning &amp; Strategy Methodology Summary</w:t>
      </w:r>
    </w:p>
    <w:p w14:paraId="0730159D"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1. Smart Money Integration &amp; Publication Lag</w:t>
      </w:r>
    </w:p>
    <w:p w14:paraId="5AB9EBD8"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engineered three "Smart Money" features from mutual fund holdings: Average Active Weight, Fund Breadth (Count), and Conviction (</w:t>
      </w:r>
      <w:proofErr w:type="gramStart"/>
      <w:r w:rsidRPr="00665CE0">
        <w:rPr>
          <w:rFonts w:ascii="Arial" w:eastAsia="Times New Roman" w:hAnsi="Arial" w:cs="Arial"/>
          <w:kern w:val="0"/>
          <w:sz w:val="24"/>
          <w:szCs w:val="24"/>
          <w:lang w:val="en-GB" w:eastAsia="en-GB"/>
          <w14:ligatures w14:val="none"/>
        </w:rPr>
        <w:t>Top-10</w:t>
      </w:r>
      <w:proofErr w:type="gramEnd"/>
      <w:r w:rsidRPr="00665CE0">
        <w:rPr>
          <w:rFonts w:ascii="Arial" w:eastAsia="Times New Roman" w:hAnsi="Arial" w:cs="Arial"/>
          <w:kern w:val="0"/>
          <w:sz w:val="24"/>
          <w:szCs w:val="24"/>
          <w:lang w:val="en-GB" w:eastAsia="en-GB"/>
          <w14:ligatures w14:val="none"/>
        </w:rPr>
        <w:t xml:space="preserve"> Count). Crucially, we applied a </w:t>
      </w:r>
      <w:r w:rsidRPr="00665CE0">
        <w:rPr>
          <w:rFonts w:ascii="Arial" w:eastAsia="Times New Roman" w:hAnsi="Arial" w:cs="Arial"/>
          <w:b/>
          <w:bCs/>
          <w:kern w:val="0"/>
          <w:sz w:val="24"/>
          <w:szCs w:val="24"/>
          <w:lang w:val="en-GB" w:eastAsia="en-GB"/>
          <w14:ligatures w14:val="none"/>
        </w:rPr>
        <w:t>1-month lag</w:t>
      </w:r>
      <w:r w:rsidRPr="00665CE0">
        <w:rPr>
          <w:rFonts w:ascii="Arial" w:eastAsia="Times New Roman" w:hAnsi="Arial" w:cs="Arial"/>
          <w:kern w:val="0"/>
          <w:sz w:val="24"/>
          <w:szCs w:val="24"/>
          <w:lang w:val="en-GB" w:eastAsia="en-GB"/>
          <w14:ligatures w14:val="none"/>
        </w:rPr>
        <w:t xml:space="preserve"> to this data before merging it with the stock features.</w:t>
      </w:r>
    </w:p>
    <w:p w14:paraId="2999A612"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Mutual funds do not instantly broadcast their portfolios to the public. If a retail or external quantitative strategy trades on the exact day the month ends, assuming knowledge of that day's mutual fund holdings introduces severe </w:t>
      </w:r>
      <w:r w:rsidRPr="00665CE0">
        <w:rPr>
          <w:rFonts w:ascii="Arial" w:eastAsia="Times New Roman" w:hAnsi="Arial" w:cs="Arial"/>
          <w:b/>
          <w:bCs/>
          <w:kern w:val="0"/>
          <w:sz w:val="24"/>
          <w:szCs w:val="24"/>
          <w:lang w:val="en-GB" w:eastAsia="en-GB"/>
          <w14:ligatures w14:val="none"/>
        </w:rPr>
        <w:t>Look-Ahead Bias</w:t>
      </w:r>
      <w:r w:rsidRPr="00665CE0">
        <w:rPr>
          <w:rFonts w:ascii="Arial" w:eastAsia="Times New Roman" w:hAnsi="Arial" w:cs="Arial"/>
          <w:kern w:val="0"/>
          <w:sz w:val="24"/>
          <w:szCs w:val="24"/>
          <w:lang w:val="en-GB" w:eastAsia="en-GB"/>
          <w14:ligatures w14:val="none"/>
        </w:rPr>
        <w:t>. Lagging the data by one month simulates a realistic reporting delay.</w:t>
      </w:r>
    </w:p>
    <w:p w14:paraId="0684C9E6" w14:textId="77777777" w:rsidR="00665CE0" w:rsidRPr="00665CE0" w:rsidRDefault="00665CE0" w:rsidP="00665CE0">
      <w:pPr>
        <w:numPr>
          <w:ilvl w:val="0"/>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2F42295D" w14:textId="77777777" w:rsidR="00665CE0" w:rsidRPr="00665CE0" w:rsidRDefault="00665CE0" w:rsidP="00665CE0">
      <w:pPr>
        <w:numPr>
          <w:ilvl w:val="1"/>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 xml:space="preserve">Cohen, Polk, and </w:t>
      </w:r>
      <w:proofErr w:type="spellStart"/>
      <w:r w:rsidRPr="00665CE0">
        <w:rPr>
          <w:rFonts w:ascii="Arial" w:eastAsia="Times New Roman" w:hAnsi="Arial" w:cs="Arial"/>
          <w:i/>
          <w:iCs/>
          <w:kern w:val="0"/>
          <w:sz w:val="24"/>
          <w:szCs w:val="24"/>
          <w:lang w:val="en-GB" w:eastAsia="en-GB"/>
          <w14:ligatures w14:val="none"/>
        </w:rPr>
        <w:t>Silli</w:t>
      </w:r>
      <w:proofErr w:type="spellEnd"/>
      <w:r w:rsidRPr="00665CE0">
        <w:rPr>
          <w:rFonts w:ascii="Arial" w:eastAsia="Times New Roman" w:hAnsi="Arial" w:cs="Arial"/>
          <w:i/>
          <w:iCs/>
          <w:kern w:val="0"/>
          <w:sz w:val="24"/>
          <w:szCs w:val="24"/>
          <w:lang w:val="en-GB" w:eastAsia="en-GB"/>
          <w14:ligatures w14:val="none"/>
        </w:rPr>
        <w:t xml:space="preserve"> (2010), "Best Ideas"</w:t>
      </w:r>
      <w:r w:rsidRPr="00665CE0">
        <w:rPr>
          <w:rFonts w:ascii="Arial" w:eastAsia="Times New Roman" w:hAnsi="Arial" w:cs="Arial"/>
          <w:kern w:val="0"/>
          <w:sz w:val="24"/>
          <w:szCs w:val="24"/>
          <w:lang w:val="en-GB" w:eastAsia="en-GB"/>
          <w14:ligatures w14:val="none"/>
        </w:rPr>
        <w:t xml:space="preserve"> – Proves that the highest-conviction (Top 10) active weights in mutual fund portfolios significantly outperform the rest of the portfolio and the market.</w:t>
      </w:r>
    </w:p>
    <w:p w14:paraId="1839A017" w14:textId="77777777" w:rsidR="00665CE0" w:rsidRPr="00665CE0" w:rsidRDefault="00665CE0" w:rsidP="00665CE0">
      <w:pPr>
        <w:numPr>
          <w:ilvl w:val="1"/>
          <w:numId w:val="8"/>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Banz and Breen (1986)</w:t>
      </w:r>
      <w:r w:rsidRPr="00665CE0">
        <w:rPr>
          <w:rFonts w:ascii="Arial" w:eastAsia="Times New Roman" w:hAnsi="Arial" w:cs="Arial"/>
          <w:kern w:val="0"/>
          <w:sz w:val="24"/>
          <w:szCs w:val="24"/>
          <w:lang w:val="en-GB" w:eastAsia="en-GB"/>
          <w14:ligatures w14:val="none"/>
        </w:rPr>
        <w:t xml:space="preserve"> – The classic paper establishing the necessity of accounting for data publication lags (Look-Ahead Bias) in quantitative </w:t>
      </w:r>
      <w:proofErr w:type="spellStart"/>
      <w:r w:rsidRPr="00665CE0">
        <w:rPr>
          <w:rFonts w:ascii="Arial" w:eastAsia="Times New Roman" w:hAnsi="Arial" w:cs="Arial"/>
          <w:kern w:val="0"/>
          <w:sz w:val="24"/>
          <w:szCs w:val="24"/>
          <w:lang w:val="en-GB" w:eastAsia="en-GB"/>
          <w14:ligatures w14:val="none"/>
        </w:rPr>
        <w:t>backtesting</w:t>
      </w:r>
      <w:proofErr w:type="spellEnd"/>
      <w:r w:rsidRPr="00665CE0">
        <w:rPr>
          <w:rFonts w:ascii="Arial" w:eastAsia="Times New Roman" w:hAnsi="Arial" w:cs="Arial"/>
          <w:kern w:val="0"/>
          <w:sz w:val="24"/>
          <w:szCs w:val="24"/>
          <w:lang w:val="en-GB" w:eastAsia="en-GB"/>
          <w14:ligatures w14:val="none"/>
        </w:rPr>
        <w:t>.</w:t>
      </w:r>
    </w:p>
    <w:p w14:paraId="75BF5AE2"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2. Target Neutralization (Cross-Sectional Z-Scoring)</w:t>
      </w:r>
    </w:p>
    <w:p w14:paraId="490E89B6"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Instead of predicting absolute future returns (e.g., +15% or -5%), the ML target variable ($y$) was cross-sectionally Z-scored for each specific month.</w:t>
      </w:r>
    </w:p>
    <w:p w14:paraId="4DC5DD76"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markets are subject to drastic macroeconomic regime shifts. If the target is left raw, the ML model attempts to predict the broader market direction (which is nearly impossible) rather than stock-specific </w:t>
      </w:r>
      <w:r w:rsidRPr="00665CE0">
        <w:rPr>
          <w:rFonts w:ascii="Arial" w:eastAsia="Times New Roman" w:hAnsi="Arial" w:cs="Arial"/>
          <w:kern w:val="0"/>
          <w:sz w:val="24"/>
          <w:szCs w:val="24"/>
          <w:lang w:val="en-GB" w:eastAsia="en-GB"/>
          <w14:ligatures w14:val="none"/>
        </w:rPr>
        <w:lastRenderedPageBreak/>
        <w:t>alpha. By cross-sectionally scaling the target to a mean of 0 and standard deviation of 1, we neutralize the macro market return. The model acts as a "Pure Alpha Engine," focusing exclusively on ranking which stocks will perform relatively better than their peers regardless of whether the market crashes or rallies.</w:t>
      </w:r>
    </w:p>
    <w:p w14:paraId="3ACDE99C" w14:textId="77777777" w:rsidR="00665CE0" w:rsidRPr="00665CE0" w:rsidRDefault="00665CE0" w:rsidP="00665CE0">
      <w:pPr>
        <w:numPr>
          <w:ilvl w:val="0"/>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887D52D" w14:textId="77777777" w:rsidR="00665CE0" w:rsidRPr="00665CE0" w:rsidRDefault="00665CE0" w:rsidP="00665CE0">
      <w:pPr>
        <w:numPr>
          <w:ilvl w:val="1"/>
          <w:numId w:val="9"/>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Gu, Kelly, and Xiu (2020), "Empirical Asset Pricing via Machine Learning"</w:t>
      </w:r>
      <w:r w:rsidRPr="00665CE0">
        <w:rPr>
          <w:rFonts w:ascii="Arial" w:eastAsia="Times New Roman" w:hAnsi="Arial" w:cs="Arial"/>
          <w:kern w:val="0"/>
          <w:sz w:val="24"/>
          <w:szCs w:val="24"/>
          <w:lang w:val="en-GB" w:eastAsia="en-GB"/>
          <w14:ligatures w14:val="none"/>
        </w:rPr>
        <w:t xml:space="preserve"> – The definitive framework for applying cross-sectional scaling to targets and features in financial machine learning panels.</w:t>
      </w:r>
    </w:p>
    <w:p w14:paraId="5E09C81B"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3. Chronological Time-Series Splitting</w:t>
      </w:r>
    </w:p>
    <w:p w14:paraId="384EACD2"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rejected standard K-Fold Cross-Validation (which randomly shuffles data) and implemented a strict, time-based split using Scikit-Learn’s </w:t>
      </w:r>
      <w:proofErr w:type="spellStart"/>
      <w:r w:rsidRPr="00665CE0">
        <w:rPr>
          <w:rFonts w:ascii="Arial" w:eastAsia="Times New Roman" w:hAnsi="Arial" w:cs="Arial"/>
          <w:kern w:val="0"/>
          <w:sz w:val="20"/>
          <w:szCs w:val="20"/>
          <w:lang w:val="en-GB" w:eastAsia="en-GB"/>
          <w14:ligatures w14:val="none"/>
        </w:rPr>
        <w:t>PredefinedSplit</w:t>
      </w:r>
      <w:proofErr w:type="spellEnd"/>
      <w:r w:rsidRPr="00665CE0">
        <w:rPr>
          <w:rFonts w:ascii="Arial" w:eastAsia="Times New Roman" w:hAnsi="Arial" w:cs="Arial"/>
          <w:kern w:val="0"/>
          <w:sz w:val="24"/>
          <w:szCs w:val="24"/>
          <w:lang w:val="en-GB" w:eastAsia="en-GB"/>
          <w14:ligatures w14:val="none"/>
        </w:rPr>
        <w:t xml:space="preserve">. The data was explicitly sliced into historical training, a </w:t>
      </w:r>
      <w:proofErr w:type="spellStart"/>
      <w:r w:rsidRPr="00665CE0">
        <w:rPr>
          <w:rFonts w:ascii="Arial" w:eastAsia="Times New Roman" w:hAnsi="Arial" w:cs="Arial"/>
          <w:kern w:val="0"/>
          <w:sz w:val="24"/>
          <w:szCs w:val="24"/>
          <w:lang w:val="en-GB" w:eastAsia="en-GB"/>
          <w14:ligatures w14:val="none"/>
        </w:rPr>
        <w:t>lockboxed</w:t>
      </w:r>
      <w:proofErr w:type="spellEnd"/>
      <w:r w:rsidRPr="00665CE0">
        <w:rPr>
          <w:rFonts w:ascii="Arial" w:eastAsia="Times New Roman" w:hAnsi="Arial" w:cs="Arial"/>
          <w:kern w:val="0"/>
          <w:sz w:val="24"/>
          <w:szCs w:val="24"/>
          <w:lang w:val="en-GB" w:eastAsia="en-GB"/>
          <w14:ligatures w14:val="none"/>
        </w:rPr>
        <w:t xml:space="preserve"> validation period (2018–2021), and an unseen simulation test period (2022–2025).</w:t>
      </w:r>
    </w:p>
    <w:p w14:paraId="3D48B52D"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data is time-dependent. Standard K-Fold validation allows future data (e.g., the 2020 COVID crash) to leak into the training set used to predict past data (e.g., 2018). Strict chronological splitting guarantees absolute out-of-sample integrity.</w:t>
      </w:r>
    </w:p>
    <w:p w14:paraId="295B64BA" w14:textId="77777777" w:rsidR="00665CE0" w:rsidRPr="00665CE0" w:rsidRDefault="00665CE0" w:rsidP="00665CE0">
      <w:pPr>
        <w:numPr>
          <w:ilvl w:val="0"/>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32340432" w14:textId="77777777" w:rsidR="00665CE0" w:rsidRPr="00665CE0" w:rsidRDefault="00665CE0" w:rsidP="00665CE0">
      <w:pPr>
        <w:numPr>
          <w:ilvl w:val="1"/>
          <w:numId w:val="10"/>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Lopez de Prado (2018), "Advances in Financial Machine Learning"</w:t>
      </w:r>
      <w:r w:rsidRPr="00665CE0">
        <w:rPr>
          <w:rFonts w:ascii="Arial" w:eastAsia="Times New Roman" w:hAnsi="Arial" w:cs="Arial"/>
          <w:kern w:val="0"/>
          <w:sz w:val="24"/>
          <w:szCs w:val="24"/>
          <w:lang w:val="en-GB" w:eastAsia="en-GB"/>
          <w14:ligatures w14:val="none"/>
        </w:rPr>
        <w:t xml:space="preserve"> – Details the extreme dangers of K-Fold cross-validation in finance and mandates chronological splitting/embargoing.</w:t>
      </w:r>
    </w:p>
    <w:p w14:paraId="1091B6BA"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4. Model Selection and Aggressive Regularization</w:t>
      </w:r>
    </w:p>
    <w:p w14:paraId="411BB8C4"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We deployed four distinct algorithms: Ridge Regression (Linear), Random Forest (Bagging),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xml:space="preserve"> (Boosting), and a Multi-Layer Perceptron (Neural Network). Crucially, the hyperparameter grids aggressively restricted model complexity (e.g., limiting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xml:space="preserve"> to </w:t>
      </w:r>
      <w:proofErr w:type="spellStart"/>
      <w:r w:rsidRPr="00665CE0">
        <w:rPr>
          <w:rFonts w:ascii="Arial" w:eastAsia="Times New Roman" w:hAnsi="Arial" w:cs="Arial"/>
          <w:kern w:val="0"/>
          <w:sz w:val="20"/>
          <w:szCs w:val="20"/>
          <w:lang w:val="en-GB" w:eastAsia="en-GB"/>
          <w14:ligatures w14:val="none"/>
        </w:rPr>
        <w:t>max_depth</w:t>
      </w:r>
      <w:proofErr w:type="spellEnd"/>
      <w:r w:rsidRPr="00665CE0">
        <w:rPr>
          <w:rFonts w:ascii="Arial" w:eastAsia="Times New Roman" w:hAnsi="Arial" w:cs="Arial"/>
          <w:kern w:val="0"/>
          <w:sz w:val="20"/>
          <w:szCs w:val="20"/>
          <w:lang w:val="en-GB" w:eastAsia="en-GB"/>
          <w14:ligatures w14:val="none"/>
        </w:rPr>
        <w:t xml:space="preserve"> = 3</w:t>
      </w:r>
      <w:r w:rsidRPr="00665CE0">
        <w:rPr>
          <w:rFonts w:ascii="Arial" w:eastAsia="Times New Roman" w:hAnsi="Arial" w:cs="Arial"/>
          <w:kern w:val="0"/>
          <w:sz w:val="24"/>
          <w:szCs w:val="24"/>
          <w:lang w:val="en-GB" w:eastAsia="en-GB"/>
          <w14:ligatures w14:val="none"/>
        </w:rPr>
        <w:t xml:space="preserve"> and the MLP to a small </w:t>
      </w:r>
      <w:r w:rsidRPr="00665CE0">
        <w:rPr>
          <w:rFonts w:ascii="Arial" w:eastAsia="Times New Roman" w:hAnsi="Arial" w:cs="Arial"/>
          <w:kern w:val="0"/>
          <w:sz w:val="20"/>
          <w:szCs w:val="20"/>
          <w:lang w:val="en-GB" w:eastAsia="en-GB"/>
          <w14:ligatures w14:val="none"/>
        </w:rPr>
        <w:t>(16, 8)</w:t>
      </w:r>
      <w:r w:rsidRPr="00665CE0">
        <w:rPr>
          <w:rFonts w:ascii="Arial" w:eastAsia="Times New Roman" w:hAnsi="Arial" w:cs="Arial"/>
          <w:kern w:val="0"/>
          <w:sz w:val="24"/>
          <w:szCs w:val="24"/>
          <w:lang w:val="en-GB" w:eastAsia="en-GB"/>
          <w14:ligatures w14:val="none"/>
        </w:rPr>
        <w:t xml:space="preserve"> layer architecture).</w:t>
      </w:r>
    </w:p>
    <w:p w14:paraId="5F8BFDB6"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Financial asset returns have an exceptionally low signal-to-noise ratio. Deep trees or massive neural networks will perfectly memorize the random noise in the training and validation sets, leading to catastrophic failure out-of-sample. Restricting tree depth and network size acts as a structural regularization, forcing the algorithms to only split on broad, universal economic signals.</w:t>
      </w:r>
    </w:p>
    <w:p w14:paraId="18910609" w14:textId="77777777" w:rsidR="00665CE0" w:rsidRPr="00665CE0" w:rsidRDefault="00665CE0" w:rsidP="00665CE0">
      <w:pPr>
        <w:numPr>
          <w:ilvl w:val="0"/>
          <w:numId w:val="11"/>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EA155B9" w14:textId="77777777" w:rsidR="00665CE0" w:rsidRPr="00665CE0" w:rsidRDefault="00665CE0" w:rsidP="00665CE0">
      <w:pPr>
        <w:numPr>
          <w:ilvl w:val="1"/>
          <w:numId w:val="11"/>
        </w:numPr>
        <w:spacing w:after="100" w:afterAutospacing="1" w:line="240" w:lineRule="auto"/>
        <w:rPr>
          <w:rFonts w:ascii="Arial" w:eastAsia="Times New Roman" w:hAnsi="Arial" w:cs="Arial"/>
          <w:kern w:val="0"/>
          <w:sz w:val="24"/>
          <w:szCs w:val="24"/>
          <w:lang w:val="en-GB" w:eastAsia="en-GB"/>
          <w14:ligatures w14:val="none"/>
        </w:rPr>
      </w:pPr>
      <w:proofErr w:type="spellStart"/>
      <w:r w:rsidRPr="00665CE0">
        <w:rPr>
          <w:rFonts w:ascii="Arial" w:eastAsia="Times New Roman" w:hAnsi="Arial" w:cs="Arial"/>
          <w:i/>
          <w:iCs/>
          <w:kern w:val="0"/>
          <w:sz w:val="24"/>
          <w:szCs w:val="24"/>
          <w:lang w:val="en-GB" w:eastAsia="en-GB"/>
          <w14:ligatures w14:val="none"/>
        </w:rPr>
        <w:t>Coqueret</w:t>
      </w:r>
      <w:proofErr w:type="spellEnd"/>
      <w:r w:rsidRPr="00665CE0">
        <w:rPr>
          <w:rFonts w:ascii="Arial" w:eastAsia="Times New Roman" w:hAnsi="Arial" w:cs="Arial"/>
          <w:i/>
          <w:iCs/>
          <w:kern w:val="0"/>
          <w:sz w:val="24"/>
          <w:szCs w:val="24"/>
          <w:lang w:val="en-GB" w:eastAsia="en-GB"/>
          <w14:ligatures w14:val="none"/>
        </w:rPr>
        <w:t xml:space="preserve"> and Guida (2020), "Machine Learning for Factor Investing"</w:t>
      </w:r>
      <w:r w:rsidRPr="00665CE0">
        <w:rPr>
          <w:rFonts w:ascii="Arial" w:eastAsia="Times New Roman" w:hAnsi="Arial" w:cs="Arial"/>
          <w:kern w:val="0"/>
          <w:sz w:val="24"/>
          <w:szCs w:val="24"/>
          <w:lang w:val="en-GB" w:eastAsia="en-GB"/>
          <w14:ligatures w14:val="none"/>
        </w:rPr>
        <w:t xml:space="preserve"> – Highlights the necessity of shallow trees and heavy regularization when predicting noisy cross-sectional equity returns.</w:t>
      </w:r>
    </w:p>
    <w:p w14:paraId="5E625480"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5. The Ensemble Method</w:t>
      </w:r>
    </w:p>
    <w:p w14:paraId="7D509879"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The final predicted Alpha score for the simulation is not derived from a single model, but rather a simple average of the predictions from the underlying models (Ridge, RF, </w:t>
      </w:r>
      <w:proofErr w:type="spellStart"/>
      <w:r w:rsidRPr="00665CE0">
        <w:rPr>
          <w:rFonts w:ascii="Arial" w:eastAsia="Times New Roman" w:hAnsi="Arial" w:cs="Arial"/>
          <w:kern w:val="0"/>
          <w:sz w:val="24"/>
          <w:szCs w:val="24"/>
          <w:lang w:val="en-GB" w:eastAsia="en-GB"/>
          <w14:ligatures w14:val="none"/>
        </w:rPr>
        <w:t>XGBoost</w:t>
      </w:r>
      <w:proofErr w:type="spellEnd"/>
      <w:r w:rsidRPr="00665CE0">
        <w:rPr>
          <w:rFonts w:ascii="Arial" w:eastAsia="Times New Roman" w:hAnsi="Arial" w:cs="Arial"/>
          <w:kern w:val="0"/>
          <w:sz w:val="24"/>
          <w:szCs w:val="24"/>
          <w:lang w:val="en-GB" w:eastAsia="en-GB"/>
          <w14:ligatures w14:val="none"/>
        </w:rPr>
        <w:t>, MLP).</w:t>
      </w:r>
    </w:p>
    <w:p w14:paraId="17F66254"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lastRenderedPageBreak/>
        <w:t>The Justification:</w:t>
      </w:r>
      <w:r w:rsidRPr="00665CE0">
        <w:rPr>
          <w:rFonts w:ascii="Arial" w:eastAsia="Times New Roman" w:hAnsi="Arial" w:cs="Arial"/>
          <w:kern w:val="0"/>
          <w:sz w:val="24"/>
          <w:szCs w:val="24"/>
          <w:lang w:val="en-GB" w:eastAsia="en-GB"/>
          <w14:ligatures w14:val="none"/>
        </w:rPr>
        <w:t xml:space="preserve"> Different algorithms have different blind spots. A linear model might underfit, while a boosting model might slightly overfit. </w:t>
      </w:r>
      <w:proofErr w:type="spellStart"/>
      <w:r w:rsidRPr="00665CE0">
        <w:rPr>
          <w:rFonts w:ascii="Arial" w:eastAsia="Times New Roman" w:hAnsi="Arial" w:cs="Arial"/>
          <w:kern w:val="0"/>
          <w:sz w:val="24"/>
          <w:szCs w:val="24"/>
          <w:lang w:val="en-GB" w:eastAsia="en-GB"/>
          <w14:ligatures w14:val="none"/>
        </w:rPr>
        <w:t>Ensembling</w:t>
      </w:r>
      <w:proofErr w:type="spellEnd"/>
      <w:r w:rsidRPr="00665CE0">
        <w:rPr>
          <w:rFonts w:ascii="Arial" w:eastAsia="Times New Roman" w:hAnsi="Arial" w:cs="Arial"/>
          <w:kern w:val="0"/>
          <w:sz w:val="24"/>
          <w:szCs w:val="24"/>
          <w:lang w:val="en-GB" w:eastAsia="en-GB"/>
          <w14:ligatures w14:val="none"/>
        </w:rPr>
        <w:t xml:space="preserve"> allows the uncorrelated random errors of the individual models to cancel each other out, while the true underlying signal (which all models detect) is amplified.</w:t>
      </w:r>
    </w:p>
    <w:p w14:paraId="6226FA78" w14:textId="77777777" w:rsidR="00665CE0" w:rsidRPr="00665CE0" w:rsidRDefault="00665CE0" w:rsidP="00665CE0">
      <w:pPr>
        <w:numPr>
          <w:ilvl w:val="0"/>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C63B227" w14:textId="77777777" w:rsidR="00665CE0" w:rsidRPr="00665CE0" w:rsidRDefault="00665CE0" w:rsidP="00665CE0">
      <w:pPr>
        <w:numPr>
          <w:ilvl w:val="1"/>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Dietterich (2000), "Ensemble Methods in Machine Learning"</w:t>
      </w:r>
      <w:r w:rsidRPr="00665CE0">
        <w:rPr>
          <w:rFonts w:ascii="Arial" w:eastAsia="Times New Roman" w:hAnsi="Arial" w:cs="Arial"/>
          <w:kern w:val="0"/>
          <w:sz w:val="24"/>
          <w:szCs w:val="24"/>
          <w:lang w:val="en-GB" w:eastAsia="en-GB"/>
          <w14:ligatures w14:val="none"/>
        </w:rPr>
        <w:t xml:space="preserve"> – Proves that ensembles reduce variance and consistently outperform single models.</w:t>
      </w:r>
    </w:p>
    <w:p w14:paraId="67B62C80" w14:textId="77777777" w:rsidR="00665CE0" w:rsidRPr="00665CE0" w:rsidRDefault="00665CE0" w:rsidP="00665CE0">
      <w:pPr>
        <w:numPr>
          <w:ilvl w:val="1"/>
          <w:numId w:val="12"/>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Gu, Kelly, and Xiu (2020)</w:t>
      </w:r>
      <w:r w:rsidRPr="00665CE0">
        <w:rPr>
          <w:rFonts w:ascii="Arial" w:eastAsia="Times New Roman" w:hAnsi="Arial" w:cs="Arial"/>
          <w:kern w:val="0"/>
          <w:sz w:val="24"/>
          <w:szCs w:val="24"/>
          <w:lang w:val="en-GB" w:eastAsia="en-GB"/>
          <w14:ligatures w14:val="none"/>
        </w:rPr>
        <w:t xml:space="preserve"> – Explicitly recommends </w:t>
      </w:r>
      <w:proofErr w:type="spellStart"/>
      <w:r w:rsidRPr="00665CE0">
        <w:rPr>
          <w:rFonts w:ascii="Arial" w:eastAsia="Times New Roman" w:hAnsi="Arial" w:cs="Arial"/>
          <w:kern w:val="0"/>
          <w:sz w:val="24"/>
          <w:szCs w:val="24"/>
          <w:lang w:val="en-GB" w:eastAsia="en-GB"/>
          <w14:ligatures w14:val="none"/>
        </w:rPr>
        <w:t>ensembling</w:t>
      </w:r>
      <w:proofErr w:type="spellEnd"/>
      <w:r w:rsidRPr="00665CE0">
        <w:rPr>
          <w:rFonts w:ascii="Arial" w:eastAsia="Times New Roman" w:hAnsi="Arial" w:cs="Arial"/>
          <w:kern w:val="0"/>
          <w:sz w:val="24"/>
          <w:szCs w:val="24"/>
          <w:lang w:val="en-GB" w:eastAsia="en-GB"/>
          <w14:ligatures w14:val="none"/>
        </w:rPr>
        <w:t xml:space="preserve"> linear, tree-based, and deep learning models in asset pricing.</w:t>
      </w:r>
    </w:p>
    <w:p w14:paraId="52D61C64" w14:textId="77777777" w:rsidR="00665CE0" w:rsidRPr="00665CE0" w:rsidRDefault="00665CE0" w:rsidP="00665CE0">
      <w:pPr>
        <w:spacing w:after="100" w:afterAutospacing="1" w:line="240" w:lineRule="auto"/>
        <w:outlineLvl w:val="2"/>
        <w:rPr>
          <w:rFonts w:ascii="Arial" w:eastAsia="Times New Roman" w:hAnsi="Arial" w:cs="Arial"/>
          <w:b/>
          <w:bCs/>
          <w:kern w:val="0"/>
          <w:sz w:val="27"/>
          <w:szCs w:val="27"/>
          <w:lang w:val="en-GB" w:eastAsia="en-GB"/>
          <w14:ligatures w14:val="none"/>
        </w:rPr>
      </w:pPr>
      <w:r w:rsidRPr="00665CE0">
        <w:rPr>
          <w:rFonts w:ascii="Arial" w:eastAsia="Times New Roman" w:hAnsi="Arial" w:cs="Arial"/>
          <w:b/>
          <w:bCs/>
          <w:kern w:val="0"/>
          <w:sz w:val="27"/>
          <w:szCs w:val="27"/>
          <w:lang w:val="en-GB" w:eastAsia="en-GB"/>
          <w14:ligatures w14:val="none"/>
        </w:rPr>
        <w:t>6. Simulation Design &amp; Transaction Costs</w:t>
      </w:r>
    </w:p>
    <w:p w14:paraId="7B0C05C3"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Choice:</w:t>
      </w:r>
      <w:r w:rsidRPr="00665CE0">
        <w:rPr>
          <w:rFonts w:ascii="Arial" w:eastAsia="Times New Roman" w:hAnsi="Arial" w:cs="Arial"/>
          <w:kern w:val="0"/>
          <w:sz w:val="24"/>
          <w:szCs w:val="24"/>
          <w:lang w:val="en-GB" w:eastAsia="en-GB"/>
          <w14:ligatures w14:val="none"/>
        </w:rPr>
        <w:t xml:space="preserve"> The portfolio simulation utilizes monthly rebalancing based on predicted ML deciles. We will test a Long-Only "Mutual Fund" strategy and a Long-Short "Hedge Fund" strategy. Additionally, a strict transaction cost of </w:t>
      </w:r>
      <w:r w:rsidRPr="00665CE0">
        <w:rPr>
          <w:rFonts w:ascii="Arial" w:eastAsia="Times New Roman" w:hAnsi="Arial" w:cs="Arial"/>
          <w:b/>
          <w:bCs/>
          <w:kern w:val="0"/>
          <w:sz w:val="24"/>
          <w:szCs w:val="24"/>
          <w:lang w:val="en-GB" w:eastAsia="en-GB"/>
          <w14:ligatures w14:val="none"/>
        </w:rPr>
        <w:t>15 basis points (0.15%)</w:t>
      </w:r>
      <w:r w:rsidRPr="00665CE0">
        <w:rPr>
          <w:rFonts w:ascii="Arial" w:eastAsia="Times New Roman" w:hAnsi="Arial" w:cs="Arial"/>
          <w:kern w:val="0"/>
          <w:sz w:val="24"/>
          <w:szCs w:val="24"/>
          <w:lang w:val="en-GB" w:eastAsia="en-GB"/>
          <w14:ligatures w14:val="none"/>
        </w:rPr>
        <w:t xml:space="preserve"> is applied, but </w:t>
      </w:r>
      <w:r w:rsidRPr="00665CE0">
        <w:rPr>
          <w:rFonts w:ascii="Arial" w:eastAsia="Times New Roman" w:hAnsi="Arial" w:cs="Arial"/>
          <w:i/>
          <w:iCs/>
          <w:kern w:val="0"/>
          <w:sz w:val="24"/>
          <w:szCs w:val="24"/>
          <w:lang w:val="en-GB" w:eastAsia="en-GB"/>
          <w14:ligatures w14:val="none"/>
        </w:rPr>
        <w:t>only</w:t>
      </w:r>
      <w:r w:rsidRPr="00665CE0">
        <w:rPr>
          <w:rFonts w:ascii="Arial" w:eastAsia="Times New Roman" w:hAnsi="Arial" w:cs="Arial"/>
          <w:kern w:val="0"/>
          <w:sz w:val="24"/>
          <w:szCs w:val="24"/>
          <w:lang w:val="en-GB" w:eastAsia="en-GB"/>
          <w14:ligatures w14:val="none"/>
        </w:rPr>
        <w:t xml:space="preserve"> to the portfolio turnover (the actual percentage of the portfolio traded that month).</w:t>
      </w:r>
    </w:p>
    <w:p w14:paraId="1745F717"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The Justification:</w:t>
      </w:r>
      <w:r w:rsidRPr="00665CE0">
        <w:rPr>
          <w:rFonts w:ascii="Arial" w:eastAsia="Times New Roman" w:hAnsi="Arial" w:cs="Arial"/>
          <w:kern w:val="0"/>
          <w:sz w:val="24"/>
          <w:szCs w:val="24"/>
          <w:lang w:val="en-GB" w:eastAsia="en-GB"/>
          <w14:ligatures w14:val="none"/>
        </w:rPr>
        <w:t xml:space="preserve"> Testing Long-Only ensures the strategy is legally viable for standard Norwegian mutual funds (like Andreas's), while Long-Short isolates pure model alpha. Applying transaction costs based on turnover ensures the strategy is practically tradable and not a theoretical illusion generated by frantic micro-trading. The 15 bps fee is justified because the dataset is already filtered strictly for highly liquid, large-volume Norwegian stocks.</w:t>
      </w:r>
    </w:p>
    <w:p w14:paraId="7224DA89" w14:textId="77777777" w:rsidR="00665CE0" w:rsidRPr="00665CE0" w:rsidRDefault="00665CE0" w:rsidP="00665CE0">
      <w:pPr>
        <w:numPr>
          <w:ilvl w:val="0"/>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b/>
          <w:bCs/>
          <w:kern w:val="0"/>
          <w:sz w:val="24"/>
          <w:szCs w:val="24"/>
          <w:lang w:val="en-GB" w:eastAsia="en-GB"/>
          <w14:ligatures w14:val="none"/>
        </w:rPr>
        <w:t>Sources:</w:t>
      </w:r>
    </w:p>
    <w:p w14:paraId="0AE0A7EB" w14:textId="77777777" w:rsidR="00665CE0" w:rsidRPr="00665CE0" w:rsidRDefault="00665CE0" w:rsidP="00665CE0">
      <w:pPr>
        <w:numPr>
          <w:ilvl w:val="1"/>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Frazzini, Israel, and Moskowitz (2015), "Trading Costs of Asset Pricing Anomalies"</w:t>
      </w:r>
      <w:r w:rsidRPr="00665CE0">
        <w:rPr>
          <w:rFonts w:ascii="Arial" w:eastAsia="Times New Roman" w:hAnsi="Arial" w:cs="Arial"/>
          <w:kern w:val="0"/>
          <w:sz w:val="24"/>
          <w:szCs w:val="24"/>
          <w:lang w:val="en-GB" w:eastAsia="en-GB"/>
          <w14:ligatures w14:val="none"/>
        </w:rPr>
        <w:t xml:space="preserve"> – </w:t>
      </w:r>
      <w:proofErr w:type="spellStart"/>
      <w:r w:rsidRPr="00665CE0">
        <w:rPr>
          <w:rFonts w:ascii="Arial" w:eastAsia="Times New Roman" w:hAnsi="Arial" w:cs="Arial"/>
          <w:kern w:val="0"/>
          <w:sz w:val="24"/>
          <w:szCs w:val="24"/>
          <w:lang w:val="en-GB" w:eastAsia="en-GB"/>
          <w14:ligatures w14:val="none"/>
        </w:rPr>
        <w:t>Analyzed</w:t>
      </w:r>
      <w:proofErr w:type="spellEnd"/>
      <w:r w:rsidRPr="00665CE0">
        <w:rPr>
          <w:rFonts w:ascii="Arial" w:eastAsia="Times New Roman" w:hAnsi="Arial" w:cs="Arial"/>
          <w:kern w:val="0"/>
          <w:sz w:val="24"/>
          <w:szCs w:val="24"/>
          <w:lang w:val="en-GB" w:eastAsia="en-GB"/>
          <w14:ligatures w14:val="none"/>
        </w:rPr>
        <w:t xml:space="preserve"> massive institutional datasets to prove that real-world trading costs for liquid equities are roughly 9 to 15 basis points, far lower than theoretical bid-ask spreads suggest.</w:t>
      </w:r>
    </w:p>
    <w:p w14:paraId="67969672" w14:textId="77777777" w:rsidR="00665CE0" w:rsidRPr="00665CE0" w:rsidRDefault="00665CE0" w:rsidP="00665CE0">
      <w:pPr>
        <w:numPr>
          <w:ilvl w:val="1"/>
          <w:numId w:val="13"/>
        </w:numPr>
        <w:spacing w:after="100" w:afterAutospacing="1" w:line="240" w:lineRule="auto"/>
        <w:rPr>
          <w:rFonts w:ascii="Arial" w:eastAsia="Times New Roman" w:hAnsi="Arial" w:cs="Arial"/>
          <w:kern w:val="0"/>
          <w:sz w:val="24"/>
          <w:szCs w:val="24"/>
          <w:lang w:val="en-GB" w:eastAsia="en-GB"/>
          <w14:ligatures w14:val="none"/>
        </w:rPr>
      </w:pPr>
      <w:r w:rsidRPr="00665CE0">
        <w:rPr>
          <w:rFonts w:ascii="Arial" w:eastAsia="Times New Roman" w:hAnsi="Arial" w:cs="Arial"/>
          <w:i/>
          <w:iCs/>
          <w:kern w:val="0"/>
          <w:sz w:val="24"/>
          <w:szCs w:val="24"/>
          <w:lang w:val="en-GB" w:eastAsia="en-GB"/>
          <w14:ligatures w14:val="none"/>
        </w:rPr>
        <w:t>Novy-Marx and Velikov (2016), "A Taxonomy of Anomalies and Their Trading Costs"</w:t>
      </w:r>
      <w:r w:rsidRPr="00665CE0">
        <w:rPr>
          <w:rFonts w:ascii="Arial" w:eastAsia="Times New Roman" w:hAnsi="Arial" w:cs="Arial"/>
          <w:kern w:val="0"/>
          <w:sz w:val="24"/>
          <w:szCs w:val="24"/>
          <w:lang w:val="en-GB" w:eastAsia="en-GB"/>
          <w14:ligatures w14:val="none"/>
        </w:rPr>
        <w:t xml:space="preserve"> – Establishes the standard methodology for subtracting transaction costs proportionally to strategy turnover.</w:t>
      </w:r>
    </w:p>
    <w:p w14:paraId="0A80FFBA" w14:textId="77777777" w:rsidR="00841509" w:rsidRPr="00841509" w:rsidRDefault="00841509" w:rsidP="00841509">
      <w:pPr>
        <w:spacing w:after="100" w:afterAutospacing="1" w:line="240" w:lineRule="auto"/>
        <w:outlineLvl w:val="0"/>
        <w:rPr>
          <w:rFonts w:ascii="Arial" w:eastAsia="Times New Roman" w:hAnsi="Arial" w:cs="Arial"/>
          <w:b/>
          <w:bCs/>
          <w:kern w:val="36"/>
          <w:sz w:val="48"/>
          <w:szCs w:val="48"/>
          <w:lang w:val="en-GB" w:eastAsia="en-GB"/>
          <w14:ligatures w14:val="none"/>
        </w:rPr>
      </w:pPr>
      <w:r w:rsidRPr="00841509">
        <w:rPr>
          <w:rFonts w:ascii="Arial" w:eastAsia="Times New Roman" w:hAnsi="Arial" w:cs="Arial"/>
          <w:b/>
          <w:bCs/>
          <w:kern w:val="36"/>
          <w:sz w:val="48"/>
          <w:szCs w:val="48"/>
          <w:lang w:val="en-GB" w:eastAsia="en-GB"/>
          <w14:ligatures w14:val="none"/>
        </w:rPr>
        <w:t>Portfolio Simulation Methodology Summary</w:t>
      </w:r>
    </w:p>
    <w:p w14:paraId="11DF397F" w14:textId="77777777" w:rsidR="00841509" w:rsidRPr="00841509" w:rsidRDefault="00841509" w:rsidP="00841509">
      <w:pPr>
        <w:spacing w:after="100" w:afterAutospacing="1" w:line="240" w:lineRule="auto"/>
        <w:outlineLvl w:val="2"/>
        <w:rPr>
          <w:rFonts w:ascii="Arial" w:eastAsia="Times New Roman" w:hAnsi="Arial" w:cs="Arial"/>
          <w:b/>
          <w:bCs/>
          <w:kern w:val="0"/>
          <w:sz w:val="27"/>
          <w:szCs w:val="27"/>
          <w:lang w:val="en-GB" w:eastAsia="en-GB"/>
          <w14:ligatures w14:val="none"/>
        </w:rPr>
      </w:pPr>
      <w:r w:rsidRPr="00841509">
        <w:rPr>
          <w:rFonts w:ascii="Arial" w:eastAsia="Times New Roman" w:hAnsi="Arial" w:cs="Arial"/>
          <w:b/>
          <w:bCs/>
          <w:kern w:val="0"/>
          <w:sz w:val="27"/>
          <w:szCs w:val="27"/>
          <w:lang w:val="en-GB" w:eastAsia="en-GB"/>
          <w14:ligatures w14:val="none"/>
        </w:rPr>
        <w:t>1. Monthly Cross-Sectional Rebalancing</w:t>
      </w:r>
    </w:p>
    <w:p w14:paraId="3BAD7615" w14:textId="77777777" w:rsidR="00841509" w:rsidRPr="00841509" w:rsidRDefault="00841509" w:rsidP="00841509">
      <w:pPr>
        <w:numPr>
          <w:ilvl w:val="0"/>
          <w:numId w:val="14"/>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Choice:</w:t>
      </w:r>
      <w:r w:rsidRPr="00841509">
        <w:rPr>
          <w:rFonts w:ascii="Arial" w:eastAsia="Times New Roman" w:hAnsi="Arial" w:cs="Arial"/>
          <w:kern w:val="0"/>
          <w:sz w:val="24"/>
          <w:szCs w:val="24"/>
          <w:lang w:val="en-GB" w:eastAsia="en-GB"/>
          <w14:ligatures w14:val="none"/>
        </w:rPr>
        <w:t xml:space="preserve"> The simulation does not use a "buy-and-hold" strategy. Instead, it employs strict monthly cross-sectional rebalancing. At the end of every month, the ML model predicts the next month's returns, the stocks are ranked into quintiles (top 20% and bottom 20%), and the portfolio is re-weighted equally among the selected stocks.</w:t>
      </w:r>
    </w:p>
    <w:p w14:paraId="0897DF45" w14:textId="77777777" w:rsidR="00841509" w:rsidRPr="00841509" w:rsidRDefault="00841509" w:rsidP="00841509">
      <w:pPr>
        <w:numPr>
          <w:ilvl w:val="0"/>
          <w:numId w:val="14"/>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Justification:</w:t>
      </w:r>
      <w:r w:rsidRPr="00841509">
        <w:rPr>
          <w:rFonts w:ascii="Arial" w:eastAsia="Times New Roman" w:hAnsi="Arial" w:cs="Arial"/>
          <w:kern w:val="0"/>
          <w:sz w:val="24"/>
          <w:szCs w:val="24"/>
          <w:lang w:val="en-GB" w:eastAsia="en-GB"/>
          <w14:ligatures w14:val="none"/>
        </w:rPr>
        <w:t xml:space="preserve"> This is the universal standard for testing cross-sectional asset pricing anomalies. It ensures the model is continuously reacting to new information and regime shifts, rather than getting lucky on a few long-term bets.</w:t>
      </w:r>
    </w:p>
    <w:p w14:paraId="455D1329" w14:textId="77777777" w:rsidR="00841509" w:rsidRPr="00841509" w:rsidRDefault="00841509" w:rsidP="00841509">
      <w:pPr>
        <w:numPr>
          <w:ilvl w:val="0"/>
          <w:numId w:val="14"/>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lastRenderedPageBreak/>
        <w:t>Sources:</w:t>
      </w:r>
    </w:p>
    <w:p w14:paraId="1EB4F579" w14:textId="77777777" w:rsidR="00841509" w:rsidRPr="00841509" w:rsidRDefault="00841509" w:rsidP="00841509">
      <w:pPr>
        <w:numPr>
          <w:ilvl w:val="1"/>
          <w:numId w:val="14"/>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Fama and French (1993, 2015)</w:t>
      </w:r>
      <w:r w:rsidRPr="00841509">
        <w:rPr>
          <w:rFonts w:ascii="Arial" w:eastAsia="Times New Roman" w:hAnsi="Arial" w:cs="Arial"/>
          <w:kern w:val="0"/>
          <w:sz w:val="24"/>
          <w:szCs w:val="24"/>
          <w:lang w:val="en-GB" w:eastAsia="en-GB"/>
          <w14:ligatures w14:val="none"/>
        </w:rPr>
        <w:t xml:space="preserve"> – Establishes the standard methodology of sorting and rebalancing portfolios at regular intervals to test factor premiums.</w:t>
      </w:r>
    </w:p>
    <w:p w14:paraId="1F39D3D0" w14:textId="77777777" w:rsidR="00841509" w:rsidRPr="00841509" w:rsidRDefault="00841509" w:rsidP="00841509">
      <w:pPr>
        <w:numPr>
          <w:ilvl w:val="1"/>
          <w:numId w:val="14"/>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Gu, Kelly, and Xiu (2020)</w:t>
      </w:r>
      <w:r w:rsidRPr="00841509">
        <w:rPr>
          <w:rFonts w:ascii="Arial" w:eastAsia="Times New Roman" w:hAnsi="Arial" w:cs="Arial"/>
          <w:kern w:val="0"/>
          <w:sz w:val="24"/>
          <w:szCs w:val="24"/>
          <w:lang w:val="en-GB" w:eastAsia="en-GB"/>
          <w14:ligatures w14:val="none"/>
        </w:rPr>
        <w:t xml:space="preserve"> – Explicitly utilizes monthly rebalancing to test the predictive power of Machine Learning in equity cross-sections.</w:t>
      </w:r>
    </w:p>
    <w:p w14:paraId="087F9687" w14:textId="77777777" w:rsidR="00841509" w:rsidRPr="00841509" w:rsidRDefault="00841509" w:rsidP="00841509">
      <w:pPr>
        <w:spacing w:after="100" w:afterAutospacing="1" w:line="240" w:lineRule="auto"/>
        <w:outlineLvl w:val="2"/>
        <w:rPr>
          <w:rFonts w:ascii="Arial" w:eastAsia="Times New Roman" w:hAnsi="Arial" w:cs="Arial"/>
          <w:b/>
          <w:bCs/>
          <w:kern w:val="0"/>
          <w:sz w:val="27"/>
          <w:szCs w:val="27"/>
          <w:lang w:val="en-GB" w:eastAsia="en-GB"/>
          <w14:ligatures w14:val="none"/>
        </w:rPr>
      </w:pPr>
      <w:r w:rsidRPr="00841509">
        <w:rPr>
          <w:rFonts w:ascii="Arial" w:eastAsia="Times New Roman" w:hAnsi="Arial" w:cs="Arial"/>
          <w:b/>
          <w:bCs/>
          <w:kern w:val="0"/>
          <w:sz w:val="27"/>
          <w:szCs w:val="27"/>
          <w:lang w:val="en-GB" w:eastAsia="en-GB"/>
          <w14:ligatures w14:val="none"/>
        </w:rPr>
        <w:t>2. Strategy Paradigms: Long-Only vs. Long-Short</w:t>
      </w:r>
    </w:p>
    <w:p w14:paraId="21BE62DB" w14:textId="77777777" w:rsidR="00841509" w:rsidRPr="00841509" w:rsidRDefault="00841509" w:rsidP="00841509">
      <w:pPr>
        <w:numPr>
          <w:ilvl w:val="0"/>
          <w:numId w:val="15"/>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Choice:</w:t>
      </w:r>
      <w:r w:rsidRPr="00841509">
        <w:rPr>
          <w:rFonts w:ascii="Arial" w:eastAsia="Times New Roman" w:hAnsi="Arial" w:cs="Arial"/>
          <w:kern w:val="0"/>
          <w:sz w:val="24"/>
          <w:szCs w:val="24"/>
          <w:lang w:val="en-GB" w:eastAsia="en-GB"/>
          <w14:ligatures w14:val="none"/>
        </w:rPr>
        <w:t xml:space="preserve"> We simulated two distinct portfolio structures: A Long-Only strategy (buying the top 20%) and a Long-Short Dollar-Neutral strategy (+100% in the top 20%, -100% in the bottom 20%).</w:t>
      </w:r>
    </w:p>
    <w:p w14:paraId="1FE32CAC" w14:textId="77777777" w:rsidR="00841509" w:rsidRPr="00841509" w:rsidRDefault="00841509" w:rsidP="00841509">
      <w:pPr>
        <w:numPr>
          <w:ilvl w:val="0"/>
          <w:numId w:val="15"/>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Justification:</w:t>
      </w:r>
      <w:r w:rsidRPr="00841509">
        <w:rPr>
          <w:rFonts w:ascii="Arial" w:eastAsia="Times New Roman" w:hAnsi="Arial" w:cs="Arial"/>
          <w:kern w:val="0"/>
          <w:sz w:val="24"/>
          <w:szCs w:val="24"/>
          <w:lang w:val="en-GB" w:eastAsia="en-GB"/>
          <w14:ligatures w14:val="none"/>
        </w:rPr>
        <w:t xml:space="preserve"> * </w:t>
      </w:r>
      <w:r w:rsidRPr="00841509">
        <w:rPr>
          <w:rFonts w:ascii="Arial" w:eastAsia="Times New Roman" w:hAnsi="Arial" w:cs="Arial"/>
          <w:b/>
          <w:bCs/>
          <w:kern w:val="0"/>
          <w:sz w:val="24"/>
          <w:szCs w:val="24"/>
          <w:lang w:val="en-GB" w:eastAsia="en-GB"/>
          <w14:ligatures w14:val="none"/>
        </w:rPr>
        <w:t>Long-Only:</w:t>
      </w:r>
      <w:r w:rsidRPr="00841509">
        <w:rPr>
          <w:rFonts w:ascii="Arial" w:eastAsia="Times New Roman" w:hAnsi="Arial" w:cs="Arial"/>
          <w:kern w:val="0"/>
          <w:sz w:val="24"/>
          <w:szCs w:val="24"/>
          <w:lang w:val="en-GB" w:eastAsia="en-GB"/>
          <w14:ligatures w14:val="none"/>
        </w:rPr>
        <w:t xml:space="preserve"> Represents the legally constrained reality of Norwegian mutual funds (like the one sponsoring the data). It answers the practical industry question: </w:t>
      </w:r>
      <w:r w:rsidRPr="00841509">
        <w:rPr>
          <w:rFonts w:ascii="Arial" w:eastAsia="Times New Roman" w:hAnsi="Arial" w:cs="Arial"/>
          <w:i/>
          <w:iCs/>
          <w:kern w:val="0"/>
          <w:sz w:val="24"/>
          <w:szCs w:val="24"/>
          <w:lang w:val="en-GB" w:eastAsia="en-GB"/>
          <w14:ligatures w14:val="none"/>
        </w:rPr>
        <w:t>"Can this model beat the market in a standard long-only framework?"</w:t>
      </w:r>
    </w:p>
    <w:p w14:paraId="69359667" w14:textId="77777777" w:rsidR="00841509" w:rsidRPr="00841509" w:rsidRDefault="00841509" w:rsidP="00841509">
      <w:pPr>
        <w:numPr>
          <w:ilvl w:val="1"/>
          <w:numId w:val="15"/>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Long-Short:</w:t>
      </w:r>
      <w:r w:rsidRPr="00841509">
        <w:rPr>
          <w:rFonts w:ascii="Arial" w:eastAsia="Times New Roman" w:hAnsi="Arial" w:cs="Arial"/>
          <w:kern w:val="0"/>
          <w:sz w:val="24"/>
          <w:szCs w:val="24"/>
          <w:lang w:val="en-GB" w:eastAsia="en-GB"/>
          <w14:ligatures w14:val="none"/>
        </w:rPr>
        <w:t xml:space="preserve"> Represents the academic gold standard. By going equally long and short, the portfolio's net exposure to the broader market is strictly zero. Any profit generated is purely the "Alpha" of the Machine Learning model's ranking ability, completely isolated from market crashes or rallies.</w:t>
      </w:r>
    </w:p>
    <w:p w14:paraId="47D7D80A" w14:textId="77777777" w:rsidR="00841509" w:rsidRPr="00841509" w:rsidRDefault="00841509" w:rsidP="00841509">
      <w:pPr>
        <w:numPr>
          <w:ilvl w:val="0"/>
          <w:numId w:val="15"/>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Sources:</w:t>
      </w:r>
    </w:p>
    <w:p w14:paraId="3E87E3AE" w14:textId="77777777" w:rsidR="00841509" w:rsidRPr="00841509" w:rsidRDefault="00841509" w:rsidP="00841509">
      <w:pPr>
        <w:numPr>
          <w:ilvl w:val="1"/>
          <w:numId w:val="15"/>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Jacobs and Levy (1988), "Disentangling Equity Return Regularities"</w:t>
      </w:r>
      <w:r w:rsidRPr="00841509">
        <w:rPr>
          <w:rFonts w:ascii="Arial" w:eastAsia="Times New Roman" w:hAnsi="Arial" w:cs="Arial"/>
          <w:kern w:val="0"/>
          <w:sz w:val="24"/>
          <w:szCs w:val="24"/>
          <w:lang w:val="en-GB" w:eastAsia="en-GB"/>
          <w14:ligatures w14:val="none"/>
        </w:rPr>
        <w:t xml:space="preserve"> – The foundational paper explaining why long-short dollar-neutral portfolios are required to isolate pure factor alpha.</w:t>
      </w:r>
    </w:p>
    <w:p w14:paraId="7E366133" w14:textId="77777777" w:rsidR="00841509" w:rsidRPr="00841509" w:rsidRDefault="00841509" w:rsidP="00841509">
      <w:pPr>
        <w:spacing w:after="100" w:afterAutospacing="1" w:line="240" w:lineRule="auto"/>
        <w:outlineLvl w:val="2"/>
        <w:rPr>
          <w:rFonts w:ascii="Arial" w:eastAsia="Times New Roman" w:hAnsi="Arial" w:cs="Arial"/>
          <w:b/>
          <w:bCs/>
          <w:kern w:val="0"/>
          <w:sz w:val="27"/>
          <w:szCs w:val="27"/>
          <w:lang w:val="en-GB" w:eastAsia="en-GB"/>
          <w14:ligatures w14:val="none"/>
        </w:rPr>
      </w:pPr>
      <w:r w:rsidRPr="00841509">
        <w:rPr>
          <w:rFonts w:ascii="Arial" w:eastAsia="Times New Roman" w:hAnsi="Arial" w:cs="Arial"/>
          <w:b/>
          <w:bCs/>
          <w:kern w:val="0"/>
          <w:sz w:val="27"/>
          <w:szCs w:val="27"/>
          <w:lang w:val="en-GB" w:eastAsia="en-GB"/>
          <w14:ligatures w14:val="none"/>
        </w:rPr>
        <w:t>3. Net-of-Frictions: Turnover and Transaction Costs</w:t>
      </w:r>
    </w:p>
    <w:p w14:paraId="073BDD50" w14:textId="77777777" w:rsidR="00841509" w:rsidRPr="00841509" w:rsidRDefault="00841509" w:rsidP="00841509">
      <w:pPr>
        <w:numPr>
          <w:ilvl w:val="0"/>
          <w:numId w:val="16"/>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Choice:</w:t>
      </w:r>
      <w:r w:rsidRPr="00841509">
        <w:rPr>
          <w:rFonts w:ascii="Arial" w:eastAsia="Times New Roman" w:hAnsi="Arial" w:cs="Arial"/>
          <w:kern w:val="0"/>
          <w:sz w:val="24"/>
          <w:szCs w:val="24"/>
          <w:lang w:val="en-GB" w:eastAsia="en-GB"/>
          <w14:ligatures w14:val="none"/>
        </w:rPr>
        <w:t xml:space="preserve"> A transaction cost of </w:t>
      </w:r>
      <w:r w:rsidRPr="00841509">
        <w:rPr>
          <w:rFonts w:ascii="Arial" w:eastAsia="Times New Roman" w:hAnsi="Arial" w:cs="Arial"/>
          <w:b/>
          <w:bCs/>
          <w:kern w:val="0"/>
          <w:sz w:val="24"/>
          <w:szCs w:val="24"/>
          <w:lang w:val="en-GB" w:eastAsia="en-GB"/>
          <w14:ligatures w14:val="none"/>
        </w:rPr>
        <w:t>15 basis points (0.15%)</w:t>
      </w:r>
      <w:r w:rsidRPr="00841509">
        <w:rPr>
          <w:rFonts w:ascii="Arial" w:eastAsia="Times New Roman" w:hAnsi="Arial" w:cs="Arial"/>
          <w:kern w:val="0"/>
          <w:sz w:val="24"/>
          <w:szCs w:val="24"/>
          <w:lang w:val="en-GB" w:eastAsia="en-GB"/>
          <w14:ligatures w14:val="none"/>
        </w:rPr>
        <w:t xml:space="preserve"> was applied. Crucially, this fee was not blindly subtracted from the total return. It was dynamically multiplied by the </w:t>
      </w:r>
      <w:r w:rsidRPr="00841509">
        <w:rPr>
          <w:rFonts w:ascii="Arial" w:eastAsia="Times New Roman" w:hAnsi="Arial" w:cs="Arial"/>
          <w:b/>
          <w:bCs/>
          <w:kern w:val="0"/>
          <w:sz w:val="24"/>
          <w:szCs w:val="24"/>
          <w:lang w:val="en-GB" w:eastAsia="en-GB"/>
          <w14:ligatures w14:val="none"/>
        </w:rPr>
        <w:t>Portfolio Turnover</w:t>
      </w:r>
      <w:r w:rsidRPr="00841509">
        <w:rPr>
          <w:rFonts w:ascii="Arial" w:eastAsia="Times New Roman" w:hAnsi="Arial" w:cs="Arial"/>
          <w:kern w:val="0"/>
          <w:sz w:val="24"/>
          <w:szCs w:val="24"/>
          <w:lang w:val="en-GB" w:eastAsia="en-GB"/>
          <w14:ligatures w14:val="none"/>
        </w:rPr>
        <w:t xml:space="preserve"> (the absolute percentage of weights that changed from month $t-1$ to month $t$).</w:t>
      </w:r>
    </w:p>
    <w:p w14:paraId="1EA5FC3D" w14:textId="77777777" w:rsidR="00841509" w:rsidRPr="00841509" w:rsidRDefault="00841509" w:rsidP="00841509">
      <w:pPr>
        <w:numPr>
          <w:ilvl w:val="0"/>
          <w:numId w:val="16"/>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Justification:</w:t>
      </w:r>
      <w:r w:rsidRPr="00841509">
        <w:rPr>
          <w:rFonts w:ascii="Arial" w:eastAsia="Times New Roman" w:hAnsi="Arial" w:cs="Arial"/>
          <w:kern w:val="0"/>
          <w:sz w:val="24"/>
          <w:szCs w:val="24"/>
          <w:lang w:val="en-GB" w:eastAsia="en-GB"/>
          <w14:ligatures w14:val="none"/>
        </w:rPr>
        <w:t xml:space="preserve"> Many ML anomalies disappear in real life due to frantic over-trading. By strictly penalizing turnover, we proved the model's alpha survives real-world broker fees and bid-ask spreads. The 15 bps rate is justified because the dataset already enforces a strict liquidity and volume filter, meaning we are only trading highly liquid Norwegian equities.</w:t>
      </w:r>
    </w:p>
    <w:p w14:paraId="60CA7026" w14:textId="77777777" w:rsidR="00841509" w:rsidRPr="00841509" w:rsidRDefault="00841509" w:rsidP="00841509">
      <w:pPr>
        <w:numPr>
          <w:ilvl w:val="0"/>
          <w:numId w:val="16"/>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Sources:</w:t>
      </w:r>
    </w:p>
    <w:p w14:paraId="513D404A" w14:textId="77777777" w:rsidR="00841509" w:rsidRPr="00841509" w:rsidRDefault="00841509" w:rsidP="00841509">
      <w:pPr>
        <w:numPr>
          <w:ilvl w:val="1"/>
          <w:numId w:val="16"/>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Frazzini, Israel, and Moskowitz (2015), "Trading Costs of Asset Pricing Anomalies"</w:t>
      </w:r>
      <w:r w:rsidRPr="00841509">
        <w:rPr>
          <w:rFonts w:ascii="Arial" w:eastAsia="Times New Roman" w:hAnsi="Arial" w:cs="Arial"/>
          <w:kern w:val="0"/>
          <w:sz w:val="24"/>
          <w:szCs w:val="24"/>
          <w:lang w:val="en-GB" w:eastAsia="en-GB"/>
          <w14:ligatures w14:val="none"/>
        </w:rPr>
        <w:t xml:space="preserve"> – </w:t>
      </w:r>
      <w:proofErr w:type="spellStart"/>
      <w:r w:rsidRPr="00841509">
        <w:rPr>
          <w:rFonts w:ascii="Arial" w:eastAsia="Times New Roman" w:hAnsi="Arial" w:cs="Arial"/>
          <w:kern w:val="0"/>
          <w:sz w:val="24"/>
          <w:szCs w:val="24"/>
          <w:lang w:val="en-GB" w:eastAsia="en-GB"/>
          <w14:ligatures w14:val="none"/>
        </w:rPr>
        <w:t>Analyzed</w:t>
      </w:r>
      <w:proofErr w:type="spellEnd"/>
      <w:r w:rsidRPr="00841509">
        <w:rPr>
          <w:rFonts w:ascii="Arial" w:eastAsia="Times New Roman" w:hAnsi="Arial" w:cs="Arial"/>
          <w:kern w:val="0"/>
          <w:sz w:val="24"/>
          <w:szCs w:val="24"/>
          <w:lang w:val="en-GB" w:eastAsia="en-GB"/>
          <w14:ligatures w14:val="none"/>
        </w:rPr>
        <w:t xml:space="preserve"> $1 trillion in live institutional trades to prove that real-world trading costs for liquid equities are roughly 9 to 15 basis points.</w:t>
      </w:r>
    </w:p>
    <w:p w14:paraId="35D83299" w14:textId="77777777" w:rsidR="00841509" w:rsidRPr="00841509" w:rsidRDefault="00841509" w:rsidP="00841509">
      <w:pPr>
        <w:numPr>
          <w:ilvl w:val="1"/>
          <w:numId w:val="16"/>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Novy-Marx and Velikov (2016), "A Taxonomy of Anomalies and Their Trading Costs"</w:t>
      </w:r>
      <w:r w:rsidRPr="00841509">
        <w:rPr>
          <w:rFonts w:ascii="Arial" w:eastAsia="Times New Roman" w:hAnsi="Arial" w:cs="Arial"/>
          <w:kern w:val="0"/>
          <w:sz w:val="24"/>
          <w:szCs w:val="24"/>
          <w:lang w:val="en-GB" w:eastAsia="en-GB"/>
          <w14:ligatures w14:val="none"/>
        </w:rPr>
        <w:t xml:space="preserve"> – Defines the mathematical standard for applying transaction costs strictly to strategy turnover rather than gross returns.</w:t>
      </w:r>
    </w:p>
    <w:p w14:paraId="4219D7A5" w14:textId="77777777" w:rsidR="00841509" w:rsidRPr="00841509" w:rsidRDefault="00841509" w:rsidP="00841509">
      <w:pPr>
        <w:spacing w:after="100" w:afterAutospacing="1" w:line="240" w:lineRule="auto"/>
        <w:outlineLvl w:val="2"/>
        <w:rPr>
          <w:rFonts w:ascii="Arial" w:eastAsia="Times New Roman" w:hAnsi="Arial" w:cs="Arial"/>
          <w:b/>
          <w:bCs/>
          <w:kern w:val="0"/>
          <w:sz w:val="27"/>
          <w:szCs w:val="27"/>
          <w:lang w:val="en-GB" w:eastAsia="en-GB"/>
          <w14:ligatures w14:val="none"/>
        </w:rPr>
      </w:pPr>
      <w:r w:rsidRPr="00841509">
        <w:rPr>
          <w:rFonts w:ascii="Arial" w:eastAsia="Times New Roman" w:hAnsi="Arial" w:cs="Arial"/>
          <w:b/>
          <w:bCs/>
          <w:kern w:val="0"/>
          <w:sz w:val="27"/>
          <w:szCs w:val="27"/>
          <w:lang w:val="en-GB" w:eastAsia="en-GB"/>
          <w14:ligatures w14:val="none"/>
        </w:rPr>
        <w:t>4. The Baselines: Traditional Momentum and The Market</w:t>
      </w:r>
    </w:p>
    <w:p w14:paraId="7472BA64" w14:textId="77777777" w:rsidR="00841509" w:rsidRPr="00841509" w:rsidRDefault="00841509" w:rsidP="00841509">
      <w:pPr>
        <w:numPr>
          <w:ilvl w:val="0"/>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Choice:</w:t>
      </w:r>
      <w:r w:rsidRPr="00841509">
        <w:rPr>
          <w:rFonts w:ascii="Arial" w:eastAsia="Times New Roman" w:hAnsi="Arial" w:cs="Arial"/>
          <w:kern w:val="0"/>
          <w:sz w:val="24"/>
          <w:szCs w:val="24"/>
          <w:lang w:val="en-GB" w:eastAsia="en-GB"/>
          <w14:ligatures w14:val="none"/>
        </w:rPr>
        <w:t xml:space="preserve"> The ML models were benchmarked against three distinct baselines: An Equal-Weighted (EW) internal universe portfolio, a Traditional </w:t>
      </w:r>
      <w:r w:rsidRPr="00841509">
        <w:rPr>
          <w:rFonts w:ascii="Arial" w:eastAsia="Times New Roman" w:hAnsi="Arial" w:cs="Arial"/>
          <w:kern w:val="0"/>
          <w:sz w:val="24"/>
          <w:szCs w:val="24"/>
          <w:lang w:val="en-GB" w:eastAsia="en-GB"/>
          <w14:ligatures w14:val="none"/>
        </w:rPr>
        <w:lastRenderedPageBreak/>
        <w:t xml:space="preserve">Fama-French Momentum strategy (sorting purely on </w:t>
      </w:r>
      <w:r w:rsidRPr="00841509">
        <w:rPr>
          <w:rFonts w:ascii="Arial" w:eastAsia="Times New Roman" w:hAnsi="Arial" w:cs="Arial"/>
          <w:kern w:val="0"/>
          <w:sz w:val="20"/>
          <w:szCs w:val="20"/>
          <w:lang w:val="en-GB" w:eastAsia="en-GB"/>
          <w14:ligatures w14:val="none"/>
        </w:rPr>
        <w:t>mom_12m_z</w:t>
      </w:r>
      <w:r w:rsidRPr="00841509">
        <w:rPr>
          <w:rFonts w:ascii="Arial" w:eastAsia="Times New Roman" w:hAnsi="Arial" w:cs="Arial"/>
          <w:kern w:val="0"/>
          <w:sz w:val="24"/>
          <w:szCs w:val="24"/>
          <w:lang w:val="en-GB" w:eastAsia="en-GB"/>
          <w14:ligatures w14:val="none"/>
        </w:rPr>
        <w:t>), and Professor Ødegaard's Value-Weighted (VW) Market Portfolio.</w:t>
      </w:r>
    </w:p>
    <w:p w14:paraId="70658C48" w14:textId="77777777" w:rsidR="00841509" w:rsidRPr="00841509" w:rsidRDefault="00841509" w:rsidP="00841509">
      <w:pPr>
        <w:numPr>
          <w:ilvl w:val="0"/>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The Justification:</w:t>
      </w:r>
      <w:r w:rsidRPr="00841509">
        <w:rPr>
          <w:rFonts w:ascii="Arial" w:eastAsia="Times New Roman" w:hAnsi="Arial" w:cs="Arial"/>
          <w:kern w:val="0"/>
          <w:sz w:val="24"/>
          <w:szCs w:val="24"/>
          <w:lang w:val="en-GB" w:eastAsia="en-GB"/>
          <w14:ligatures w14:val="none"/>
        </w:rPr>
        <w:t xml:space="preserve"> * </w:t>
      </w:r>
      <w:r w:rsidRPr="00841509">
        <w:rPr>
          <w:rFonts w:ascii="Arial" w:eastAsia="Times New Roman" w:hAnsi="Arial" w:cs="Arial"/>
          <w:b/>
          <w:bCs/>
          <w:kern w:val="0"/>
          <w:sz w:val="24"/>
          <w:szCs w:val="24"/>
          <w:lang w:val="en-GB" w:eastAsia="en-GB"/>
          <w14:ligatures w14:val="none"/>
        </w:rPr>
        <w:t>The EW Benchmark:</w:t>
      </w:r>
      <w:r w:rsidRPr="00841509">
        <w:rPr>
          <w:rFonts w:ascii="Arial" w:eastAsia="Times New Roman" w:hAnsi="Arial" w:cs="Arial"/>
          <w:kern w:val="0"/>
          <w:sz w:val="24"/>
          <w:szCs w:val="24"/>
          <w:lang w:val="en-GB" w:eastAsia="en-GB"/>
          <w14:ligatures w14:val="none"/>
        </w:rPr>
        <w:t xml:space="preserve"> Proves the ML model is picking stocks better than random chance within its own investable universe.</w:t>
      </w:r>
    </w:p>
    <w:p w14:paraId="02C38D09" w14:textId="77777777" w:rsidR="00841509" w:rsidRPr="00841509" w:rsidRDefault="00841509" w:rsidP="00841509">
      <w:pPr>
        <w:numPr>
          <w:ilvl w:val="1"/>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Traditional Momentum:</w:t>
      </w:r>
      <w:r w:rsidRPr="00841509">
        <w:rPr>
          <w:rFonts w:ascii="Arial" w:eastAsia="Times New Roman" w:hAnsi="Arial" w:cs="Arial"/>
          <w:kern w:val="0"/>
          <w:sz w:val="24"/>
          <w:szCs w:val="24"/>
          <w:lang w:val="en-GB" w:eastAsia="en-GB"/>
          <w14:ligatures w14:val="none"/>
        </w:rPr>
        <w:t xml:space="preserve"> Proves that complex tree-based models and neural networks are actually finding non-linear, multi-factor alpha, rather than just acting as computationally expensive momentum screeners.</w:t>
      </w:r>
    </w:p>
    <w:p w14:paraId="230654E2" w14:textId="77777777" w:rsidR="00841509" w:rsidRPr="00841509" w:rsidRDefault="00841509" w:rsidP="00841509">
      <w:pPr>
        <w:numPr>
          <w:ilvl w:val="1"/>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Ødegaard's VW Market:</w:t>
      </w:r>
      <w:r w:rsidRPr="00841509">
        <w:rPr>
          <w:rFonts w:ascii="Arial" w:eastAsia="Times New Roman" w:hAnsi="Arial" w:cs="Arial"/>
          <w:kern w:val="0"/>
          <w:sz w:val="24"/>
          <w:szCs w:val="24"/>
          <w:lang w:val="en-GB" w:eastAsia="en-GB"/>
          <w14:ligatures w14:val="none"/>
        </w:rPr>
        <w:t xml:space="preserve"> Serves as the academically rigorous "Market Portfolio" required for Fama-French regressions, accurately representing the aggregate wealth of the Oslo Stock Exchange.</w:t>
      </w:r>
    </w:p>
    <w:p w14:paraId="44F327F0" w14:textId="77777777" w:rsidR="00841509" w:rsidRPr="00841509" w:rsidRDefault="00841509" w:rsidP="00841509">
      <w:pPr>
        <w:numPr>
          <w:ilvl w:val="0"/>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b/>
          <w:bCs/>
          <w:kern w:val="0"/>
          <w:sz w:val="24"/>
          <w:szCs w:val="24"/>
          <w:lang w:val="en-GB" w:eastAsia="en-GB"/>
          <w14:ligatures w14:val="none"/>
        </w:rPr>
        <w:t>Sources:</w:t>
      </w:r>
    </w:p>
    <w:p w14:paraId="3F4FF7C2" w14:textId="77777777" w:rsidR="00841509" w:rsidRPr="00841509" w:rsidRDefault="00841509" w:rsidP="00841509">
      <w:pPr>
        <w:numPr>
          <w:ilvl w:val="1"/>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Jegadeesh and Titman (1993), "Returns to Buying Winners and Selling Losers"</w:t>
      </w:r>
      <w:r w:rsidRPr="00841509">
        <w:rPr>
          <w:rFonts w:ascii="Arial" w:eastAsia="Times New Roman" w:hAnsi="Arial" w:cs="Arial"/>
          <w:kern w:val="0"/>
          <w:sz w:val="24"/>
          <w:szCs w:val="24"/>
          <w:lang w:val="en-GB" w:eastAsia="en-GB"/>
          <w14:ligatures w14:val="none"/>
        </w:rPr>
        <w:t xml:space="preserve"> – The seminal paper defining the standard 12-month momentum strategy we use as our traditional baseline.</w:t>
      </w:r>
    </w:p>
    <w:p w14:paraId="79E09195" w14:textId="77777777" w:rsidR="00841509" w:rsidRDefault="00841509" w:rsidP="00841509">
      <w:pPr>
        <w:numPr>
          <w:ilvl w:val="1"/>
          <w:numId w:val="17"/>
        </w:numPr>
        <w:spacing w:after="100" w:afterAutospacing="1" w:line="240" w:lineRule="auto"/>
        <w:rPr>
          <w:rFonts w:ascii="Arial" w:eastAsia="Times New Roman" w:hAnsi="Arial" w:cs="Arial"/>
          <w:kern w:val="0"/>
          <w:sz w:val="24"/>
          <w:szCs w:val="24"/>
          <w:lang w:val="en-GB" w:eastAsia="en-GB"/>
          <w14:ligatures w14:val="none"/>
        </w:rPr>
      </w:pPr>
      <w:r w:rsidRPr="00841509">
        <w:rPr>
          <w:rFonts w:ascii="Arial" w:eastAsia="Times New Roman" w:hAnsi="Arial" w:cs="Arial"/>
          <w:i/>
          <w:iCs/>
          <w:kern w:val="0"/>
          <w:sz w:val="24"/>
          <w:szCs w:val="24"/>
          <w:lang w:val="en-GB" w:eastAsia="en-GB"/>
          <w14:ligatures w14:val="none"/>
        </w:rPr>
        <w:t>Ødegaard, B. A. (2020), "Asset Pricing Data at the Oslo Stock Exchange"</w:t>
      </w:r>
      <w:r w:rsidRPr="00841509">
        <w:rPr>
          <w:rFonts w:ascii="Arial" w:eastAsia="Times New Roman" w:hAnsi="Arial" w:cs="Arial"/>
          <w:kern w:val="0"/>
          <w:sz w:val="24"/>
          <w:szCs w:val="24"/>
          <w:lang w:val="en-GB" w:eastAsia="en-GB"/>
          <w14:ligatures w14:val="none"/>
        </w:rPr>
        <w:t xml:space="preserve"> – The definitive academic source for Norwegian market benchmarks and factor data.</w:t>
      </w:r>
    </w:p>
    <w:p w14:paraId="6ECAF72B" w14:textId="77777777" w:rsidR="00F44430" w:rsidRDefault="00F44430" w:rsidP="00F44430">
      <w:pPr>
        <w:spacing w:after="100" w:afterAutospacing="1" w:line="240" w:lineRule="auto"/>
        <w:outlineLvl w:val="0"/>
        <w:rPr>
          <w:rFonts w:ascii="Arial" w:eastAsia="Times New Roman" w:hAnsi="Arial" w:cs="Arial"/>
          <w:b/>
          <w:bCs/>
          <w:kern w:val="36"/>
          <w:sz w:val="48"/>
          <w:szCs w:val="48"/>
          <w:lang w:val="en-GB" w:eastAsia="en-GB"/>
          <w14:ligatures w14:val="none"/>
        </w:rPr>
      </w:pPr>
    </w:p>
    <w:p w14:paraId="6E529F18" w14:textId="77777777" w:rsidR="00F44430" w:rsidRDefault="00F44430" w:rsidP="00F44430">
      <w:pPr>
        <w:spacing w:after="100" w:afterAutospacing="1" w:line="240" w:lineRule="auto"/>
        <w:outlineLvl w:val="0"/>
        <w:rPr>
          <w:rFonts w:ascii="Arial" w:eastAsia="Times New Roman" w:hAnsi="Arial" w:cs="Arial"/>
          <w:b/>
          <w:bCs/>
          <w:kern w:val="36"/>
          <w:sz w:val="48"/>
          <w:szCs w:val="48"/>
          <w:lang w:val="en-GB" w:eastAsia="en-GB"/>
          <w14:ligatures w14:val="none"/>
        </w:rPr>
      </w:pPr>
    </w:p>
    <w:p w14:paraId="6B9D6959" w14:textId="7B790F73" w:rsidR="00093FFB" w:rsidRPr="00F44430" w:rsidRDefault="00093FFB" w:rsidP="00F44430">
      <w:pPr>
        <w:spacing w:after="100" w:afterAutospacing="1" w:line="240" w:lineRule="auto"/>
        <w:outlineLvl w:val="0"/>
        <w:rPr>
          <w:rFonts w:ascii="Arial" w:eastAsia="Times New Roman" w:hAnsi="Arial" w:cs="Arial"/>
          <w:b/>
          <w:bCs/>
          <w:kern w:val="36"/>
          <w:sz w:val="48"/>
          <w:szCs w:val="48"/>
          <w:lang w:val="en-GB" w:eastAsia="en-GB"/>
          <w14:ligatures w14:val="none"/>
        </w:rPr>
      </w:pPr>
      <w:r w:rsidRPr="00F44430">
        <w:rPr>
          <w:rFonts w:ascii="Arial" w:eastAsia="Times New Roman" w:hAnsi="Arial" w:cs="Arial"/>
          <w:b/>
          <w:bCs/>
          <w:kern w:val="36"/>
          <w:sz w:val="48"/>
          <w:szCs w:val="48"/>
          <w:lang w:val="en-GB" w:eastAsia="en-GB"/>
          <w14:ligatures w14:val="none"/>
        </w:rPr>
        <w:t>Evaluation Methodology summary</w:t>
      </w:r>
    </w:p>
    <w:p w14:paraId="19039AA2" w14:textId="77777777" w:rsidR="00093FFB" w:rsidRPr="00093FFB" w:rsidRDefault="00093FFB" w:rsidP="00093FFB">
      <w:pPr>
        <w:spacing w:after="100" w:afterAutospacing="1" w:line="240" w:lineRule="auto"/>
        <w:outlineLvl w:val="3"/>
        <w:rPr>
          <w:rFonts w:ascii="Arial" w:eastAsia="Times New Roman" w:hAnsi="Arial" w:cs="Arial"/>
          <w:b/>
          <w:bCs/>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1. The Benchmark Data (Ødegaard's Factor Library)</w:t>
      </w:r>
    </w:p>
    <w:p w14:paraId="3A4FEBF4" w14:textId="77777777" w:rsidR="00093FFB" w:rsidRPr="00093FFB" w:rsidRDefault="00093FFB" w:rsidP="00093FFB">
      <w:pPr>
        <w:numPr>
          <w:ilvl w:val="0"/>
          <w:numId w:val="18"/>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Choice:</w:t>
      </w:r>
      <w:r w:rsidRPr="00093FFB">
        <w:rPr>
          <w:rFonts w:ascii="Arial" w:eastAsia="Times New Roman" w:hAnsi="Arial" w:cs="Arial"/>
          <w:kern w:val="0"/>
          <w:sz w:val="24"/>
          <w:szCs w:val="24"/>
          <w:lang w:val="en-GB" w:eastAsia="en-GB"/>
          <w14:ligatures w14:val="none"/>
        </w:rPr>
        <w:t xml:space="preserve"> To calculate the market premium and Fama-French factors, we utilized the academic asset pricing database constructed by Professor Bernt Arne Ødegaard for the Oslo Stock Exchange. Specifically, we used the 1-month Forward-Looking Risk-Free Rate (estimated from NIBOR) and the Value-Weighted (VW) Market Portfolio.</w:t>
      </w:r>
    </w:p>
    <w:p w14:paraId="271BC4D6" w14:textId="77777777" w:rsidR="00093FFB" w:rsidRPr="00093FFB" w:rsidRDefault="00093FFB" w:rsidP="00093FFB">
      <w:pPr>
        <w:numPr>
          <w:ilvl w:val="0"/>
          <w:numId w:val="18"/>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Justification:</w:t>
      </w:r>
      <w:r w:rsidRPr="00093FFB">
        <w:rPr>
          <w:rFonts w:ascii="Arial" w:eastAsia="Times New Roman" w:hAnsi="Arial" w:cs="Arial"/>
          <w:kern w:val="0"/>
          <w:sz w:val="24"/>
          <w:szCs w:val="24"/>
          <w:lang w:val="en-GB" w:eastAsia="en-GB"/>
          <w14:ligatures w14:val="none"/>
        </w:rPr>
        <w:t xml:space="preserve"> Commercial indices like the OSEBX are restricted to a small universe of highly liquid large-cap stocks and are thus inappropriate for broad cross-sectional asset pricing tests. Ødegaard's VW portfolio correctly aggregates the total equity wealth of the Norwegian market, ensuring the CAPM and Carhart regressions are mathematically sound and academically rigorous.</w:t>
      </w:r>
    </w:p>
    <w:p w14:paraId="6F5B0D5F" w14:textId="77777777" w:rsidR="00093FFB" w:rsidRPr="00093FFB" w:rsidRDefault="00093FFB" w:rsidP="00093FFB">
      <w:pPr>
        <w:numPr>
          <w:ilvl w:val="0"/>
          <w:numId w:val="18"/>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Sources:</w:t>
      </w:r>
    </w:p>
    <w:p w14:paraId="131CE83B" w14:textId="77777777" w:rsidR="00093FFB" w:rsidRPr="00093FFB" w:rsidRDefault="00093FFB" w:rsidP="00093FFB">
      <w:pPr>
        <w:numPr>
          <w:ilvl w:val="1"/>
          <w:numId w:val="18"/>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i/>
          <w:iCs/>
          <w:kern w:val="0"/>
          <w:sz w:val="24"/>
          <w:szCs w:val="24"/>
          <w:lang w:val="en-GB" w:eastAsia="en-GB"/>
          <w14:ligatures w14:val="none"/>
        </w:rPr>
        <w:t>Ødegaard, B. A. (2020), "Asset Pricing Data at the Oslo Stock Exchange"</w:t>
      </w:r>
      <w:r w:rsidRPr="00093FFB">
        <w:rPr>
          <w:rFonts w:ascii="Arial" w:eastAsia="Times New Roman" w:hAnsi="Arial" w:cs="Arial"/>
          <w:kern w:val="0"/>
          <w:sz w:val="24"/>
          <w:szCs w:val="24"/>
          <w:lang w:val="en-GB" w:eastAsia="en-GB"/>
          <w14:ligatures w14:val="none"/>
        </w:rPr>
        <w:t xml:space="preserve"> – The definitive, peer-reviewed standard for Norwegian factor data.</w:t>
      </w:r>
    </w:p>
    <w:p w14:paraId="5705D681" w14:textId="77777777" w:rsidR="00093FFB" w:rsidRPr="00093FFB" w:rsidRDefault="00093FFB" w:rsidP="00093FFB">
      <w:pPr>
        <w:spacing w:after="100" w:afterAutospacing="1" w:line="240" w:lineRule="auto"/>
        <w:outlineLvl w:val="3"/>
        <w:rPr>
          <w:rFonts w:ascii="Arial" w:eastAsia="Times New Roman" w:hAnsi="Arial" w:cs="Arial"/>
          <w:b/>
          <w:bCs/>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2. Risk-Adjusted Performance Metrics</w:t>
      </w:r>
    </w:p>
    <w:p w14:paraId="1603001D" w14:textId="77777777" w:rsidR="00093FFB" w:rsidRPr="00093FFB" w:rsidRDefault="00093FFB" w:rsidP="00093FFB">
      <w:pPr>
        <w:numPr>
          <w:ilvl w:val="0"/>
          <w:numId w:val="19"/>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Choice:</w:t>
      </w:r>
      <w:r w:rsidRPr="00093FFB">
        <w:rPr>
          <w:rFonts w:ascii="Arial" w:eastAsia="Times New Roman" w:hAnsi="Arial" w:cs="Arial"/>
          <w:kern w:val="0"/>
          <w:sz w:val="24"/>
          <w:szCs w:val="24"/>
          <w:lang w:val="en-GB" w:eastAsia="en-GB"/>
          <w14:ligatures w14:val="none"/>
        </w:rPr>
        <w:t xml:space="preserve"> Raw returns were contextualized using the Annualized Sharpe Ratio and Maximum Drawdown.</w:t>
      </w:r>
    </w:p>
    <w:p w14:paraId="0C280592" w14:textId="77777777" w:rsidR="00093FFB" w:rsidRPr="00093FFB" w:rsidRDefault="00093FFB" w:rsidP="00093FFB">
      <w:pPr>
        <w:numPr>
          <w:ilvl w:val="0"/>
          <w:numId w:val="19"/>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lastRenderedPageBreak/>
        <w:t>The Justification:</w:t>
      </w:r>
      <w:r w:rsidRPr="00093FFB">
        <w:rPr>
          <w:rFonts w:ascii="Arial" w:eastAsia="Times New Roman" w:hAnsi="Arial" w:cs="Arial"/>
          <w:kern w:val="0"/>
          <w:sz w:val="24"/>
          <w:szCs w:val="24"/>
          <w:lang w:val="en-GB" w:eastAsia="en-GB"/>
          <w14:ligatures w14:val="none"/>
        </w:rPr>
        <w:t xml:space="preserve"> Machine learning models can easily generate high raw returns by inadvertently selecting extremely volatile micro-cap stocks. The Sharpe Ratio penalizes the model for taking excess volatility, proving that the returns are efficient. Maximum Drawdown evaluates the strategy's tail-risk and resilience during macro shocks (e.g., the 2020 COVID-19 crash), which is a primary concern for institutional investors.</w:t>
      </w:r>
    </w:p>
    <w:p w14:paraId="766A6BE1" w14:textId="77777777" w:rsidR="00093FFB" w:rsidRPr="00093FFB" w:rsidRDefault="00093FFB" w:rsidP="00093FFB">
      <w:pPr>
        <w:numPr>
          <w:ilvl w:val="0"/>
          <w:numId w:val="19"/>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Sources:</w:t>
      </w:r>
    </w:p>
    <w:p w14:paraId="6BB99FA1" w14:textId="77777777" w:rsidR="00093FFB" w:rsidRPr="00093FFB" w:rsidRDefault="00093FFB" w:rsidP="00093FFB">
      <w:pPr>
        <w:numPr>
          <w:ilvl w:val="1"/>
          <w:numId w:val="19"/>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i/>
          <w:iCs/>
          <w:kern w:val="0"/>
          <w:sz w:val="24"/>
          <w:szCs w:val="24"/>
          <w:lang w:val="en-GB" w:eastAsia="en-GB"/>
          <w14:ligatures w14:val="none"/>
        </w:rPr>
        <w:t>Sharpe, W. F. (1994), "The Sharpe Ratio"</w:t>
      </w:r>
      <w:r w:rsidRPr="00093FFB">
        <w:rPr>
          <w:rFonts w:ascii="Arial" w:eastAsia="Times New Roman" w:hAnsi="Arial" w:cs="Arial"/>
          <w:kern w:val="0"/>
          <w:sz w:val="24"/>
          <w:szCs w:val="24"/>
          <w:lang w:val="en-GB" w:eastAsia="en-GB"/>
          <w14:ligatures w14:val="none"/>
        </w:rPr>
        <w:t xml:space="preserve"> – The fundamental justification for scaling excess returns by standard deviation.</w:t>
      </w:r>
    </w:p>
    <w:p w14:paraId="4B2DDE4C" w14:textId="77777777" w:rsidR="00093FFB" w:rsidRPr="00093FFB" w:rsidRDefault="00093FFB" w:rsidP="00093FFB">
      <w:pPr>
        <w:spacing w:after="100" w:afterAutospacing="1" w:line="240" w:lineRule="auto"/>
        <w:outlineLvl w:val="3"/>
        <w:rPr>
          <w:rFonts w:ascii="Arial" w:eastAsia="Times New Roman" w:hAnsi="Arial" w:cs="Arial"/>
          <w:b/>
          <w:bCs/>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3. Fama-French &amp; Carhart Alpha Regressions</w:t>
      </w:r>
    </w:p>
    <w:p w14:paraId="39B5D85C" w14:textId="77777777" w:rsidR="00093FFB" w:rsidRPr="00093FFB" w:rsidRDefault="00093FFB" w:rsidP="00093FFB">
      <w:pPr>
        <w:numPr>
          <w:ilvl w:val="0"/>
          <w:numId w:val="20"/>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Choice:</w:t>
      </w:r>
      <w:r w:rsidRPr="00093FFB">
        <w:rPr>
          <w:rFonts w:ascii="Arial" w:eastAsia="Times New Roman" w:hAnsi="Arial" w:cs="Arial"/>
          <w:kern w:val="0"/>
          <w:sz w:val="24"/>
          <w:szCs w:val="24"/>
          <w:lang w:val="en-GB" w:eastAsia="en-GB"/>
          <w14:ligatures w14:val="none"/>
        </w:rPr>
        <w:t xml:space="preserve"> Portfolio excess returns were regressed against the CAPM (1-factor), Fama-French (3-factor), and Carhart (4-factor) asset pricing models.</w:t>
      </w:r>
    </w:p>
    <w:p w14:paraId="103A1798" w14:textId="77777777" w:rsidR="00093FFB" w:rsidRPr="00093FFB" w:rsidRDefault="00093FFB" w:rsidP="00093FFB">
      <w:pPr>
        <w:numPr>
          <w:ilvl w:val="0"/>
          <w:numId w:val="20"/>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Justification:</w:t>
      </w:r>
      <w:r w:rsidRPr="00093FFB">
        <w:rPr>
          <w:rFonts w:ascii="Arial" w:eastAsia="Times New Roman" w:hAnsi="Arial" w:cs="Arial"/>
          <w:kern w:val="0"/>
          <w:sz w:val="24"/>
          <w:szCs w:val="24"/>
          <w:lang w:val="en-GB" w:eastAsia="en-GB"/>
          <w14:ligatures w14:val="none"/>
        </w:rPr>
        <w:t xml:space="preserve"> This isolates the machine learning model's true predictive edge. Because the ML features include traditional momentum (</w:t>
      </w:r>
      <w:r w:rsidRPr="00093FFB">
        <w:rPr>
          <w:rFonts w:ascii="Arial" w:eastAsia="Times New Roman" w:hAnsi="Arial" w:cs="Arial"/>
          <w:kern w:val="0"/>
          <w:sz w:val="20"/>
          <w:szCs w:val="20"/>
          <w:lang w:val="en-GB" w:eastAsia="en-GB"/>
          <w14:ligatures w14:val="none"/>
        </w:rPr>
        <w:t>mom_12m</w:t>
      </w:r>
      <w:r w:rsidRPr="00093FFB">
        <w:rPr>
          <w:rFonts w:ascii="Arial" w:eastAsia="Times New Roman" w:hAnsi="Arial" w:cs="Arial"/>
          <w:kern w:val="0"/>
          <w:sz w:val="24"/>
          <w:szCs w:val="24"/>
          <w:lang w:val="en-GB" w:eastAsia="en-GB"/>
          <w14:ligatures w14:val="none"/>
        </w:rPr>
        <w:t>), the Carhart 4-factor regression is strictly required to prove that the AI did not simply replicate a linear momentum strategy. A statistically significant positive intercept ($\alpha$) in the 4-factor model mathematically proves the existence of non-linear, alternative-data-driven predictive power.</w:t>
      </w:r>
    </w:p>
    <w:p w14:paraId="1FA7D15A" w14:textId="77777777" w:rsidR="00093FFB" w:rsidRPr="00093FFB" w:rsidRDefault="00093FFB" w:rsidP="00093FFB">
      <w:pPr>
        <w:numPr>
          <w:ilvl w:val="0"/>
          <w:numId w:val="20"/>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Sources:</w:t>
      </w:r>
    </w:p>
    <w:p w14:paraId="041726D7" w14:textId="77777777" w:rsidR="00093FFB" w:rsidRPr="00093FFB" w:rsidRDefault="00093FFB" w:rsidP="00093FFB">
      <w:pPr>
        <w:numPr>
          <w:ilvl w:val="1"/>
          <w:numId w:val="20"/>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i/>
          <w:iCs/>
          <w:kern w:val="0"/>
          <w:sz w:val="24"/>
          <w:szCs w:val="24"/>
          <w:lang w:val="en-GB" w:eastAsia="en-GB"/>
          <w14:ligatures w14:val="none"/>
        </w:rPr>
        <w:t>Carhart, M. M. (1997), "On Persistence in Mutual Fund Performance"</w:t>
      </w:r>
      <w:r w:rsidRPr="00093FFB">
        <w:rPr>
          <w:rFonts w:ascii="Arial" w:eastAsia="Times New Roman" w:hAnsi="Arial" w:cs="Arial"/>
          <w:kern w:val="0"/>
          <w:sz w:val="24"/>
          <w:szCs w:val="24"/>
          <w:lang w:val="en-GB" w:eastAsia="en-GB"/>
          <w14:ligatures w14:val="none"/>
        </w:rPr>
        <w:t xml:space="preserve"> – Introduces the 4-factor model, adding momentum (UMD) to size and value, which remains the gold standard for evaluating quantitative equity strategies.</w:t>
      </w:r>
    </w:p>
    <w:p w14:paraId="0739C1FA" w14:textId="77777777" w:rsidR="00093FFB" w:rsidRPr="00093FFB" w:rsidRDefault="00093FFB" w:rsidP="00093FFB">
      <w:pPr>
        <w:spacing w:after="100" w:afterAutospacing="1" w:line="240" w:lineRule="auto"/>
        <w:outlineLvl w:val="3"/>
        <w:rPr>
          <w:rFonts w:ascii="Arial" w:eastAsia="Times New Roman" w:hAnsi="Arial" w:cs="Arial"/>
          <w:b/>
          <w:bCs/>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4. Disentangling Long-Only vs. Long-Short Alpha</w:t>
      </w:r>
    </w:p>
    <w:p w14:paraId="4DD34C51" w14:textId="77777777" w:rsidR="00093FFB" w:rsidRPr="00093FFB" w:rsidRDefault="00093FFB" w:rsidP="00093FFB">
      <w:pPr>
        <w:numPr>
          <w:ilvl w:val="0"/>
          <w:numId w:val="21"/>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Choice:</w:t>
      </w:r>
      <w:r w:rsidRPr="00093FFB">
        <w:rPr>
          <w:rFonts w:ascii="Arial" w:eastAsia="Times New Roman" w:hAnsi="Arial" w:cs="Arial"/>
          <w:kern w:val="0"/>
          <w:sz w:val="24"/>
          <w:szCs w:val="24"/>
          <w:lang w:val="en-GB" w:eastAsia="en-GB"/>
          <w14:ligatures w14:val="none"/>
        </w:rPr>
        <w:t xml:space="preserve"> Fama-French regressions were </w:t>
      </w:r>
      <w:proofErr w:type="spellStart"/>
      <w:r w:rsidRPr="00093FFB">
        <w:rPr>
          <w:rFonts w:ascii="Arial" w:eastAsia="Times New Roman" w:hAnsi="Arial" w:cs="Arial"/>
          <w:kern w:val="0"/>
          <w:sz w:val="24"/>
          <w:szCs w:val="24"/>
          <w:lang w:val="en-GB" w:eastAsia="en-GB"/>
          <w14:ligatures w14:val="none"/>
        </w:rPr>
        <w:t>analyzed</w:t>
      </w:r>
      <w:proofErr w:type="spellEnd"/>
      <w:r w:rsidRPr="00093FFB">
        <w:rPr>
          <w:rFonts w:ascii="Arial" w:eastAsia="Times New Roman" w:hAnsi="Arial" w:cs="Arial"/>
          <w:kern w:val="0"/>
          <w:sz w:val="24"/>
          <w:szCs w:val="24"/>
          <w:lang w:val="en-GB" w:eastAsia="en-GB"/>
          <w14:ligatures w14:val="none"/>
        </w:rPr>
        <w:t xml:space="preserve"> separately for the Long-Only and Dollar-Neutral Long-Short portfolios.</w:t>
      </w:r>
    </w:p>
    <w:p w14:paraId="3E23979E" w14:textId="77777777" w:rsidR="00093FFB" w:rsidRDefault="00093FFB" w:rsidP="00093FFB">
      <w:pPr>
        <w:numPr>
          <w:ilvl w:val="0"/>
          <w:numId w:val="21"/>
        </w:numPr>
        <w:spacing w:after="100" w:afterAutospacing="1" w:line="240" w:lineRule="auto"/>
        <w:rPr>
          <w:rFonts w:ascii="Arial" w:eastAsia="Times New Roman" w:hAnsi="Arial" w:cs="Arial"/>
          <w:kern w:val="0"/>
          <w:sz w:val="24"/>
          <w:szCs w:val="24"/>
          <w:lang w:val="en-GB" w:eastAsia="en-GB"/>
          <w14:ligatures w14:val="none"/>
        </w:rPr>
      </w:pPr>
      <w:r w:rsidRPr="00093FFB">
        <w:rPr>
          <w:rFonts w:ascii="Arial" w:eastAsia="Times New Roman" w:hAnsi="Arial" w:cs="Arial"/>
          <w:b/>
          <w:bCs/>
          <w:kern w:val="0"/>
          <w:sz w:val="24"/>
          <w:szCs w:val="24"/>
          <w:lang w:val="en-GB" w:eastAsia="en-GB"/>
          <w14:ligatures w14:val="none"/>
        </w:rPr>
        <w:t>The Justification:</w:t>
      </w:r>
      <w:r w:rsidRPr="00093FFB">
        <w:rPr>
          <w:rFonts w:ascii="Arial" w:eastAsia="Times New Roman" w:hAnsi="Arial" w:cs="Arial"/>
          <w:kern w:val="0"/>
          <w:sz w:val="24"/>
          <w:szCs w:val="24"/>
          <w:lang w:val="en-GB" w:eastAsia="en-GB"/>
          <w14:ligatures w14:val="none"/>
        </w:rPr>
        <w:t xml:space="preserve"> The Long-Only portfolio inherently carries a market Beta ($\beta$) of approximately 1.0, meaning its raw returns are heavily driven by general market upward drift. Consequently, standard factors explain </w:t>
      </w:r>
      <w:proofErr w:type="gramStart"/>
      <w:r w:rsidRPr="00093FFB">
        <w:rPr>
          <w:rFonts w:ascii="Arial" w:eastAsia="Times New Roman" w:hAnsi="Arial" w:cs="Arial"/>
          <w:kern w:val="0"/>
          <w:sz w:val="24"/>
          <w:szCs w:val="24"/>
          <w:lang w:val="en-GB" w:eastAsia="en-GB"/>
          <w14:ligatures w14:val="none"/>
        </w:rPr>
        <w:t>the majority of</w:t>
      </w:r>
      <w:proofErr w:type="gramEnd"/>
      <w:r w:rsidRPr="00093FFB">
        <w:rPr>
          <w:rFonts w:ascii="Arial" w:eastAsia="Times New Roman" w:hAnsi="Arial" w:cs="Arial"/>
          <w:kern w:val="0"/>
          <w:sz w:val="24"/>
          <w:szCs w:val="24"/>
          <w:lang w:val="en-GB" w:eastAsia="en-GB"/>
          <w14:ligatures w14:val="none"/>
        </w:rPr>
        <w:t xml:space="preserve"> its variance, leaving a smaller, often insignificant Alpha. The Long-Short portfolio mathematically neutralizes market Beta ($\beta \</w:t>
      </w:r>
      <w:proofErr w:type="spellStart"/>
      <w:r w:rsidRPr="00093FFB">
        <w:rPr>
          <w:rFonts w:ascii="Arial" w:eastAsia="Times New Roman" w:hAnsi="Arial" w:cs="Arial"/>
          <w:kern w:val="0"/>
          <w:sz w:val="24"/>
          <w:szCs w:val="24"/>
          <w:lang w:val="en-GB" w:eastAsia="en-GB"/>
          <w14:ligatures w14:val="none"/>
        </w:rPr>
        <w:t>approx</w:t>
      </w:r>
      <w:proofErr w:type="spellEnd"/>
      <w:r w:rsidRPr="00093FFB">
        <w:rPr>
          <w:rFonts w:ascii="Arial" w:eastAsia="Times New Roman" w:hAnsi="Arial" w:cs="Arial"/>
          <w:kern w:val="0"/>
          <w:sz w:val="24"/>
          <w:szCs w:val="24"/>
          <w:lang w:val="en-GB" w:eastAsia="en-GB"/>
          <w14:ligatures w14:val="none"/>
        </w:rPr>
        <w:t xml:space="preserve"> 0$). Therefore, the Long-Short regression serves as the purest, unpolluted metric of the model's stock-picking ability.</w:t>
      </w:r>
    </w:p>
    <w:p w14:paraId="6F972E77" w14:textId="77777777" w:rsidR="00850A93" w:rsidRDefault="00850A93" w:rsidP="00850A93">
      <w:pPr>
        <w:pStyle w:val="Normlnweb"/>
        <w:spacing w:before="0" w:beforeAutospacing="0"/>
        <w:rPr>
          <w:rFonts w:ascii="Arial" w:hAnsi="Arial" w:cs="Arial"/>
        </w:rPr>
      </w:pPr>
      <w:r>
        <w:rPr>
          <w:rFonts w:ascii="Arial" w:hAnsi="Arial" w:cs="Arial"/>
          <w:b/>
          <w:bCs/>
        </w:rPr>
        <w:t>5. Portfolio Interpretability via Factor Loadings</w:t>
      </w:r>
    </w:p>
    <w:p w14:paraId="15DE6E37" w14:textId="77777777" w:rsidR="00850A93" w:rsidRDefault="00850A93" w:rsidP="00850A93">
      <w:pPr>
        <w:pStyle w:val="Normlnweb"/>
        <w:numPr>
          <w:ilvl w:val="0"/>
          <w:numId w:val="21"/>
        </w:numPr>
        <w:spacing w:before="0" w:beforeAutospacing="0"/>
        <w:rPr>
          <w:rFonts w:ascii="Arial" w:hAnsi="Arial" w:cs="Arial"/>
        </w:rPr>
      </w:pPr>
      <w:r>
        <w:rPr>
          <w:rFonts w:ascii="Arial" w:hAnsi="Arial" w:cs="Arial"/>
          <w:b/>
          <w:bCs/>
        </w:rPr>
        <w:t>The Choice:</w:t>
      </w:r>
      <w:r>
        <w:rPr>
          <w:rFonts w:ascii="Arial" w:hAnsi="Arial" w:cs="Arial"/>
        </w:rPr>
        <w:t xml:space="preserve"> To interpret the "black box" decisions of the machine learning ensemble, the full coefficient matrix of the Carhart 4-Factor regression was </w:t>
      </w:r>
      <w:proofErr w:type="spellStart"/>
      <w:r>
        <w:rPr>
          <w:rFonts w:ascii="Arial" w:hAnsi="Arial" w:cs="Arial"/>
        </w:rPr>
        <w:t>analyzed</w:t>
      </w:r>
      <w:proofErr w:type="spellEnd"/>
      <w:r>
        <w:rPr>
          <w:rFonts w:ascii="Arial" w:hAnsi="Arial" w:cs="Arial"/>
        </w:rPr>
        <w:t>.</w:t>
      </w:r>
    </w:p>
    <w:p w14:paraId="1136E583" w14:textId="77777777" w:rsidR="00850A93" w:rsidRDefault="00850A93" w:rsidP="00850A93">
      <w:pPr>
        <w:pStyle w:val="Normlnweb"/>
        <w:numPr>
          <w:ilvl w:val="0"/>
          <w:numId w:val="21"/>
        </w:numPr>
        <w:spacing w:before="0" w:beforeAutospacing="0"/>
        <w:rPr>
          <w:rFonts w:ascii="Arial" w:hAnsi="Arial" w:cs="Arial"/>
        </w:rPr>
      </w:pPr>
      <w:r>
        <w:rPr>
          <w:rFonts w:ascii="Arial" w:hAnsi="Arial" w:cs="Arial"/>
          <w:b/>
          <w:bCs/>
        </w:rPr>
        <w:t>The Justification:</w:t>
      </w:r>
      <w:r>
        <w:rPr>
          <w:rFonts w:ascii="Arial" w:hAnsi="Arial" w:cs="Arial"/>
        </w:rPr>
        <w:t xml:space="preserve"> While Alpha proves </w:t>
      </w:r>
      <w:r>
        <w:rPr>
          <w:rFonts w:ascii="Arial" w:hAnsi="Arial" w:cs="Arial"/>
          <w:i/>
          <w:iCs/>
        </w:rPr>
        <w:t>if</w:t>
      </w:r>
      <w:r>
        <w:rPr>
          <w:rFonts w:ascii="Arial" w:hAnsi="Arial" w:cs="Arial"/>
        </w:rPr>
        <w:t xml:space="preserve"> a model generates value, factor betas (</w:t>
      </w:r>
      <w:r>
        <w:rPr>
          <w:rStyle w:val="math-inline"/>
          <w:rFonts w:ascii="Arial" w:eastAsiaTheme="majorEastAsia" w:hAnsi="Arial" w:cs="Arial"/>
        </w:rPr>
        <w:t>$\beta$</w:t>
      </w:r>
      <w:r>
        <w:rPr>
          <w:rFonts w:ascii="Arial" w:hAnsi="Arial" w:cs="Arial"/>
        </w:rPr>
        <w:t xml:space="preserve">) explain </w:t>
      </w:r>
      <w:r>
        <w:rPr>
          <w:rFonts w:ascii="Arial" w:hAnsi="Arial" w:cs="Arial"/>
          <w:i/>
          <w:iCs/>
        </w:rPr>
        <w:t>how</w:t>
      </w:r>
      <w:r>
        <w:rPr>
          <w:rFonts w:ascii="Arial" w:hAnsi="Arial" w:cs="Arial"/>
        </w:rPr>
        <w:t xml:space="preserve"> the model constructs its portfolio. By examining the significance of the Market, Size (SMB), Value (HML), and Momentum (UMD) loadings, we can map the non-linear AI decisions back to traditional, </w:t>
      </w:r>
      <w:proofErr w:type="spellStart"/>
      <w:r>
        <w:rPr>
          <w:rFonts w:ascii="Arial" w:hAnsi="Arial" w:cs="Arial"/>
        </w:rPr>
        <w:t>interpreitable</w:t>
      </w:r>
      <w:proofErr w:type="spellEnd"/>
      <w:r>
        <w:rPr>
          <w:rFonts w:ascii="Arial" w:hAnsi="Arial" w:cs="Arial"/>
        </w:rPr>
        <w:t xml:space="preserve"> financial risk dimensions, providing crucial transparency for institutional deployment.</w:t>
      </w:r>
    </w:p>
    <w:p w14:paraId="4C9219B1" w14:textId="77777777" w:rsidR="00850A93" w:rsidRPr="00093FFB" w:rsidRDefault="00850A93" w:rsidP="0069228B">
      <w:pPr>
        <w:spacing w:after="100" w:afterAutospacing="1" w:line="240" w:lineRule="auto"/>
        <w:ind w:left="720"/>
        <w:rPr>
          <w:rFonts w:ascii="Arial" w:eastAsia="Times New Roman" w:hAnsi="Arial" w:cs="Arial"/>
          <w:kern w:val="0"/>
          <w:sz w:val="24"/>
          <w:szCs w:val="24"/>
          <w:lang w:val="en-GB" w:eastAsia="en-GB"/>
          <w14:ligatures w14:val="none"/>
        </w:rPr>
      </w:pPr>
    </w:p>
    <w:p w14:paraId="652F1682" w14:textId="77777777" w:rsidR="00665CE0" w:rsidRPr="00665CE0" w:rsidRDefault="00665CE0">
      <w:pPr>
        <w:rPr>
          <w:lang w:val="en-GB"/>
        </w:rPr>
      </w:pPr>
    </w:p>
    <w:sectPr w:rsidR="00665CE0" w:rsidRPr="00665CE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26687"/>
    <w:multiLevelType w:val="multilevel"/>
    <w:tmpl w:val="32E8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45EC0"/>
    <w:multiLevelType w:val="multilevel"/>
    <w:tmpl w:val="6F2E9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13B1B"/>
    <w:multiLevelType w:val="multilevel"/>
    <w:tmpl w:val="69708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06227"/>
    <w:multiLevelType w:val="multilevel"/>
    <w:tmpl w:val="9DBEE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D5683"/>
    <w:multiLevelType w:val="multilevel"/>
    <w:tmpl w:val="74381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E7EAC"/>
    <w:multiLevelType w:val="multilevel"/>
    <w:tmpl w:val="C18CA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72ACC"/>
    <w:multiLevelType w:val="multilevel"/>
    <w:tmpl w:val="0E005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23EAE"/>
    <w:multiLevelType w:val="multilevel"/>
    <w:tmpl w:val="D044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B49D3"/>
    <w:multiLevelType w:val="multilevel"/>
    <w:tmpl w:val="B4CA4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802C13"/>
    <w:multiLevelType w:val="multilevel"/>
    <w:tmpl w:val="C39E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3205D1"/>
    <w:multiLevelType w:val="multilevel"/>
    <w:tmpl w:val="85E2A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668FE"/>
    <w:multiLevelType w:val="multilevel"/>
    <w:tmpl w:val="26D8A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21C5F"/>
    <w:multiLevelType w:val="multilevel"/>
    <w:tmpl w:val="3060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95727B"/>
    <w:multiLevelType w:val="multilevel"/>
    <w:tmpl w:val="40EC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C70E3"/>
    <w:multiLevelType w:val="multilevel"/>
    <w:tmpl w:val="01B86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C7E79"/>
    <w:multiLevelType w:val="multilevel"/>
    <w:tmpl w:val="9176E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4E0A0C"/>
    <w:multiLevelType w:val="multilevel"/>
    <w:tmpl w:val="4FD61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CA13C9"/>
    <w:multiLevelType w:val="multilevel"/>
    <w:tmpl w:val="983C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B553A0"/>
    <w:multiLevelType w:val="multilevel"/>
    <w:tmpl w:val="B59C9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831CEA"/>
    <w:multiLevelType w:val="multilevel"/>
    <w:tmpl w:val="09685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940602"/>
    <w:multiLevelType w:val="multilevel"/>
    <w:tmpl w:val="3EF81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7E1B85"/>
    <w:multiLevelType w:val="multilevel"/>
    <w:tmpl w:val="E45C3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116388">
    <w:abstractNumId w:val="9"/>
  </w:num>
  <w:num w:numId="2" w16cid:durableId="153491936">
    <w:abstractNumId w:val="16"/>
  </w:num>
  <w:num w:numId="3" w16cid:durableId="749160462">
    <w:abstractNumId w:val="12"/>
  </w:num>
  <w:num w:numId="4" w16cid:durableId="2033921584">
    <w:abstractNumId w:val="21"/>
  </w:num>
  <w:num w:numId="5" w16cid:durableId="926381371">
    <w:abstractNumId w:val="2"/>
  </w:num>
  <w:num w:numId="6" w16cid:durableId="729841454">
    <w:abstractNumId w:val="6"/>
  </w:num>
  <w:num w:numId="7" w16cid:durableId="175507666">
    <w:abstractNumId w:val="15"/>
  </w:num>
  <w:num w:numId="8" w16cid:durableId="1745714001">
    <w:abstractNumId w:val="18"/>
  </w:num>
  <w:num w:numId="9" w16cid:durableId="863904792">
    <w:abstractNumId w:val="4"/>
  </w:num>
  <w:num w:numId="10" w16cid:durableId="151408507">
    <w:abstractNumId w:val="20"/>
  </w:num>
  <w:num w:numId="11" w16cid:durableId="1930233610">
    <w:abstractNumId w:val="19"/>
  </w:num>
  <w:num w:numId="12" w16cid:durableId="630288253">
    <w:abstractNumId w:val="11"/>
  </w:num>
  <w:num w:numId="13" w16cid:durableId="1716611995">
    <w:abstractNumId w:val="14"/>
  </w:num>
  <w:num w:numId="14" w16cid:durableId="145053416">
    <w:abstractNumId w:val="10"/>
  </w:num>
  <w:num w:numId="15" w16cid:durableId="570193117">
    <w:abstractNumId w:val="8"/>
  </w:num>
  <w:num w:numId="16" w16cid:durableId="2039233543">
    <w:abstractNumId w:val="5"/>
  </w:num>
  <w:num w:numId="17" w16cid:durableId="521210906">
    <w:abstractNumId w:val="1"/>
  </w:num>
  <w:num w:numId="18" w16cid:durableId="1340696071">
    <w:abstractNumId w:val="13"/>
  </w:num>
  <w:num w:numId="19" w16cid:durableId="1071467655">
    <w:abstractNumId w:val="17"/>
  </w:num>
  <w:num w:numId="20" w16cid:durableId="871845250">
    <w:abstractNumId w:val="3"/>
  </w:num>
  <w:num w:numId="21" w16cid:durableId="2064140328">
    <w:abstractNumId w:val="7"/>
  </w:num>
  <w:num w:numId="22" w16cid:durableId="1700735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E65"/>
    <w:rsid w:val="00093FFB"/>
    <w:rsid w:val="00303E65"/>
    <w:rsid w:val="003B5D99"/>
    <w:rsid w:val="00425063"/>
    <w:rsid w:val="0051299B"/>
    <w:rsid w:val="005912C0"/>
    <w:rsid w:val="00665CE0"/>
    <w:rsid w:val="0069228B"/>
    <w:rsid w:val="00720677"/>
    <w:rsid w:val="0079336E"/>
    <w:rsid w:val="00841509"/>
    <w:rsid w:val="00850A93"/>
    <w:rsid w:val="009F5362"/>
    <w:rsid w:val="00A1350B"/>
    <w:rsid w:val="00A929A5"/>
    <w:rsid w:val="00AE0381"/>
    <w:rsid w:val="00D567A8"/>
    <w:rsid w:val="00F05031"/>
    <w:rsid w:val="00F4443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D6156"/>
  <w15:chartTrackingRefBased/>
  <w15:docId w15:val="{E5F63687-5706-458A-941B-24A066F0B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93FFB"/>
  </w:style>
  <w:style w:type="paragraph" w:styleId="Nadpis1">
    <w:name w:val="heading 1"/>
    <w:basedOn w:val="Normln"/>
    <w:next w:val="Normln"/>
    <w:link w:val="Nadpis1Char"/>
    <w:uiPriority w:val="9"/>
    <w:qFormat/>
    <w:rsid w:val="00303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303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303E65"/>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303E65"/>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303E65"/>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303E65"/>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03E65"/>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03E65"/>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03E65"/>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03E65"/>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303E65"/>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303E65"/>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303E65"/>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303E65"/>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303E65"/>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03E65"/>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03E65"/>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03E65"/>
    <w:rPr>
      <w:rFonts w:eastAsiaTheme="majorEastAsia" w:cstheme="majorBidi"/>
      <w:color w:val="272727" w:themeColor="text1" w:themeTint="D8"/>
    </w:rPr>
  </w:style>
  <w:style w:type="paragraph" w:styleId="Nzev">
    <w:name w:val="Title"/>
    <w:basedOn w:val="Normln"/>
    <w:next w:val="Normln"/>
    <w:link w:val="NzevChar"/>
    <w:uiPriority w:val="10"/>
    <w:qFormat/>
    <w:rsid w:val="0030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03E65"/>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03E65"/>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03E65"/>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03E65"/>
    <w:pPr>
      <w:spacing w:before="160"/>
      <w:jc w:val="center"/>
    </w:pPr>
    <w:rPr>
      <w:i/>
      <w:iCs/>
      <w:color w:val="404040" w:themeColor="text1" w:themeTint="BF"/>
    </w:rPr>
  </w:style>
  <w:style w:type="character" w:customStyle="1" w:styleId="CittChar">
    <w:name w:val="Citát Char"/>
    <w:basedOn w:val="Standardnpsmoodstavce"/>
    <w:link w:val="Citt"/>
    <w:uiPriority w:val="29"/>
    <w:rsid w:val="00303E65"/>
    <w:rPr>
      <w:i/>
      <w:iCs/>
      <w:color w:val="404040" w:themeColor="text1" w:themeTint="BF"/>
    </w:rPr>
  </w:style>
  <w:style w:type="paragraph" w:styleId="Odstavecseseznamem">
    <w:name w:val="List Paragraph"/>
    <w:basedOn w:val="Normln"/>
    <w:uiPriority w:val="34"/>
    <w:qFormat/>
    <w:rsid w:val="00303E65"/>
    <w:pPr>
      <w:ind w:left="720"/>
      <w:contextualSpacing/>
    </w:pPr>
  </w:style>
  <w:style w:type="character" w:styleId="Zdraznnintenzivn">
    <w:name w:val="Intense Emphasis"/>
    <w:basedOn w:val="Standardnpsmoodstavce"/>
    <w:uiPriority w:val="21"/>
    <w:qFormat/>
    <w:rsid w:val="00303E65"/>
    <w:rPr>
      <w:i/>
      <w:iCs/>
      <w:color w:val="0F4761" w:themeColor="accent1" w:themeShade="BF"/>
    </w:rPr>
  </w:style>
  <w:style w:type="paragraph" w:styleId="Vrazncitt">
    <w:name w:val="Intense Quote"/>
    <w:basedOn w:val="Normln"/>
    <w:next w:val="Normln"/>
    <w:link w:val="VrazncittChar"/>
    <w:uiPriority w:val="30"/>
    <w:qFormat/>
    <w:rsid w:val="0030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303E65"/>
    <w:rPr>
      <w:i/>
      <w:iCs/>
      <w:color w:val="0F4761" w:themeColor="accent1" w:themeShade="BF"/>
    </w:rPr>
  </w:style>
  <w:style w:type="character" w:styleId="Odkazintenzivn">
    <w:name w:val="Intense Reference"/>
    <w:basedOn w:val="Standardnpsmoodstavce"/>
    <w:uiPriority w:val="32"/>
    <w:qFormat/>
    <w:rsid w:val="00303E65"/>
    <w:rPr>
      <w:b/>
      <w:bCs/>
      <w:smallCaps/>
      <w:color w:val="0F4761" w:themeColor="accent1" w:themeShade="BF"/>
      <w:spacing w:val="5"/>
    </w:rPr>
  </w:style>
  <w:style w:type="paragraph" w:styleId="Normlnweb">
    <w:name w:val="Normal (Web)"/>
    <w:basedOn w:val="Normln"/>
    <w:uiPriority w:val="99"/>
    <w:semiHidden/>
    <w:unhideWhenUsed/>
    <w:rsid w:val="00A1350B"/>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KdHTML">
    <w:name w:val="HTML Code"/>
    <w:basedOn w:val="Standardnpsmoodstavce"/>
    <w:uiPriority w:val="99"/>
    <w:semiHidden/>
    <w:unhideWhenUsed/>
    <w:rsid w:val="00A1350B"/>
    <w:rPr>
      <w:rFonts w:ascii="Courier New" w:eastAsia="Times New Roman" w:hAnsi="Courier New" w:cs="Courier New"/>
      <w:sz w:val="20"/>
      <w:szCs w:val="20"/>
    </w:rPr>
  </w:style>
  <w:style w:type="character" w:customStyle="1" w:styleId="math-inline">
    <w:name w:val="math-inline"/>
    <w:basedOn w:val="Standardnpsmoodstavce"/>
    <w:rsid w:val="00A1350B"/>
  </w:style>
  <w:style w:type="character" w:customStyle="1" w:styleId="citation-3">
    <w:name w:val="citation-3"/>
    <w:basedOn w:val="Standardnpsmoodstavce"/>
    <w:rsid w:val="00093F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9</Pages>
  <Words>2955</Words>
  <Characters>16850</Characters>
  <Application>Microsoft Office Word</Application>
  <DocSecurity>0</DocSecurity>
  <Lines>140</Lines>
  <Paragraphs>39</Paragraphs>
  <ScaleCrop>false</ScaleCrop>
  <Company/>
  <LinksUpToDate>false</LinksUpToDate>
  <CharactersWithSpaces>19766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Šišma</dc:creator>
  <cp:keywords/>
  <dc:description/>
  <cp:lastModifiedBy>Jakub Šišma</cp:lastModifiedBy>
  <cp:revision>8</cp:revision>
  <dcterms:created xsi:type="dcterms:W3CDTF">2026-03-13T17:00:00Z</dcterms:created>
  <dcterms:modified xsi:type="dcterms:W3CDTF">2026-03-15T10:32:00Z</dcterms:modified>
</cp:coreProperties>
</file>