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06905" w14:textId="77777777" w:rsidR="00A1350B" w:rsidRPr="00A1350B" w:rsidRDefault="00A1350B" w:rsidP="00A1350B">
      <w:pPr>
        <w:spacing w:after="100" w:afterAutospacing="1" w:line="240" w:lineRule="auto"/>
        <w:outlineLvl w:val="0"/>
        <w:rPr>
          <w:rFonts w:ascii="Arial" w:eastAsia="Times New Roman" w:hAnsi="Arial" w:cs="Arial"/>
          <w:b/>
          <w:bCs/>
          <w:kern w:val="36"/>
          <w:sz w:val="48"/>
          <w:szCs w:val="48"/>
          <w:lang w:val="en-GB" w:eastAsia="en-GB"/>
          <w14:ligatures w14:val="none"/>
        </w:rPr>
      </w:pPr>
      <w:r w:rsidRPr="00A1350B">
        <w:rPr>
          <w:rFonts w:ascii="Arial" w:eastAsia="Times New Roman" w:hAnsi="Arial" w:cs="Arial"/>
          <w:b/>
          <w:bCs/>
          <w:kern w:val="36"/>
          <w:sz w:val="48"/>
          <w:szCs w:val="48"/>
          <w:lang w:val="en-GB" w:eastAsia="en-GB"/>
          <w14:ligatures w14:val="none"/>
        </w:rPr>
        <w:t>Data Methodology &amp; Pipeline Summary</w:t>
      </w:r>
    </w:p>
    <w:p w14:paraId="2C09D9DB"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1. Universe Selection and Security Filtering</w:t>
      </w:r>
    </w:p>
    <w:p w14:paraId="10F775E9"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restricted the dataset to Common Stocks (Ordinary, A/B) and Primary Capital Certificates (PCCs), while excluding derivatives (Warrants, ETNs, Funds).</w:t>
      </w:r>
    </w:p>
    <w:p w14:paraId="00732CD6"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Machine Learning models require standardized return distributions to learn effectively. Derivatives possess non-linear payoffs and different risk profiles that would contaminate the equity signal. For the Oslo </w:t>
      </w:r>
      <w:proofErr w:type="spellStart"/>
      <w:r w:rsidRPr="00A1350B">
        <w:rPr>
          <w:rFonts w:ascii="Arial" w:eastAsia="Times New Roman" w:hAnsi="Arial" w:cs="Arial"/>
          <w:kern w:val="0"/>
          <w:sz w:val="24"/>
          <w:szCs w:val="24"/>
          <w:lang w:val="en-GB" w:eastAsia="en-GB"/>
          <w14:ligatures w14:val="none"/>
        </w:rPr>
        <w:t>Børs</w:t>
      </w:r>
      <w:proofErr w:type="spellEnd"/>
      <w:r w:rsidRPr="00A1350B">
        <w:rPr>
          <w:rFonts w:ascii="Arial" w:eastAsia="Times New Roman" w:hAnsi="Arial" w:cs="Arial"/>
          <w:kern w:val="0"/>
          <w:sz w:val="24"/>
          <w:szCs w:val="24"/>
          <w:lang w:val="en-GB" w:eastAsia="en-GB"/>
          <w14:ligatures w14:val="none"/>
        </w:rPr>
        <w:t xml:space="preserve"> specifically, PCCs (Equity Certificates) are a staple of the Norwegian savings bank sector and act as standard tradable equity for institutional investors.</w:t>
      </w:r>
    </w:p>
    <w:p w14:paraId="5D8BC244"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55A89135"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i/>
          <w:iCs/>
          <w:kern w:val="0"/>
          <w:sz w:val="24"/>
          <w:szCs w:val="24"/>
          <w:lang w:val="en-GB" w:eastAsia="en-GB"/>
          <w14:ligatures w14:val="none"/>
        </w:rPr>
        <w:t>Norges</w:t>
      </w:r>
      <w:proofErr w:type="spellEnd"/>
      <w:r w:rsidRPr="00A1350B">
        <w:rPr>
          <w:rFonts w:ascii="Arial" w:eastAsia="Times New Roman" w:hAnsi="Arial" w:cs="Arial"/>
          <w:i/>
          <w:iCs/>
          <w:kern w:val="0"/>
          <w:sz w:val="24"/>
          <w:szCs w:val="24"/>
          <w:lang w:val="en-GB" w:eastAsia="en-GB"/>
          <w14:ligatures w14:val="none"/>
        </w:rPr>
        <w:t xml:space="preserve"> Bank (2018)</w:t>
      </w:r>
      <w:r w:rsidRPr="00A1350B">
        <w:rPr>
          <w:rFonts w:ascii="Arial" w:eastAsia="Times New Roman" w:hAnsi="Arial" w:cs="Arial"/>
          <w:kern w:val="0"/>
          <w:sz w:val="24"/>
          <w:szCs w:val="24"/>
          <w:lang w:val="en-GB" w:eastAsia="en-GB"/>
          <w14:ligatures w14:val="none"/>
        </w:rPr>
        <w:t xml:space="preserve"> on the structure and tradability of Primary Capital Certificates in the Norwegian financial system.</w:t>
      </w:r>
    </w:p>
    <w:p w14:paraId="3ED76FC7"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on restricting machine learning panels to standardized, tradable common equities.</w:t>
      </w:r>
    </w:p>
    <w:p w14:paraId="69E7F0BE"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2. Handling Multiple Share Classes and Ticker Recycling</w:t>
      </w:r>
    </w:p>
    <w:p w14:paraId="020BA5DC"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For companies with multiple share classes (e.g., A and B shares), we select the ISIN with the highest monthly turnover. We also rely strictly on ISIN rather than Tickers to track assets over time.</w:t>
      </w:r>
    </w:p>
    <w:p w14:paraId="13E68D91"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Relying on Tickers in a 40-year dataset leads to "Symbol Reuse" bias where entirely different companies are accidentally linked. Dropping the less liquid share class prevents multicollinearity in the ML model and ensures the model is learning from prices that reflect actual market clearing rather than stale, untraded quotes.</w:t>
      </w:r>
    </w:p>
    <w:p w14:paraId="0ED1A057"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r w:rsidRPr="00A1350B">
        <w:rPr>
          <w:rFonts w:ascii="Arial" w:eastAsia="Times New Roman" w:hAnsi="Arial" w:cs="Arial"/>
          <w:kern w:val="0"/>
          <w:sz w:val="24"/>
          <w:szCs w:val="24"/>
          <w:lang w:val="en-GB" w:eastAsia="en-GB"/>
          <w14:ligatures w14:val="none"/>
        </w:rPr>
        <w:t xml:space="preserve"> * </w:t>
      </w:r>
      <w:r w:rsidRPr="00A1350B">
        <w:rPr>
          <w:rFonts w:ascii="Arial" w:eastAsia="Times New Roman" w:hAnsi="Arial" w:cs="Arial"/>
          <w:i/>
          <w:iCs/>
          <w:kern w:val="0"/>
          <w:sz w:val="24"/>
          <w:szCs w:val="24"/>
          <w:lang w:val="en-GB" w:eastAsia="en-GB"/>
          <w14:ligatures w14:val="none"/>
        </w:rPr>
        <w:t>Chui, Subrahmanyam, and Titman (2022)</w:t>
      </w:r>
      <w:r w:rsidRPr="00A1350B">
        <w:rPr>
          <w:rFonts w:ascii="Arial" w:eastAsia="Times New Roman" w:hAnsi="Arial" w:cs="Arial"/>
          <w:kern w:val="0"/>
          <w:sz w:val="24"/>
          <w:szCs w:val="24"/>
          <w:lang w:val="en-GB" w:eastAsia="en-GB"/>
          <w14:ligatures w14:val="none"/>
        </w:rPr>
        <w:t xml:space="preserve"> on how liquidity and investor clienteles differ drastically between dual-class shares.</w:t>
      </w:r>
    </w:p>
    <w:p w14:paraId="1B00D79D" w14:textId="77777777" w:rsidR="00A1350B" w:rsidRPr="00A1350B" w:rsidRDefault="00A1350B" w:rsidP="00A1350B">
      <w:pPr>
        <w:numPr>
          <w:ilvl w:val="1"/>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Fama and French (1992)</w:t>
      </w:r>
      <w:r w:rsidRPr="00A1350B">
        <w:rPr>
          <w:rFonts w:ascii="Arial" w:eastAsia="Times New Roman" w:hAnsi="Arial" w:cs="Arial"/>
          <w:kern w:val="0"/>
          <w:sz w:val="24"/>
          <w:szCs w:val="24"/>
          <w:lang w:val="en-GB" w:eastAsia="en-GB"/>
          <w14:ligatures w14:val="none"/>
        </w:rPr>
        <w:t xml:space="preserve"> on standard practices for resolving dual-class redundancies in asset pricing panels.</w:t>
      </w:r>
    </w:p>
    <w:p w14:paraId="0A5C69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3. Survivorship Bias and Time-Series "Spells"</w:t>
      </w:r>
    </w:p>
    <w:p w14:paraId="16517159"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retain all delisted stocks (M&amp;A and Bankruptcies) in the dataset up to their final trading month without imputing artificial exit returns. Furthermore, gaps in trading history are treated by assigning a new </w:t>
      </w:r>
      <w:proofErr w:type="spellStart"/>
      <w:r w:rsidRPr="00A1350B">
        <w:rPr>
          <w:rFonts w:ascii="Arial" w:eastAsia="Times New Roman" w:hAnsi="Arial" w:cs="Arial"/>
          <w:kern w:val="0"/>
          <w:sz w:val="20"/>
          <w:szCs w:val="20"/>
          <w:lang w:val="en-GB" w:eastAsia="en-GB"/>
          <w14:ligatures w14:val="none"/>
        </w:rPr>
        <w:t>SpellID</w:t>
      </w:r>
      <w:proofErr w:type="spellEnd"/>
      <w:r w:rsidRPr="00A1350B">
        <w:rPr>
          <w:rFonts w:ascii="Arial" w:eastAsia="Times New Roman" w:hAnsi="Arial" w:cs="Arial"/>
          <w:kern w:val="0"/>
          <w:sz w:val="24"/>
          <w:szCs w:val="24"/>
          <w:lang w:val="en-GB" w:eastAsia="en-GB"/>
          <w14:ligatures w14:val="none"/>
        </w:rPr>
        <w:t>, meaning a stock that disappears and re-lists is treated as a new mathematical entry.</w:t>
      </w:r>
    </w:p>
    <w:p w14:paraId="4D761635"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Dropping delisted firms introduces severe survivorship bias, making historical returns look artificially high. Grouping rolling calculations by </w:t>
      </w:r>
      <w:proofErr w:type="spellStart"/>
      <w:r w:rsidRPr="00A1350B">
        <w:rPr>
          <w:rFonts w:ascii="Arial" w:eastAsia="Times New Roman" w:hAnsi="Arial" w:cs="Arial"/>
          <w:kern w:val="0"/>
          <w:sz w:val="20"/>
          <w:szCs w:val="20"/>
          <w:lang w:val="en-GB" w:eastAsia="en-GB"/>
          <w14:ligatures w14:val="none"/>
        </w:rPr>
        <w:t>SpellID</w:t>
      </w:r>
      <w:proofErr w:type="spellEnd"/>
      <w:r w:rsidRPr="00A1350B">
        <w:rPr>
          <w:rFonts w:ascii="Arial" w:eastAsia="Times New Roman" w:hAnsi="Arial" w:cs="Arial"/>
          <w:kern w:val="0"/>
          <w:sz w:val="24"/>
          <w:szCs w:val="24"/>
          <w:lang w:val="en-GB" w:eastAsia="en-GB"/>
          <w14:ligatures w14:val="none"/>
        </w:rPr>
        <w:t xml:space="preserve"> ensures that a stock returning from a 5-year suspension does not improperly "borrow" momentum from its past life (Look-Ahead Bias).</w:t>
      </w:r>
    </w:p>
    <w:p w14:paraId="463ED5E8"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4. The Liquidity Filter (The "Investable Universe")</w:t>
      </w:r>
    </w:p>
    <w:p w14:paraId="73A0F94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Instead of dropping "penny stocks" based on a nominal price (e.g., &lt; 1 NOK) or pure Market Cap, we calculate the absolute </w:t>
      </w:r>
      <w:r w:rsidRPr="00A1350B">
        <w:rPr>
          <w:rFonts w:ascii="Arial" w:eastAsia="Times New Roman" w:hAnsi="Arial" w:cs="Arial"/>
          <w:b/>
          <w:bCs/>
          <w:kern w:val="0"/>
          <w:sz w:val="24"/>
          <w:szCs w:val="24"/>
          <w:lang w:val="en-GB" w:eastAsia="en-GB"/>
          <w14:ligatures w14:val="none"/>
        </w:rPr>
        <w:t>NOK Volume</w:t>
      </w:r>
      <w:r w:rsidRPr="00A1350B">
        <w:rPr>
          <w:rFonts w:ascii="Arial" w:eastAsia="Times New Roman" w:hAnsi="Arial" w:cs="Arial"/>
          <w:kern w:val="0"/>
          <w:sz w:val="24"/>
          <w:szCs w:val="24"/>
          <w:lang w:val="en-GB" w:eastAsia="en-GB"/>
          <w14:ligatures w14:val="none"/>
        </w:rPr>
        <w:t xml:space="preserve"> (Price $\times$ Shares Traded). We cross-sectionally rank this volume each month and drop the bottom 20% of the market </w:t>
      </w:r>
      <w:r w:rsidRPr="00A1350B">
        <w:rPr>
          <w:rFonts w:ascii="Arial" w:eastAsia="Times New Roman" w:hAnsi="Arial" w:cs="Arial"/>
          <w:i/>
          <w:iCs/>
          <w:kern w:val="0"/>
          <w:sz w:val="24"/>
          <w:szCs w:val="24"/>
          <w:lang w:val="en-GB" w:eastAsia="en-GB"/>
          <w14:ligatures w14:val="none"/>
        </w:rPr>
        <w:t>before</w:t>
      </w:r>
      <w:r w:rsidRPr="00A1350B">
        <w:rPr>
          <w:rFonts w:ascii="Arial" w:eastAsia="Times New Roman" w:hAnsi="Arial" w:cs="Arial"/>
          <w:kern w:val="0"/>
          <w:sz w:val="24"/>
          <w:szCs w:val="24"/>
          <w:lang w:val="en-GB" w:eastAsia="en-GB"/>
          <w14:ligatures w14:val="none"/>
        </w:rPr>
        <w:t xml:space="preserve"> training the ML model.</w:t>
      </w:r>
    </w:p>
    <w:p w14:paraId="0187E40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Micro-cap illiquid stocks suffer from the "bid-ask bounce," which creates massive, artificial return volatility. If left in the training set, tree-based models (</w:t>
      </w:r>
      <w:proofErr w:type="spellStart"/>
      <w:r w:rsidRPr="00A1350B">
        <w:rPr>
          <w:rFonts w:ascii="Arial" w:eastAsia="Times New Roman" w:hAnsi="Arial" w:cs="Arial"/>
          <w:kern w:val="0"/>
          <w:sz w:val="24"/>
          <w:szCs w:val="24"/>
          <w:lang w:val="en-GB" w:eastAsia="en-GB"/>
          <w14:ligatures w14:val="none"/>
        </w:rPr>
        <w:t>XGBoost</w:t>
      </w:r>
      <w:proofErr w:type="spellEnd"/>
      <w:r w:rsidRPr="00A1350B">
        <w:rPr>
          <w:rFonts w:ascii="Arial" w:eastAsia="Times New Roman" w:hAnsi="Arial" w:cs="Arial"/>
          <w:kern w:val="0"/>
          <w:sz w:val="24"/>
          <w:szCs w:val="24"/>
          <w:lang w:val="en-GB" w:eastAsia="en-GB"/>
          <w14:ligatures w14:val="none"/>
        </w:rPr>
        <w:t>) will waste their capacity trying to predict this microstructure noise instead of learning true economic signals. The NOK Volume perfectly balances the need for a company to be both fundamentally large enough and actively traded enough to be held by mutual funds.</w:t>
      </w:r>
    </w:p>
    <w:p w14:paraId="55437BBE"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18EEFF65"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i/>
          <w:iCs/>
          <w:kern w:val="0"/>
          <w:sz w:val="24"/>
          <w:szCs w:val="24"/>
          <w:lang w:val="en-GB" w:eastAsia="en-GB"/>
          <w14:ligatures w14:val="none"/>
        </w:rPr>
        <w:t>Nechvátalová</w:t>
      </w:r>
      <w:proofErr w:type="spellEnd"/>
      <w:r w:rsidRPr="00A1350B">
        <w:rPr>
          <w:rFonts w:ascii="Arial" w:eastAsia="Times New Roman" w:hAnsi="Arial" w:cs="Arial"/>
          <w:i/>
          <w:iCs/>
          <w:kern w:val="0"/>
          <w:sz w:val="24"/>
          <w:szCs w:val="24"/>
          <w:lang w:val="en-GB" w:eastAsia="en-GB"/>
          <w14:ligatures w14:val="none"/>
        </w:rPr>
        <w:t xml:space="preserve"> (2021)</w:t>
      </w:r>
      <w:r w:rsidRPr="00A1350B">
        <w:rPr>
          <w:rFonts w:ascii="Arial" w:eastAsia="Times New Roman" w:hAnsi="Arial" w:cs="Arial"/>
          <w:kern w:val="0"/>
          <w:sz w:val="24"/>
          <w:szCs w:val="24"/>
          <w:lang w:val="en-GB" w:eastAsia="en-GB"/>
          <w14:ligatures w14:val="none"/>
        </w:rPr>
        <w:t xml:space="preserve"> on how machine learning models fail when applied to low signal-to-noise ratio micro-caps, advocating for highly liquid universes.</w:t>
      </w:r>
    </w:p>
    <w:p w14:paraId="23C87CB1"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Molnár et al. (2025)</w:t>
      </w:r>
      <w:r w:rsidRPr="00A1350B">
        <w:rPr>
          <w:rFonts w:ascii="Arial" w:eastAsia="Times New Roman" w:hAnsi="Arial" w:cs="Arial"/>
          <w:kern w:val="0"/>
          <w:sz w:val="24"/>
          <w:szCs w:val="24"/>
          <w:lang w:val="en-GB" w:eastAsia="en-GB"/>
          <w14:ligatures w14:val="none"/>
        </w:rPr>
        <w:t xml:space="preserve"> on how microstructure noise and illiquidity dramatically bias return measurements.</w:t>
      </w:r>
    </w:p>
    <w:p w14:paraId="5D645237"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5. Target Decoupling (ML Target vs. Simulation Target)</w:t>
      </w:r>
    </w:p>
    <w:p w14:paraId="6CB2DF7F"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created two separate target variables for $t+1$.</w:t>
      </w:r>
    </w:p>
    <w:p w14:paraId="2534EAF9"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kern w:val="0"/>
          <w:sz w:val="20"/>
          <w:szCs w:val="20"/>
          <w:lang w:val="en-GB" w:eastAsia="en-GB"/>
          <w14:ligatures w14:val="none"/>
        </w:rPr>
        <w:t>Target_ML</w:t>
      </w:r>
      <w:proofErr w:type="spellEnd"/>
      <w:r w:rsidRPr="00A1350B">
        <w:rPr>
          <w:rFonts w:ascii="Arial" w:eastAsia="Times New Roman" w:hAnsi="Arial" w:cs="Arial"/>
          <w:kern w:val="0"/>
          <w:sz w:val="24"/>
          <w:szCs w:val="24"/>
          <w:lang w:val="en-GB" w:eastAsia="en-GB"/>
          <w14:ligatures w14:val="none"/>
        </w:rPr>
        <w:t xml:space="preserve">: The next month's return,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(capped at 1st/99th percentiles).</w:t>
      </w:r>
    </w:p>
    <w:p w14:paraId="7A271238"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kern w:val="0"/>
          <w:sz w:val="20"/>
          <w:szCs w:val="20"/>
          <w:lang w:val="en-GB" w:eastAsia="en-GB"/>
          <w14:ligatures w14:val="none"/>
        </w:rPr>
        <w:t>Target_Raw</w:t>
      </w:r>
      <w:proofErr w:type="spellEnd"/>
      <w:r w:rsidRPr="00A1350B">
        <w:rPr>
          <w:rFonts w:ascii="Arial" w:eastAsia="Times New Roman" w:hAnsi="Arial" w:cs="Arial"/>
          <w:kern w:val="0"/>
          <w:sz w:val="24"/>
          <w:szCs w:val="24"/>
          <w:lang w:val="en-GB" w:eastAsia="en-GB"/>
          <w14:ligatures w14:val="none"/>
        </w:rPr>
        <w:t>: The next month's raw, uncapped return.</w:t>
      </w:r>
    </w:p>
    <w:p w14:paraId="47F2DE49"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w:t>
      </w:r>
      <w:proofErr w:type="spellStart"/>
      <w:r w:rsidRPr="00A1350B">
        <w:rPr>
          <w:rFonts w:ascii="Arial" w:eastAsia="Times New Roman" w:hAnsi="Arial" w:cs="Arial"/>
          <w:kern w:val="0"/>
          <w:sz w:val="24"/>
          <w:szCs w:val="24"/>
          <w:lang w:val="en-GB" w:eastAsia="en-GB"/>
          <w14:ligatures w14:val="none"/>
        </w:rPr>
        <w:t>XGBoost</w:t>
      </w:r>
      <w:proofErr w:type="spellEnd"/>
      <w:r w:rsidRPr="00A1350B">
        <w:rPr>
          <w:rFonts w:ascii="Arial" w:eastAsia="Times New Roman" w:hAnsi="Arial" w:cs="Arial"/>
          <w:kern w:val="0"/>
          <w:sz w:val="24"/>
          <w:szCs w:val="24"/>
          <w:lang w:val="en-GB" w:eastAsia="en-GB"/>
          <w14:ligatures w14:val="none"/>
        </w:rPr>
        <w:t xml:space="preserve"> optimizes using a loss function (like Mean Squared Error). A single un-capped +59,000% return would permanently distort the model's decision trees. However, if we evaluate our trading </w:t>
      </w:r>
      <w:proofErr w:type="spellStart"/>
      <w:r w:rsidRPr="00A1350B">
        <w:rPr>
          <w:rFonts w:ascii="Arial" w:eastAsia="Times New Roman" w:hAnsi="Arial" w:cs="Arial"/>
          <w:kern w:val="0"/>
          <w:sz w:val="24"/>
          <w:szCs w:val="24"/>
          <w:lang w:val="en-GB" w:eastAsia="en-GB"/>
          <w14:ligatures w14:val="none"/>
        </w:rPr>
        <w:t>backtest</w:t>
      </w:r>
      <w:proofErr w:type="spellEnd"/>
      <w:r w:rsidRPr="00A1350B">
        <w:rPr>
          <w:rFonts w:ascii="Arial" w:eastAsia="Times New Roman" w:hAnsi="Arial" w:cs="Arial"/>
          <w:kern w:val="0"/>
          <w:sz w:val="24"/>
          <w:szCs w:val="24"/>
          <w:lang w:val="en-GB" w:eastAsia="en-GB"/>
          <w14:ligatures w14:val="none"/>
        </w:rPr>
        <w:t xml:space="preserve"> using the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target, we artificially limit our maximum simulated profits, destroying the validity of the </w:t>
      </w:r>
      <w:proofErr w:type="spellStart"/>
      <w:r w:rsidRPr="00A1350B">
        <w:rPr>
          <w:rFonts w:ascii="Arial" w:eastAsia="Times New Roman" w:hAnsi="Arial" w:cs="Arial"/>
          <w:kern w:val="0"/>
          <w:sz w:val="24"/>
          <w:szCs w:val="24"/>
          <w:lang w:val="en-GB" w:eastAsia="en-GB"/>
          <w14:ligatures w14:val="none"/>
        </w:rPr>
        <w:t>backtest</w:t>
      </w:r>
      <w:proofErr w:type="spellEnd"/>
      <w:r w:rsidRPr="00A1350B">
        <w:rPr>
          <w:rFonts w:ascii="Arial" w:eastAsia="Times New Roman" w:hAnsi="Arial" w:cs="Arial"/>
          <w:kern w:val="0"/>
          <w:sz w:val="24"/>
          <w:szCs w:val="24"/>
          <w:lang w:val="en-GB" w:eastAsia="en-GB"/>
          <w14:ligatures w14:val="none"/>
        </w:rPr>
        <w:t>. Decoupling them solves both the statistical and financial requirements.</w:t>
      </w:r>
    </w:p>
    <w:p w14:paraId="4B467E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6. The "Factor Zoo" (Feature Engineering)</w:t>
      </w:r>
    </w:p>
    <w:p w14:paraId="6A79324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calculated rolling technical indicators on the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historical returns:</w:t>
      </w:r>
    </w:p>
    <w:p w14:paraId="468A1C1E"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Reversal (1m):</w:t>
      </w:r>
      <w:r w:rsidRPr="00A1350B">
        <w:rPr>
          <w:rFonts w:ascii="Arial" w:eastAsia="Times New Roman" w:hAnsi="Arial" w:cs="Arial"/>
          <w:kern w:val="0"/>
          <w:sz w:val="24"/>
          <w:szCs w:val="24"/>
          <w:lang w:val="en-GB" w:eastAsia="en-GB"/>
          <w14:ligatures w14:val="none"/>
        </w:rPr>
        <w:t xml:space="preserve"> The immediate past month's return.</w:t>
      </w:r>
    </w:p>
    <w:p w14:paraId="3B657454"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Momentum (6m, 12m):</w:t>
      </w:r>
      <w:r w:rsidRPr="00A1350B">
        <w:rPr>
          <w:rFonts w:ascii="Arial" w:eastAsia="Times New Roman" w:hAnsi="Arial" w:cs="Arial"/>
          <w:kern w:val="0"/>
          <w:sz w:val="24"/>
          <w:szCs w:val="24"/>
          <w:lang w:val="en-GB" w:eastAsia="en-GB"/>
          <w14:ligatures w14:val="none"/>
        </w:rPr>
        <w:t xml:space="preserve"> Cumulative past returns </w:t>
      </w:r>
      <w:r w:rsidRPr="00A1350B">
        <w:rPr>
          <w:rFonts w:ascii="Arial" w:eastAsia="Times New Roman" w:hAnsi="Arial" w:cs="Arial"/>
          <w:i/>
          <w:iCs/>
          <w:kern w:val="0"/>
          <w:sz w:val="24"/>
          <w:szCs w:val="24"/>
          <w:lang w:val="en-GB" w:eastAsia="en-GB"/>
          <w14:ligatures w14:val="none"/>
        </w:rPr>
        <w:t>skipping</w:t>
      </w:r>
      <w:r w:rsidRPr="00A1350B">
        <w:rPr>
          <w:rFonts w:ascii="Arial" w:eastAsia="Times New Roman" w:hAnsi="Arial" w:cs="Arial"/>
          <w:kern w:val="0"/>
          <w:sz w:val="24"/>
          <w:szCs w:val="24"/>
          <w:lang w:val="en-GB" w:eastAsia="en-GB"/>
          <w14:ligatures w14:val="none"/>
        </w:rPr>
        <w:t xml:space="preserve"> the most recent month ($t-2$ to $t-12$).</w:t>
      </w:r>
    </w:p>
    <w:p w14:paraId="3E2C94A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Volatility (3m, 6m):</w:t>
      </w:r>
      <w:r w:rsidRPr="00A1350B">
        <w:rPr>
          <w:rFonts w:ascii="Arial" w:eastAsia="Times New Roman" w:hAnsi="Arial" w:cs="Arial"/>
          <w:kern w:val="0"/>
          <w:sz w:val="24"/>
          <w:szCs w:val="24"/>
          <w:lang w:val="en-GB" w:eastAsia="en-GB"/>
          <w14:ligatures w14:val="none"/>
        </w:rPr>
        <w:t xml:space="preserve"> Rolling standard deviation.</w:t>
      </w:r>
    </w:p>
    <w:p w14:paraId="4F4FB836"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Skipping the most recent month when calculating momentum is the industry standard to prevent short-term liquidity reversals from </w:t>
      </w:r>
      <w:proofErr w:type="spellStart"/>
      <w:r w:rsidRPr="00A1350B">
        <w:rPr>
          <w:rFonts w:ascii="Arial" w:eastAsia="Times New Roman" w:hAnsi="Arial" w:cs="Arial"/>
          <w:kern w:val="0"/>
          <w:sz w:val="24"/>
          <w:szCs w:val="24"/>
          <w:lang w:val="en-GB" w:eastAsia="en-GB"/>
          <w14:ligatures w14:val="none"/>
        </w:rPr>
        <w:t>canceling</w:t>
      </w:r>
      <w:proofErr w:type="spellEnd"/>
      <w:r w:rsidRPr="00A1350B">
        <w:rPr>
          <w:rFonts w:ascii="Arial" w:eastAsia="Times New Roman" w:hAnsi="Arial" w:cs="Arial"/>
          <w:kern w:val="0"/>
          <w:sz w:val="24"/>
          <w:szCs w:val="24"/>
          <w:lang w:val="en-GB" w:eastAsia="en-GB"/>
          <w14:ligatures w14:val="none"/>
        </w:rPr>
        <w:t xml:space="preserve"> out long-term fundamental momentum.</w:t>
      </w:r>
    </w:p>
    <w:p w14:paraId="405ADEE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9257A2F"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Jegadeesh and Titman (1993, 2001)</w:t>
      </w:r>
      <w:r w:rsidRPr="00A1350B">
        <w:rPr>
          <w:rFonts w:ascii="Arial" w:eastAsia="Times New Roman" w:hAnsi="Arial" w:cs="Arial"/>
          <w:kern w:val="0"/>
          <w:sz w:val="24"/>
          <w:szCs w:val="24"/>
          <w:lang w:val="en-GB" w:eastAsia="en-GB"/>
          <w14:ligatures w14:val="none"/>
        </w:rPr>
        <w:t xml:space="preserve"> – The seminal papers proving that momentum requires skipping the most recent month to avoid the short-term reversal effect.</w:t>
      </w:r>
    </w:p>
    <w:p w14:paraId="2DCD677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Green, Hand, and Zhang (2017)</w:t>
      </w:r>
      <w:r w:rsidRPr="00A1350B">
        <w:rPr>
          <w:rFonts w:ascii="Arial" w:eastAsia="Times New Roman" w:hAnsi="Arial" w:cs="Arial"/>
          <w:kern w:val="0"/>
          <w:sz w:val="24"/>
          <w:szCs w:val="24"/>
          <w:lang w:val="en-GB" w:eastAsia="en-GB"/>
          <w14:ligatures w14:val="none"/>
        </w:rPr>
        <w:t xml:space="preserve"> on the standard composition of the "Factor Zoo."</w:t>
      </w:r>
    </w:p>
    <w:p w14:paraId="3C072CF4"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7. Cross-Sectional Z-Scoring</w:t>
      </w:r>
    </w:p>
    <w:p w14:paraId="7A54559E"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Rather than feeding raw feature values to the ML model, every feature is converted to a Z-score relative only to the other stocks active </w:t>
      </w:r>
      <w:r w:rsidRPr="00A1350B">
        <w:rPr>
          <w:rFonts w:ascii="Arial" w:eastAsia="Times New Roman" w:hAnsi="Arial" w:cs="Arial"/>
          <w:i/>
          <w:iCs/>
          <w:kern w:val="0"/>
          <w:sz w:val="24"/>
          <w:szCs w:val="24"/>
          <w:lang w:val="en-GB" w:eastAsia="en-GB"/>
          <w14:ligatures w14:val="none"/>
        </w:rPr>
        <w:t>in that specific month</w:t>
      </w:r>
      <w:r w:rsidRPr="00A1350B">
        <w:rPr>
          <w:rFonts w:ascii="Arial" w:eastAsia="Times New Roman" w:hAnsi="Arial" w:cs="Arial"/>
          <w:kern w:val="0"/>
          <w:sz w:val="24"/>
          <w:szCs w:val="24"/>
          <w:lang w:val="en-GB" w:eastAsia="en-GB"/>
          <w14:ligatures w14:val="none"/>
        </w:rPr>
        <w:t>.</w:t>
      </w:r>
    </w:p>
    <w:p w14:paraId="10658B75"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Financial data is highly non-stationary (e.g., inflation in the 1980s vs. zero-rates in the 2010s). Cross-sectional Z-scoring removes macroeconomic regime shifts, forcing the model to evaluate relative stock strength. We use Z-scores rather than simple percentile ranks to preserve the magnitude (distance) of extreme outliers, allowing the model to recognize uniquely strong signals.</w:t>
      </w:r>
    </w:p>
    <w:p w14:paraId="22A3C120"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F34B63F"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 The definitive modern paper on Machine Learning in asset pricing, which explicitly uses cross-sectional scaling to normalize deep learning inputs.</w:t>
      </w:r>
    </w:p>
    <w:p w14:paraId="244095FC"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Kelly, Pruitt, and Su (2019)</w:t>
      </w:r>
      <w:r w:rsidRPr="00A1350B">
        <w:rPr>
          <w:rFonts w:ascii="Arial" w:eastAsia="Times New Roman" w:hAnsi="Arial" w:cs="Arial"/>
          <w:kern w:val="0"/>
          <w:sz w:val="24"/>
          <w:szCs w:val="24"/>
          <w:lang w:val="en-GB" w:eastAsia="en-GB"/>
          <w14:ligatures w14:val="none"/>
        </w:rPr>
        <w:t xml:space="preserve"> on characteristic-based cross-sectional asset pricing.</w:t>
      </w:r>
    </w:p>
    <w:p w14:paraId="57D908BC" w14:textId="77777777" w:rsidR="00A929A5" w:rsidRDefault="00A929A5"/>
    <w:p w14:paraId="3A0905CB" w14:textId="77777777" w:rsidR="00665CE0" w:rsidRPr="00665CE0" w:rsidRDefault="00665CE0" w:rsidP="00665CE0">
      <w:pPr>
        <w:spacing w:after="100" w:afterAutospacing="1" w:line="240" w:lineRule="auto"/>
        <w:outlineLvl w:val="0"/>
        <w:rPr>
          <w:rFonts w:ascii="Arial" w:eastAsia="Times New Roman" w:hAnsi="Arial" w:cs="Arial"/>
          <w:b/>
          <w:bCs/>
          <w:kern w:val="36"/>
          <w:sz w:val="48"/>
          <w:szCs w:val="48"/>
          <w:lang w:val="en-GB" w:eastAsia="en-GB"/>
          <w14:ligatures w14:val="none"/>
        </w:rPr>
      </w:pPr>
      <w:r w:rsidRPr="00665CE0">
        <w:rPr>
          <w:rFonts w:ascii="Arial" w:eastAsia="Times New Roman" w:hAnsi="Arial" w:cs="Arial"/>
          <w:b/>
          <w:bCs/>
          <w:kern w:val="36"/>
          <w:sz w:val="48"/>
          <w:szCs w:val="48"/>
          <w:lang w:val="en-GB" w:eastAsia="en-GB"/>
          <w14:ligatures w14:val="none"/>
        </w:rPr>
        <w:t>Machine Learning &amp; Strategy Methodology Summary</w:t>
      </w:r>
    </w:p>
    <w:p w14:paraId="0730159D"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1. Smart Money Integration &amp; Publication Lag</w:t>
      </w:r>
    </w:p>
    <w:p w14:paraId="5AB9EBD8"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engineered three "Smart Money" features from mutual fund holdings: Average Active Weight, Fund Breadth (Count), and Conviction (</w:t>
      </w:r>
      <w:proofErr w:type="gramStart"/>
      <w:r w:rsidRPr="00665CE0">
        <w:rPr>
          <w:rFonts w:ascii="Arial" w:eastAsia="Times New Roman" w:hAnsi="Arial" w:cs="Arial"/>
          <w:kern w:val="0"/>
          <w:sz w:val="24"/>
          <w:szCs w:val="24"/>
          <w:lang w:val="en-GB" w:eastAsia="en-GB"/>
          <w14:ligatures w14:val="none"/>
        </w:rPr>
        <w:t>Top-10</w:t>
      </w:r>
      <w:proofErr w:type="gramEnd"/>
      <w:r w:rsidRPr="00665CE0">
        <w:rPr>
          <w:rFonts w:ascii="Arial" w:eastAsia="Times New Roman" w:hAnsi="Arial" w:cs="Arial"/>
          <w:kern w:val="0"/>
          <w:sz w:val="24"/>
          <w:szCs w:val="24"/>
          <w:lang w:val="en-GB" w:eastAsia="en-GB"/>
          <w14:ligatures w14:val="none"/>
        </w:rPr>
        <w:t xml:space="preserve"> Count). Crucially, we applied a </w:t>
      </w:r>
      <w:r w:rsidRPr="00665CE0">
        <w:rPr>
          <w:rFonts w:ascii="Arial" w:eastAsia="Times New Roman" w:hAnsi="Arial" w:cs="Arial"/>
          <w:b/>
          <w:bCs/>
          <w:kern w:val="0"/>
          <w:sz w:val="24"/>
          <w:szCs w:val="24"/>
          <w:lang w:val="en-GB" w:eastAsia="en-GB"/>
          <w14:ligatures w14:val="none"/>
        </w:rPr>
        <w:t>1-month lag</w:t>
      </w:r>
      <w:r w:rsidRPr="00665CE0">
        <w:rPr>
          <w:rFonts w:ascii="Arial" w:eastAsia="Times New Roman" w:hAnsi="Arial" w:cs="Arial"/>
          <w:kern w:val="0"/>
          <w:sz w:val="24"/>
          <w:szCs w:val="24"/>
          <w:lang w:val="en-GB" w:eastAsia="en-GB"/>
          <w14:ligatures w14:val="none"/>
        </w:rPr>
        <w:t xml:space="preserve"> to this data before merging it with the stock features.</w:t>
      </w:r>
    </w:p>
    <w:p w14:paraId="2999A612"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Mutual funds do not instantly broadcast their portfolios to the public. If a retail or external quantitative strategy trades on the exact day the month ends, assuming knowledge of that day's mutual fund holdings introduces severe </w:t>
      </w:r>
      <w:r w:rsidRPr="00665CE0">
        <w:rPr>
          <w:rFonts w:ascii="Arial" w:eastAsia="Times New Roman" w:hAnsi="Arial" w:cs="Arial"/>
          <w:b/>
          <w:bCs/>
          <w:kern w:val="0"/>
          <w:sz w:val="24"/>
          <w:szCs w:val="24"/>
          <w:lang w:val="en-GB" w:eastAsia="en-GB"/>
          <w14:ligatures w14:val="none"/>
        </w:rPr>
        <w:t>Look-Ahead Bias</w:t>
      </w:r>
      <w:r w:rsidRPr="00665CE0">
        <w:rPr>
          <w:rFonts w:ascii="Arial" w:eastAsia="Times New Roman" w:hAnsi="Arial" w:cs="Arial"/>
          <w:kern w:val="0"/>
          <w:sz w:val="24"/>
          <w:szCs w:val="24"/>
          <w:lang w:val="en-GB" w:eastAsia="en-GB"/>
          <w14:ligatures w14:val="none"/>
        </w:rPr>
        <w:t>. Lagging the data by one month simulates a realistic reporting delay.</w:t>
      </w:r>
    </w:p>
    <w:p w14:paraId="0684C9E6"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2F42295D" w14:textId="77777777" w:rsidR="00665CE0" w:rsidRPr="00665CE0" w:rsidRDefault="00665CE0" w:rsidP="00665CE0">
      <w:pPr>
        <w:numPr>
          <w:ilvl w:val="1"/>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 xml:space="preserve">Cohen, Polk, and </w:t>
      </w:r>
      <w:proofErr w:type="spellStart"/>
      <w:r w:rsidRPr="00665CE0">
        <w:rPr>
          <w:rFonts w:ascii="Arial" w:eastAsia="Times New Roman" w:hAnsi="Arial" w:cs="Arial"/>
          <w:i/>
          <w:iCs/>
          <w:kern w:val="0"/>
          <w:sz w:val="24"/>
          <w:szCs w:val="24"/>
          <w:lang w:val="en-GB" w:eastAsia="en-GB"/>
          <w14:ligatures w14:val="none"/>
        </w:rPr>
        <w:t>Silli</w:t>
      </w:r>
      <w:proofErr w:type="spellEnd"/>
      <w:r w:rsidRPr="00665CE0">
        <w:rPr>
          <w:rFonts w:ascii="Arial" w:eastAsia="Times New Roman" w:hAnsi="Arial" w:cs="Arial"/>
          <w:i/>
          <w:iCs/>
          <w:kern w:val="0"/>
          <w:sz w:val="24"/>
          <w:szCs w:val="24"/>
          <w:lang w:val="en-GB" w:eastAsia="en-GB"/>
          <w14:ligatures w14:val="none"/>
        </w:rPr>
        <w:t xml:space="preserve"> (2010), "Best Ideas"</w:t>
      </w:r>
      <w:r w:rsidRPr="00665CE0">
        <w:rPr>
          <w:rFonts w:ascii="Arial" w:eastAsia="Times New Roman" w:hAnsi="Arial" w:cs="Arial"/>
          <w:kern w:val="0"/>
          <w:sz w:val="24"/>
          <w:szCs w:val="24"/>
          <w:lang w:val="en-GB" w:eastAsia="en-GB"/>
          <w14:ligatures w14:val="none"/>
        </w:rPr>
        <w:t xml:space="preserve"> – Proves that the highest-conviction (Top 10) active weights in mutual fund portfolios significantly outperform the rest of the portfolio and the market.</w:t>
      </w:r>
    </w:p>
    <w:p w14:paraId="1839A017" w14:textId="77777777" w:rsidR="00665CE0" w:rsidRPr="00665CE0" w:rsidRDefault="00665CE0" w:rsidP="00665CE0">
      <w:pPr>
        <w:numPr>
          <w:ilvl w:val="1"/>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Banz and Breen (1986)</w:t>
      </w:r>
      <w:r w:rsidRPr="00665CE0">
        <w:rPr>
          <w:rFonts w:ascii="Arial" w:eastAsia="Times New Roman" w:hAnsi="Arial" w:cs="Arial"/>
          <w:kern w:val="0"/>
          <w:sz w:val="24"/>
          <w:szCs w:val="24"/>
          <w:lang w:val="en-GB" w:eastAsia="en-GB"/>
          <w14:ligatures w14:val="none"/>
        </w:rPr>
        <w:t xml:space="preserve"> – The classic paper establishing the necessity of accounting for data publication lags (Look-Ahead Bias) in quantitative </w:t>
      </w:r>
      <w:proofErr w:type="spellStart"/>
      <w:r w:rsidRPr="00665CE0">
        <w:rPr>
          <w:rFonts w:ascii="Arial" w:eastAsia="Times New Roman" w:hAnsi="Arial" w:cs="Arial"/>
          <w:kern w:val="0"/>
          <w:sz w:val="24"/>
          <w:szCs w:val="24"/>
          <w:lang w:val="en-GB" w:eastAsia="en-GB"/>
          <w14:ligatures w14:val="none"/>
        </w:rPr>
        <w:t>backtesting</w:t>
      </w:r>
      <w:proofErr w:type="spellEnd"/>
      <w:r w:rsidRPr="00665CE0">
        <w:rPr>
          <w:rFonts w:ascii="Arial" w:eastAsia="Times New Roman" w:hAnsi="Arial" w:cs="Arial"/>
          <w:kern w:val="0"/>
          <w:sz w:val="24"/>
          <w:szCs w:val="24"/>
          <w:lang w:val="en-GB" w:eastAsia="en-GB"/>
          <w14:ligatures w14:val="none"/>
        </w:rPr>
        <w:t>.</w:t>
      </w:r>
    </w:p>
    <w:p w14:paraId="75BF5AE2"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2. Target Neutralization (Cross-Sectional Z-Scoring)</w:t>
      </w:r>
    </w:p>
    <w:p w14:paraId="490E89B6"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Instead of predicting absolute future returns (e.g., +15% or -5%), the ML target variable ($y$) was cross-sectionally Z-scored for each specific month.</w:t>
      </w:r>
    </w:p>
    <w:p w14:paraId="4DC5DD76"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markets are subject to drastic macroeconomic regime shifts. If the target is left raw, the ML model attempts to predict the broader market direction (which is nearly impossible) rather than stock-specific </w:t>
      </w:r>
      <w:r w:rsidRPr="00665CE0">
        <w:rPr>
          <w:rFonts w:ascii="Arial" w:eastAsia="Times New Roman" w:hAnsi="Arial" w:cs="Arial"/>
          <w:kern w:val="0"/>
          <w:sz w:val="24"/>
          <w:szCs w:val="24"/>
          <w:lang w:val="en-GB" w:eastAsia="en-GB"/>
          <w14:ligatures w14:val="none"/>
        </w:rPr>
        <w:lastRenderedPageBreak/>
        <w:t>alpha. By cross-sectionally scaling the target to a mean of 0 and standard deviation of 1, we neutralize the macro market return. The model acts as a "Pure Alpha Engine," focusing exclusively on ranking which stocks will perform relatively better than their peers regardless of whether the market crashes or rallies.</w:t>
      </w:r>
    </w:p>
    <w:p w14:paraId="3ACDE99C"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887D52D" w14:textId="77777777" w:rsidR="00665CE0" w:rsidRPr="00665CE0" w:rsidRDefault="00665CE0" w:rsidP="00665CE0">
      <w:pPr>
        <w:numPr>
          <w:ilvl w:val="1"/>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Gu, Kelly, and Xiu (2020), "Empirical Asset Pricing via Machine Learning"</w:t>
      </w:r>
      <w:r w:rsidRPr="00665CE0">
        <w:rPr>
          <w:rFonts w:ascii="Arial" w:eastAsia="Times New Roman" w:hAnsi="Arial" w:cs="Arial"/>
          <w:kern w:val="0"/>
          <w:sz w:val="24"/>
          <w:szCs w:val="24"/>
          <w:lang w:val="en-GB" w:eastAsia="en-GB"/>
          <w14:ligatures w14:val="none"/>
        </w:rPr>
        <w:t xml:space="preserve"> – The definitive framework for applying cross-sectional scaling to targets and features in financial machine learning panels.</w:t>
      </w:r>
    </w:p>
    <w:p w14:paraId="5E09C81B"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3. Chronological Time-Series Splitting</w:t>
      </w:r>
    </w:p>
    <w:p w14:paraId="384EACD2"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rejected standard K-Fold Cross-Validation (which randomly shuffles data) and implemented a strict, time-based split using Scikit-Learn’s </w:t>
      </w:r>
      <w:proofErr w:type="spellStart"/>
      <w:r w:rsidRPr="00665CE0">
        <w:rPr>
          <w:rFonts w:ascii="Arial" w:eastAsia="Times New Roman" w:hAnsi="Arial" w:cs="Arial"/>
          <w:kern w:val="0"/>
          <w:sz w:val="20"/>
          <w:szCs w:val="20"/>
          <w:lang w:val="en-GB" w:eastAsia="en-GB"/>
          <w14:ligatures w14:val="none"/>
        </w:rPr>
        <w:t>PredefinedSplit</w:t>
      </w:r>
      <w:proofErr w:type="spellEnd"/>
      <w:r w:rsidRPr="00665CE0">
        <w:rPr>
          <w:rFonts w:ascii="Arial" w:eastAsia="Times New Roman" w:hAnsi="Arial" w:cs="Arial"/>
          <w:kern w:val="0"/>
          <w:sz w:val="24"/>
          <w:szCs w:val="24"/>
          <w:lang w:val="en-GB" w:eastAsia="en-GB"/>
          <w14:ligatures w14:val="none"/>
        </w:rPr>
        <w:t xml:space="preserve">. The data was explicitly sliced into historical training, a </w:t>
      </w:r>
      <w:proofErr w:type="spellStart"/>
      <w:r w:rsidRPr="00665CE0">
        <w:rPr>
          <w:rFonts w:ascii="Arial" w:eastAsia="Times New Roman" w:hAnsi="Arial" w:cs="Arial"/>
          <w:kern w:val="0"/>
          <w:sz w:val="24"/>
          <w:szCs w:val="24"/>
          <w:lang w:val="en-GB" w:eastAsia="en-GB"/>
          <w14:ligatures w14:val="none"/>
        </w:rPr>
        <w:t>lockboxed</w:t>
      </w:r>
      <w:proofErr w:type="spellEnd"/>
      <w:r w:rsidRPr="00665CE0">
        <w:rPr>
          <w:rFonts w:ascii="Arial" w:eastAsia="Times New Roman" w:hAnsi="Arial" w:cs="Arial"/>
          <w:kern w:val="0"/>
          <w:sz w:val="24"/>
          <w:szCs w:val="24"/>
          <w:lang w:val="en-GB" w:eastAsia="en-GB"/>
          <w14:ligatures w14:val="none"/>
        </w:rPr>
        <w:t xml:space="preserve"> validation period (2018–2021), and an unseen simulation test period (2022–2025).</w:t>
      </w:r>
    </w:p>
    <w:p w14:paraId="3D48B52D"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data is </w:t>
      </w:r>
      <w:proofErr w:type="gramStart"/>
      <w:r w:rsidRPr="00665CE0">
        <w:rPr>
          <w:rFonts w:ascii="Arial" w:eastAsia="Times New Roman" w:hAnsi="Arial" w:cs="Arial"/>
          <w:kern w:val="0"/>
          <w:sz w:val="24"/>
          <w:szCs w:val="24"/>
          <w:lang w:val="en-GB" w:eastAsia="en-GB"/>
          <w14:ligatures w14:val="none"/>
        </w:rPr>
        <w:t>time-dependent</w:t>
      </w:r>
      <w:proofErr w:type="gramEnd"/>
      <w:r w:rsidRPr="00665CE0">
        <w:rPr>
          <w:rFonts w:ascii="Arial" w:eastAsia="Times New Roman" w:hAnsi="Arial" w:cs="Arial"/>
          <w:kern w:val="0"/>
          <w:sz w:val="24"/>
          <w:szCs w:val="24"/>
          <w:lang w:val="en-GB" w:eastAsia="en-GB"/>
          <w14:ligatures w14:val="none"/>
        </w:rPr>
        <w:t>. Standard K-Fold validation allows future data (e.g., the 2020 COVID crash) to leak into the training set used to predict past data (e.g., 2018). Strict chronological splitting guarantees absolute out-of-sample integrity.</w:t>
      </w:r>
    </w:p>
    <w:p w14:paraId="295B64BA"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32340432" w14:textId="77777777" w:rsidR="00665CE0" w:rsidRPr="00665CE0" w:rsidRDefault="00665CE0" w:rsidP="00665CE0">
      <w:pPr>
        <w:numPr>
          <w:ilvl w:val="1"/>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Lopez de Prado (2018), "Advances in Financial Machine Learning"</w:t>
      </w:r>
      <w:r w:rsidRPr="00665CE0">
        <w:rPr>
          <w:rFonts w:ascii="Arial" w:eastAsia="Times New Roman" w:hAnsi="Arial" w:cs="Arial"/>
          <w:kern w:val="0"/>
          <w:sz w:val="24"/>
          <w:szCs w:val="24"/>
          <w:lang w:val="en-GB" w:eastAsia="en-GB"/>
          <w14:ligatures w14:val="none"/>
        </w:rPr>
        <w:t xml:space="preserve"> – Details the extreme dangers of K-Fold cross-validation in finance and mandates chronological splitting/embargoing.</w:t>
      </w:r>
    </w:p>
    <w:p w14:paraId="1091B6BA"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4. Model Selection and Aggressive Regularization</w:t>
      </w:r>
    </w:p>
    <w:p w14:paraId="411BB8C4"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deployed four distinct algorithms: Ridge Regression (Linear), Random Forest (Bagging),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xml:space="preserve"> (Boosting), and a Multi-Layer Perceptron (Neural Network). Crucially, the hyperparameter grids aggressively restricted model complexity (e.g., limiting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xml:space="preserve"> to </w:t>
      </w:r>
      <w:proofErr w:type="spellStart"/>
      <w:r w:rsidRPr="00665CE0">
        <w:rPr>
          <w:rFonts w:ascii="Arial" w:eastAsia="Times New Roman" w:hAnsi="Arial" w:cs="Arial"/>
          <w:kern w:val="0"/>
          <w:sz w:val="20"/>
          <w:szCs w:val="20"/>
          <w:lang w:val="en-GB" w:eastAsia="en-GB"/>
          <w14:ligatures w14:val="none"/>
        </w:rPr>
        <w:t>max_depth</w:t>
      </w:r>
      <w:proofErr w:type="spellEnd"/>
      <w:r w:rsidRPr="00665CE0">
        <w:rPr>
          <w:rFonts w:ascii="Arial" w:eastAsia="Times New Roman" w:hAnsi="Arial" w:cs="Arial"/>
          <w:kern w:val="0"/>
          <w:sz w:val="20"/>
          <w:szCs w:val="20"/>
          <w:lang w:val="en-GB" w:eastAsia="en-GB"/>
          <w14:ligatures w14:val="none"/>
        </w:rPr>
        <w:t xml:space="preserve"> = 3</w:t>
      </w:r>
      <w:r w:rsidRPr="00665CE0">
        <w:rPr>
          <w:rFonts w:ascii="Arial" w:eastAsia="Times New Roman" w:hAnsi="Arial" w:cs="Arial"/>
          <w:kern w:val="0"/>
          <w:sz w:val="24"/>
          <w:szCs w:val="24"/>
          <w:lang w:val="en-GB" w:eastAsia="en-GB"/>
          <w14:ligatures w14:val="none"/>
        </w:rPr>
        <w:t xml:space="preserve"> and the MLP to a small </w:t>
      </w:r>
      <w:r w:rsidRPr="00665CE0">
        <w:rPr>
          <w:rFonts w:ascii="Arial" w:eastAsia="Times New Roman" w:hAnsi="Arial" w:cs="Arial"/>
          <w:kern w:val="0"/>
          <w:sz w:val="20"/>
          <w:szCs w:val="20"/>
          <w:lang w:val="en-GB" w:eastAsia="en-GB"/>
          <w14:ligatures w14:val="none"/>
        </w:rPr>
        <w:t>(16, 8)</w:t>
      </w:r>
      <w:r w:rsidRPr="00665CE0">
        <w:rPr>
          <w:rFonts w:ascii="Arial" w:eastAsia="Times New Roman" w:hAnsi="Arial" w:cs="Arial"/>
          <w:kern w:val="0"/>
          <w:sz w:val="24"/>
          <w:szCs w:val="24"/>
          <w:lang w:val="en-GB" w:eastAsia="en-GB"/>
          <w14:ligatures w14:val="none"/>
        </w:rPr>
        <w:t xml:space="preserve"> layer architecture).</w:t>
      </w:r>
    </w:p>
    <w:p w14:paraId="5F8BFDB6"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asset returns have an exceptionally low signal-to-noise ratio. Deep trees or massive neural networks will perfectly memorize the random noise in the training and validation sets, leading to catastrophic failure out-of-sample. Restricting tree depth and network size acts as a structural regularization, forcing the algorithms to only split on broad, universal economic signals.</w:t>
      </w:r>
    </w:p>
    <w:p w14:paraId="18910609"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EA155B9" w14:textId="77777777" w:rsidR="00665CE0" w:rsidRPr="00665CE0" w:rsidRDefault="00665CE0" w:rsidP="00665CE0">
      <w:pPr>
        <w:numPr>
          <w:ilvl w:val="1"/>
          <w:numId w:val="11"/>
        </w:numPr>
        <w:spacing w:after="100" w:afterAutospacing="1" w:line="240" w:lineRule="auto"/>
        <w:rPr>
          <w:rFonts w:ascii="Arial" w:eastAsia="Times New Roman" w:hAnsi="Arial" w:cs="Arial"/>
          <w:kern w:val="0"/>
          <w:sz w:val="24"/>
          <w:szCs w:val="24"/>
          <w:lang w:val="en-GB" w:eastAsia="en-GB"/>
          <w14:ligatures w14:val="none"/>
        </w:rPr>
      </w:pPr>
      <w:proofErr w:type="spellStart"/>
      <w:r w:rsidRPr="00665CE0">
        <w:rPr>
          <w:rFonts w:ascii="Arial" w:eastAsia="Times New Roman" w:hAnsi="Arial" w:cs="Arial"/>
          <w:i/>
          <w:iCs/>
          <w:kern w:val="0"/>
          <w:sz w:val="24"/>
          <w:szCs w:val="24"/>
          <w:lang w:val="en-GB" w:eastAsia="en-GB"/>
          <w14:ligatures w14:val="none"/>
        </w:rPr>
        <w:t>Coqueret</w:t>
      </w:r>
      <w:proofErr w:type="spellEnd"/>
      <w:r w:rsidRPr="00665CE0">
        <w:rPr>
          <w:rFonts w:ascii="Arial" w:eastAsia="Times New Roman" w:hAnsi="Arial" w:cs="Arial"/>
          <w:i/>
          <w:iCs/>
          <w:kern w:val="0"/>
          <w:sz w:val="24"/>
          <w:szCs w:val="24"/>
          <w:lang w:val="en-GB" w:eastAsia="en-GB"/>
          <w14:ligatures w14:val="none"/>
        </w:rPr>
        <w:t xml:space="preserve"> and Guida (2020), "Machine Learning for Factor Investing"</w:t>
      </w:r>
      <w:r w:rsidRPr="00665CE0">
        <w:rPr>
          <w:rFonts w:ascii="Arial" w:eastAsia="Times New Roman" w:hAnsi="Arial" w:cs="Arial"/>
          <w:kern w:val="0"/>
          <w:sz w:val="24"/>
          <w:szCs w:val="24"/>
          <w:lang w:val="en-GB" w:eastAsia="en-GB"/>
          <w14:ligatures w14:val="none"/>
        </w:rPr>
        <w:t xml:space="preserve"> – Highlights the necessity of shallow trees and heavy regularization when predicting noisy cross-sectional equity returns.</w:t>
      </w:r>
    </w:p>
    <w:p w14:paraId="5E625480"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5. The Ensemble Method</w:t>
      </w:r>
    </w:p>
    <w:p w14:paraId="7D509879"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The final predicted Alpha score for the simulation is not derived from a single model, but rather a simple average of the predictions from the underlying models (Ridge, RF,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MLP).</w:t>
      </w:r>
    </w:p>
    <w:p w14:paraId="17F66254"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lastRenderedPageBreak/>
        <w:t>The Justification:</w:t>
      </w:r>
      <w:r w:rsidRPr="00665CE0">
        <w:rPr>
          <w:rFonts w:ascii="Arial" w:eastAsia="Times New Roman" w:hAnsi="Arial" w:cs="Arial"/>
          <w:kern w:val="0"/>
          <w:sz w:val="24"/>
          <w:szCs w:val="24"/>
          <w:lang w:val="en-GB" w:eastAsia="en-GB"/>
          <w14:ligatures w14:val="none"/>
        </w:rPr>
        <w:t xml:space="preserve"> Different algorithms have different blind spots. A linear model might underfit, while a boosting model might slightly overfit. </w:t>
      </w:r>
      <w:proofErr w:type="spellStart"/>
      <w:r w:rsidRPr="00665CE0">
        <w:rPr>
          <w:rFonts w:ascii="Arial" w:eastAsia="Times New Roman" w:hAnsi="Arial" w:cs="Arial"/>
          <w:kern w:val="0"/>
          <w:sz w:val="24"/>
          <w:szCs w:val="24"/>
          <w:lang w:val="en-GB" w:eastAsia="en-GB"/>
          <w14:ligatures w14:val="none"/>
        </w:rPr>
        <w:t>Ensembling</w:t>
      </w:r>
      <w:proofErr w:type="spellEnd"/>
      <w:r w:rsidRPr="00665CE0">
        <w:rPr>
          <w:rFonts w:ascii="Arial" w:eastAsia="Times New Roman" w:hAnsi="Arial" w:cs="Arial"/>
          <w:kern w:val="0"/>
          <w:sz w:val="24"/>
          <w:szCs w:val="24"/>
          <w:lang w:val="en-GB" w:eastAsia="en-GB"/>
          <w14:ligatures w14:val="none"/>
        </w:rPr>
        <w:t xml:space="preserve"> allows the uncorrelated random errors of the individual models to cancel each other out, while the true underlying signal (which all models detect) is amplified.</w:t>
      </w:r>
    </w:p>
    <w:p w14:paraId="6226FA78"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C63B227" w14:textId="77777777" w:rsidR="00665CE0" w:rsidRPr="00665CE0" w:rsidRDefault="00665CE0" w:rsidP="00665CE0">
      <w:pPr>
        <w:numPr>
          <w:ilvl w:val="1"/>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Dietterich (2000), "Ensemble Methods in Machine Learning"</w:t>
      </w:r>
      <w:r w:rsidRPr="00665CE0">
        <w:rPr>
          <w:rFonts w:ascii="Arial" w:eastAsia="Times New Roman" w:hAnsi="Arial" w:cs="Arial"/>
          <w:kern w:val="0"/>
          <w:sz w:val="24"/>
          <w:szCs w:val="24"/>
          <w:lang w:val="en-GB" w:eastAsia="en-GB"/>
          <w14:ligatures w14:val="none"/>
        </w:rPr>
        <w:t xml:space="preserve"> – Proves that ensembles reduce variance and consistently outperform single models.</w:t>
      </w:r>
    </w:p>
    <w:p w14:paraId="67B62C80" w14:textId="77777777" w:rsidR="00665CE0" w:rsidRPr="00665CE0" w:rsidRDefault="00665CE0" w:rsidP="00665CE0">
      <w:pPr>
        <w:numPr>
          <w:ilvl w:val="1"/>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Gu, Kelly, and Xiu (2020)</w:t>
      </w:r>
      <w:r w:rsidRPr="00665CE0">
        <w:rPr>
          <w:rFonts w:ascii="Arial" w:eastAsia="Times New Roman" w:hAnsi="Arial" w:cs="Arial"/>
          <w:kern w:val="0"/>
          <w:sz w:val="24"/>
          <w:szCs w:val="24"/>
          <w:lang w:val="en-GB" w:eastAsia="en-GB"/>
          <w14:ligatures w14:val="none"/>
        </w:rPr>
        <w:t xml:space="preserve"> – Explicitly recommends </w:t>
      </w:r>
      <w:proofErr w:type="spellStart"/>
      <w:r w:rsidRPr="00665CE0">
        <w:rPr>
          <w:rFonts w:ascii="Arial" w:eastAsia="Times New Roman" w:hAnsi="Arial" w:cs="Arial"/>
          <w:kern w:val="0"/>
          <w:sz w:val="24"/>
          <w:szCs w:val="24"/>
          <w:lang w:val="en-GB" w:eastAsia="en-GB"/>
          <w14:ligatures w14:val="none"/>
        </w:rPr>
        <w:t>ensembling</w:t>
      </w:r>
      <w:proofErr w:type="spellEnd"/>
      <w:r w:rsidRPr="00665CE0">
        <w:rPr>
          <w:rFonts w:ascii="Arial" w:eastAsia="Times New Roman" w:hAnsi="Arial" w:cs="Arial"/>
          <w:kern w:val="0"/>
          <w:sz w:val="24"/>
          <w:szCs w:val="24"/>
          <w:lang w:val="en-GB" w:eastAsia="en-GB"/>
          <w14:ligatures w14:val="none"/>
        </w:rPr>
        <w:t xml:space="preserve"> linear, tree-based, and deep learning models in asset pricing.</w:t>
      </w:r>
    </w:p>
    <w:p w14:paraId="52D61C64"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6. Simulation Design &amp; Transaction Costs</w:t>
      </w:r>
    </w:p>
    <w:p w14:paraId="7B0C05C3"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The portfolio simulation utilizes monthly rebalancing based on predicted ML deciles. We will test a Long-Only "Mutual Fund" strategy and a Long-Short "Hedge Fund" strategy. Additionally, a strict transaction cost of </w:t>
      </w:r>
      <w:r w:rsidRPr="00665CE0">
        <w:rPr>
          <w:rFonts w:ascii="Arial" w:eastAsia="Times New Roman" w:hAnsi="Arial" w:cs="Arial"/>
          <w:b/>
          <w:bCs/>
          <w:kern w:val="0"/>
          <w:sz w:val="24"/>
          <w:szCs w:val="24"/>
          <w:lang w:val="en-GB" w:eastAsia="en-GB"/>
          <w14:ligatures w14:val="none"/>
        </w:rPr>
        <w:t>15 basis points (0.15%)</w:t>
      </w:r>
      <w:r w:rsidRPr="00665CE0">
        <w:rPr>
          <w:rFonts w:ascii="Arial" w:eastAsia="Times New Roman" w:hAnsi="Arial" w:cs="Arial"/>
          <w:kern w:val="0"/>
          <w:sz w:val="24"/>
          <w:szCs w:val="24"/>
          <w:lang w:val="en-GB" w:eastAsia="en-GB"/>
          <w14:ligatures w14:val="none"/>
        </w:rPr>
        <w:t xml:space="preserve"> is applied, but </w:t>
      </w:r>
      <w:r w:rsidRPr="00665CE0">
        <w:rPr>
          <w:rFonts w:ascii="Arial" w:eastAsia="Times New Roman" w:hAnsi="Arial" w:cs="Arial"/>
          <w:i/>
          <w:iCs/>
          <w:kern w:val="0"/>
          <w:sz w:val="24"/>
          <w:szCs w:val="24"/>
          <w:lang w:val="en-GB" w:eastAsia="en-GB"/>
          <w14:ligatures w14:val="none"/>
        </w:rPr>
        <w:t>only</w:t>
      </w:r>
      <w:r w:rsidRPr="00665CE0">
        <w:rPr>
          <w:rFonts w:ascii="Arial" w:eastAsia="Times New Roman" w:hAnsi="Arial" w:cs="Arial"/>
          <w:kern w:val="0"/>
          <w:sz w:val="24"/>
          <w:szCs w:val="24"/>
          <w:lang w:val="en-GB" w:eastAsia="en-GB"/>
          <w14:ligatures w14:val="none"/>
        </w:rPr>
        <w:t xml:space="preserve"> to the portfolio turnover (the actual percentage of the portfolio traded that month).</w:t>
      </w:r>
    </w:p>
    <w:p w14:paraId="1745F717"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Testing Long-Only ensures the strategy is legally viable for standard Norwegian mutual funds (like Andreas's), while Long-Short isolates pure model alpha. Applying transaction costs based on turnover ensures the strategy is practically tradable and not a theoretical illusion generated by frantic micro-trading. The </w:t>
      </w:r>
      <w:proofErr w:type="gramStart"/>
      <w:r w:rsidRPr="00665CE0">
        <w:rPr>
          <w:rFonts w:ascii="Arial" w:eastAsia="Times New Roman" w:hAnsi="Arial" w:cs="Arial"/>
          <w:kern w:val="0"/>
          <w:sz w:val="24"/>
          <w:szCs w:val="24"/>
          <w:lang w:val="en-GB" w:eastAsia="en-GB"/>
          <w14:ligatures w14:val="none"/>
        </w:rPr>
        <w:t>15 bps</w:t>
      </w:r>
      <w:proofErr w:type="gramEnd"/>
      <w:r w:rsidRPr="00665CE0">
        <w:rPr>
          <w:rFonts w:ascii="Arial" w:eastAsia="Times New Roman" w:hAnsi="Arial" w:cs="Arial"/>
          <w:kern w:val="0"/>
          <w:sz w:val="24"/>
          <w:szCs w:val="24"/>
          <w:lang w:val="en-GB" w:eastAsia="en-GB"/>
          <w14:ligatures w14:val="none"/>
        </w:rPr>
        <w:t xml:space="preserve"> fee is justified because the dataset is already filtered strictly for highly liquid, large-volume Norwegian stocks.</w:t>
      </w:r>
    </w:p>
    <w:p w14:paraId="7224DA89"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AE0A7EB" w14:textId="77777777" w:rsidR="00665CE0" w:rsidRPr="00665CE0" w:rsidRDefault="00665CE0" w:rsidP="00665CE0">
      <w:pPr>
        <w:numPr>
          <w:ilvl w:val="1"/>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Frazzini, Israel, and Moskowitz (2015), "Trading Costs of Asset Pricing Anomalies"</w:t>
      </w:r>
      <w:r w:rsidRPr="00665CE0">
        <w:rPr>
          <w:rFonts w:ascii="Arial" w:eastAsia="Times New Roman" w:hAnsi="Arial" w:cs="Arial"/>
          <w:kern w:val="0"/>
          <w:sz w:val="24"/>
          <w:szCs w:val="24"/>
          <w:lang w:val="en-GB" w:eastAsia="en-GB"/>
          <w14:ligatures w14:val="none"/>
        </w:rPr>
        <w:t xml:space="preserve"> – </w:t>
      </w:r>
      <w:proofErr w:type="spellStart"/>
      <w:r w:rsidRPr="00665CE0">
        <w:rPr>
          <w:rFonts w:ascii="Arial" w:eastAsia="Times New Roman" w:hAnsi="Arial" w:cs="Arial"/>
          <w:kern w:val="0"/>
          <w:sz w:val="24"/>
          <w:szCs w:val="24"/>
          <w:lang w:val="en-GB" w:eastAsia="en-GB"/>
          <w14:ligatures w14:val="none"/>
        </w:rPr>
        <w:t>Analyzed</w:t>
      </w:r>
      <w:proofErr w:type="spellEnd"/>
      <w:r w:rsidRPr="00665CE0">
        <w:rPr>
          <w:rFonts w:ascii="Arial" w:eastAsia="Times New Roman" w:hAnsi="Arial" w:cs="Arial"/>
          <w:kern w:val="0"/>
          <w:sz w:val="24"/>
          <w:szCs w:val="24"/>
          <w:lang w:val="en-GB" w:eastAsia="en-GB"/>
          <w14:ligatures w14:val="none"/>
        </w:rPr>
        <w:t xml:space="preserve"> massive institutional datasets to prove that real-world trading costs for liquid equities are roughly 9 to 15 basis points, far lower than theoretical bid-ask spreads suggest.</w:t>
      </w:r>
    </w:p>
    <w:p w14:paraId="67969672" w14:textId="77777777" w:rsidR="00665CE0" w:rsidRPr="00665CE0" w:rsidRDefault="00665CE0" w:rsidP="00665CE0">
      <w:pPr>
        <w:numPr>
          <w:ilvl w:val="1"/>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Novy-Marx and Velikov (2016), "A Taxonomy of Anomalies and Their Trading Costs"</w:t>
      </w:r>
      <w:r w:rsidRPr="00665CE0">
        <w:rPr>
          <w:rFonts w:ascii="Arial" w:eastAsia="Times New Roman" w:hAnsi="Arial" w:cs="Arial"/>
          <w:kern w:val="0"/>
          <w:sz w:val="24"/>
          <w:szCs w:val="24"/>
          <w:lang w:val="en-GB" w:eastAsia="en-GB"/>
          <w14:ligatures w14:val="none"/>
        </w:rPr>
        <w:t xml:space="preserve"> – Establishes the standard methodology for subtracting transaction costs proportionally to strategy turnover.</w:t>
      </w:r>
    </w:p>
    <w:p w14:paraId="652F1682" w14:textId="77777777" w:rsidR="00665CE0" w:rsidRPr="00665CE0" w:rsidRDefault="00665CE0">
      <w:pPr>
        <w:rPr>
          <w:lang w:val="en-GB"/>
        </w:rPr>
      </w:pPr>
    </w:p>
    <w:sectPr w:rsidR="00665CE0" w:rsidRPr="00665CE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13B1B"/>
    <w:multiLevelType w:val="multilevel"/>
    <w:tmpl w:val="69708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D5683"/>
    <w:multiLevelType w:val="multilevel"/>
    <w:tmpl w:val="74381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F72ACC"/>
    <w:multiLevelType w:val="multilevel"/>
    <w:tmpl w:val="0E005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802C13"/>
    <w:multiLevelType w:val="multilevel"/>
    <w:tmpl w:val="C39E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C668FE"/>
    <w:multiLevelType w:val="multilevel"/>
    <w:tmpl w:val="26D8A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B21C5F"/>
    <w:multiLevelType w:val="multilevel"/>
    <w:tmpl w:val="3060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9C70E3"/>
    <w:multiLevelType w:val="multilevel"/>
    <w:tmpl w:val="01B86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0C7E79"/>
    <w:multiLevelType w:val="multilevel"/>
    <w:tmpl w:val="9176E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4E0A0C"/>
    <w:multiLevelType w:val="multilevel"/>
    <w:tmpl w:val="4FD61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553A0"/>
    <w:multiLevelType w:val="multilevel"/>
    <w:tmpl w:val="B59C9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831CEA"/>
    <w:multiLevelType w:val="multilevel"/>
    <w:tmpl w:val="09685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40602"/>
    <w:multiLevelType w:val="multilevel"/>
    <w:tmpl w:val="3EF81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E1B85"/>
    <w:multiLevelType w:val="multilevel"/>
    <w:tmpl w:val="E45C3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116388">
    <w:abstractNumId w:val="3"/>
  </w:num>
  <w:num w:numId="2" w16cid:durableId="153491936">
    <w:abstractNumId w:val="8"/>
  </w:num>
  <w:num w:numId="3" w16cid:durableId="749160462">
    <w:abstractNumId w:val="5"/>
  </w:num>
  <w:num w:numId="4" w16cid:durableId="2033921584">
    <w:abstractNumId w:val="12"/>
  </w:num>
  <w:num w:numId="5" w16cid:durableId="926381371">
    <w:abstractNumId w:val="0"/>
  </w:num>
  <w:num w:numId="6" w16cid:durableId="729841454">
    <w:abstractNumId w:val="2"/>
  </w:num>
  <w:num w:numId="7" w16cid:durableId="175507666">
    <w:abstractNumId w:val="7"/>
  </w:num>
  <w:num w:numId="8" w16cid:durableId="1745714001">
    <w:abstractNumId w:val="9"/>
  </w:num>
  <w:num w:numId="9" w16cid:durableId="863904792">
    <w:abstractNumId w:val="1"/>
  </w:num>
  <w:num w:numId="10" w16cid:durableId="151408507">
    <w:abstractNumId w:val="11"/>
  </w:num>
  <w:num w:numId="11" w16cid:durableId="1930233610">
    <w:abstractNumId w:val="10"/>
  </w:num>
  <w:num w:numId="12" w16cid:durableId="630288253">
    <w:abstractNumId w:val="4"/>
  </w:num>
  <w:num w:numId="13" w16cid:durableId="17166119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E65"/>
    <w:rsid w:val="00303E65"/>
    <w:rsid w:val="003B5D99"/>
    <w:rsid w:val="00425063"/>
    <w:rsid w:val="0051299B"/>
    <w:rsid w:val="005912C0"/>
    <w:rsid w:val="00665CE0"/>
    <w:rsid w:val="00720677"/>
    <w:rsid w:val="009F5362"/>
    <w:rsid w:val="00A1350B"/>
    <w:rsid w:val="00A929A5"/>
    <w:rsid w:val="00AE0381"/>
    <w:rsid w:val="00F0503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D6156"/>
  <w15:chartTrackingRefBased/>
  <w15:docId w15:val="{E5F63687-5706-458A-941B-24A066F0B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303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303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303E65"/>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303E65"/>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303E65"/>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303E65"/>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03E65"/>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03E65"/>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03E65"/>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03E65"/>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303E65"/>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303E65"/>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303E65"/>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303E65"/>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303E65"/>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03E65"/>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03E65"/>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03E65"/>
    <w:rPr>
      <w:rFonts w:eastAsiaTheme="majorEastAsia" w:cstheme="majorBidi"/>
      <w:color w:val="272727" w:themeColor="text1" w:themeTint="D8"/>
    </w:rPr>
  </w:style>
  <w:style w:type="paragraph" w:styleId="Nzev">
    <w:name w:val="Title"/>
    <w:basedOn w:val="Normln"/>
    <w:next w:val="Normln"/>
    <w:link w:val="NzevChar"/>
    <w:uiPriority w:val="10"/>
    <w:qFormat/>
    <w:rsid w:val="0030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03E65"/>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03E65"/>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03E65"/>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03E65"/>
    <w:pPr>
      <w:spacing w:before="160"/>
      <w:jc w:val="center"/>
    </w:pPr>
    <w:rPr>
      <w:i/>
      <w:iCs/>
      <w:color w:val="404040" w:themeColor="text1" w:themeTint="BF"/>
    </w:rPr>
  </w:style>
  <w:style w:type="character" w:customStyle="1" w:styleId="CittChar">
    <w:name w:val="Citát Char"/>
    <w:basedOn w:val="Standardnpsmoodstavce"/>
    <w:link w:val="Citt"/>
    <w:uiPriority w:val="29"/>
    <w:rsid w:val="00303E65"/>
    <w:rPr>
      <w:i/>
      <w:iCs/>
      <w:color w:val="404040" w:themeColor="text1" w:themeTint="BF"/>
    </w:rPr>
  </w:style>
  <w:style w:type="paragraph" w:styleId="Odstavecseseznamem">
    <w:name w:val="List Paragraph"/>
    <w:basedOn w:val="Normln"/>
    <w:uiPriority w:val="34"/>
    <w:qFormat/>
    <w:rsid w:val="00303E65"/>
    <w:pPr>
      <w:ind w:left="720"/>
      <w:contextualSpacing/>
    </w:pPr>
  </w:style>
  <w:style w:type="character" w:styleId="Zdraznnintenzivn">
    <w:name w:val="Intense Emphasis"/>
    <w:basedOn w:val="Standardnpsmoodstavce"/>
    <w:uiPriority w:val="21"/>
    <w:qFormat/>
    <w:rsid w:val="00303E65"/>
    <w:rPr>
      <w:i/>
      <w:iCs/>
      <w:color w:val="0F4761" w:themeColor="accent1" w:themeShade="BF"/>
    </w:rPr>
  </w:style>
  <w:style w:type="paragraph" w:styleId="Vrazncitt">
    <w:name w:val="Intense Quote"/>
    <w:basedOn w:val="Normln"/>
    <w:next w:val="Normln"/>
    <w:link w:val="VrazncittChar"/>
    <w:uiPriority w:val="30"/>
    <w:qFormat/>
    <w:rsid w:val="0030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303E65"/>
    <w:rPr>
      <w:i/>
      <w:iCs/>
      <w:color w:val="0F4761" w:themeColor="accent1" w:themeShade="BF"/>
    </w:rPr>
  </w:style>
  <w:style w:type="character" w:styleId="Odkazintenzivn">
    <w:name w:val="Intense Reference"/>
    <w:basedOn w:val="Standardnpsmoodstavce"/>
    <w:uiPriority w:val="32"/>
    <w:qFormat/>
    <w:rsid w:val="00303E65"/>
    <w:rPr>
      <w:b/>
      <w:bCs/>
      <w:smallCaps/>
      <w:color w:val="0F4761" w:themeColor="accent1" w:themeShade="BF"/>
      <w:spacing w:val="5"/>
    </w:rPr>
  </w:style>
  <w:style w:type="paragraph" w:styleId="Normlnweb">
    <w:name w:val="Normal (Web)"/>
    <w:basedOn w:val="Normln"/>
    <w:uiPriority w:val="99"/>
    <w:semiHidden/>
    <w:unhideWhenUsed/>
    <w:rsid w:val="00A1350B"/>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KdHTML">
    <w:name w:val="HTML Code"/>
    <w:basedOn w:val="Standardnpsmoodstavce"/>
    <w:uiPriority w:val="99"/>
    <w:semiHidden/>
    <w:unhideWhenUsed/>
    <w:rsid w:val="00A1350B"/>
    <w:rPr>
      <w:rFonts w:ascii="Courier New" w:eastAsia="Times New Roman" w:hAnsi="Courier New" w:cs="Courier New"/>
      <w:sz w:val="20"/>
      <w:szCs w:val="20"/>
    </w:rPr>
  </w:style>
  <w:style w:type="character" w:customStyle="1" w:styleId="math-inline">
    <w:name w:val="math-inline"/>
    <w:basedOn w:val="Standardnpsmoodstavce"/>
    <w:rsid w:val="00A135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1752</Words>
  <Characters>9988</Characters>
  <Application>Microsoft Office Word</Application>
  <DocSecurity>0</DocSecurity>
  <Lines>83</Lines>
  <Paragraphs>23</Paragraphs>
  <ScaleCrop>false</ScaleCrop>
  <Company/>
  <LinksUpToDate>false</LinksUpToDate>
  <CharactersWithSpaces>11717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Šišma</dc:creator>
  <cp:keywords/>
  <dc:description/>
  <cp:lastModifiedBy>Jakub Šišma</cp:lastModifiedBy>
  <cp:revision>3</cp:revision>
  <dcterms:created xsi:type="dcterms:W3CDTF">2026-03-13T17:00:00Z</dcterms:created>
  <dcterms:modified xsi:type="dcterms:W3CDTF">2026-03-14T18:27:00Z</dcterms:modified>
</cp:coreProperties>
</file>