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06905" w14:textId="77777777" w:rsidR="00A1350B" w:rsidRPr="00A1350B" w:rsidRDefault="00A1350B" w:rsidP="00A1350B">
      <w:pPr>
        <w:spacing w:after="100" w:afterAutospacing="1" w:line="240" w:lineRule="auto"/>
        <w:outlineLvl w:val="0"/>
        <w:rPr>
          <w:rFonts w:ascii="Arial" w:eastAsia="Times New Roman" w:hAnsi="Arial" w:cs="Arial"/>
          <w:b/>
          <w:bCs/>
          <w:kern w:val="36"/>
          <w:sz w:val="48"/>
          <w:szCs w:val="48"/>
          <w:lang w:val="en-GB" w:eastAsia="en-GB"/>
          <w14:ligatures w14:val="none"/>
        </w:rPr>
      </w:pPr>
      <w:r w:rsidRPr="00A1350B">
        <w:rPr>
          <w:rFonts w:ascii="Arial" w:eastAsia="Times New Roman" w:hAnsi="Arial" w:cs="Arial"/>
          <w:b/>
          <w:bCs/>
          <w:kern w:val="36"/>
          <w:sz w:val="48"/>
          <w:szCs w:val="48"/>
          <w:lang w:val="en-GB" w:eastAsia="en-GB"/>
          <w14:ligatures w14:val="none"/>
        </w:rPr>
        <w:t>Data Methodology &amp; Pipeline Summary</w:t>
      </w:r>
    </w:p>
    <w:p w14:paraId="2C09D9DB"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1. Universe Selection and Security Filtering</w:t>
      </w:r>
    </w:p>
    <w:p w14:paraId="10F775E9"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restricted the dataset to Common Stocks (Ordinary, A/B) and Primary Capital Certificates (PCCs), while excluding derivatives (Warrants, ETNs, Funds).</w:t>
      </w:r>
    </w:p>
    <w:p w14:paraId="00732CD6"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Machine Learning models require standardized return distributions to learn effectively. Derivatives possess non-linear payoffs and different risk profiles that would contaminate the equity signal. For the Oslo Børs specifically, PCCs (Equity Certificates) are a staple of the Norwegian savings bank sector and act as standard tradable equity for institutional investors.</w:t>
      </w:r>
    </w:p>
    <w:p w14:paraId="5D8BC244" w14:textId="77777777" w:rsidR="00A1350B" w:rsidRPr="00A1350B" w:rsidRDefault="00A1350B" w:rsidP="00A1350B">
      <w:pPr>
        <w:numPr>
          <w:ilvl w:val="0"/>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55A89135"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Norges Bank (2018)</w:t>
      </w:r>
      <w:r w:rsidRPr="00A1350B">
        <w:rPr>
          <w:rFonts w:ascii="Arial" w:eastAsia="Times New Roman" w:hAnsi="Arial" w:cs="Arial"/>
          <w:kern w:val="0"/>
          <w:sz w:val="24"/>
          <w:szCs w:val="24"/>
          <w:lang w:val="en-GB" w:eastAsia="en-GB"/>
          <w14:ligatures w14:val="none"/>
        </w:rPr>
        <w:t xml:space="preserve"> on the structure and tradability of Primary Capital Certificates in the Norwegian financial system.</w:t>
      </w:r>
    </w:p>
    <w:p w14:paraId="3ED76FC7" w14:textId="77777777" w:rsidR="00A1350B" w:rsidRPr="00A1350B" w:rsidRDefault="00A1350B" w:rsidP="00A1350B">
      <w:pPr>
        <w:numPr>
          <w:ilvl w:val="1"/>
          <w:numId w:val="1"/>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on restricting machine learning panels to standardized, tradable common equities.</w:t>
      </w:r>
    </w:p>
    <w:p w14:paraId="69E7F0BE"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2. Handling Multiple Share Classes and Ticker Recycling</w:t>
      </w:r>
    </w:p>
    <w:p w14:paraId="020BA5DC"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For companies with multiple share classes (e.g., A and B shares), we select the ISIN with the highest monthly turnover. We also rely strictly on ISIN rather than Tickers to track assets over time.</w:t>
      </w:r>
    </w:p>
    <w:p w14:paraId="13E68D91"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Relying on Tickers in a 40-year dataset leads to "Symbol Reuse" bias where entirely different companies are accidentally linked. Dropping the less liquid share class prevents multicollinearity in the ML model and ensures the model is learning from prices that reflect actual market clearing rather than stale, untraded quotes.</w:t>
      </w:r>
    </w:p>
    <w:p w14:paraId="0ED1A057" w14:textId="77777777" w:rsidR="00A1350B" w:rsidRPr="00A1350B" w:rsidRDefault="00A1350B" w:rsidP="00A1350B">
      <w:pPr>
        <w:numPr>
          <w:ilvl w:val="0"/>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r w:rsidRPr="00A1350B">
        <w:rPr>
          <w:rFonts w:ascii="Arial" w:eastAsia="Times New Roman" w:hAnsi="Arial" w:cs="Arial"/>
          <w:kern w:val="0"/>
          <w:sz w:val="24"/>
          <w:szCs w:val="24"/>
          <w:lang w:val="en-GB" w:eastAsia="en-GB"/>
          <w14:ligatures w14:val="none"/>
        </w:rPr>
        <w:t xml:space="preserve"> * </w:t>
      </w:r>
      <w:r w:rsidRPr="00A1350B">
        <w:rPr>
          <w:rFonts w:ascii="Arial" w:eastAsia="Times New Roman" w:hAnsi="Arial" w:cs="Arial"/>
          <w:i/>
          <w:iCs/>
          <w:kern w:val="0"/>
          <w:sz w:val="24"/>
          <w:szCs w:val="24"/>
          <w:lang w:val="en-GB" w:eastAsia="en-GB"/>
          <w14:ligatures w14:val="none"/>
        </w:rPr>
        <w:t>Chui, Subrahmanyam, and Titman (2022)</w:t>
      </w:r>
      <w:r w:rsidRPr="00A1350B">
        <w:rPr>
          <w:rFonts w:ascii="Arial" w:eastAsia="Times New Roman" w:hAnsi="Arial" w:cs="Arial"/>
          <w:kern w:val="0"/>
          <w:sz w:val="24"/>
          <w:szCs w:val="24"/>
          <w:lang w:val="en-GB" w:eastAsia="en-GB"/>
          <w14:ligatures w14:val="none"/>
        </w:rPr>
        <w:t xml:space="preserve"> on how liquidity and investor clienteles differ drastically between dual-class shares.</w:t>
      </w:r>
    </w:p>
    <w:p w14:paraId="1B00D79D" w14:textId="77777777" w:rsidR="00A1350B" w:rsidRPr="00A1350B" w:rsidRDefault="00A1350B" w:rsidP="00A1350B">
      <w:pPr>
        <w:numPr>
          <w:ilvl w:val="1"/>
          <w:numId w:val="2"/>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Fama and French (1992)</w:t>
      </w:r>
      <w:r w:rsidRPr="00A1350B">
        <w:rPr>
          <w:rFonts w:ascii="Arial" w:eastAsia="Times New Roman" w:hAnsi="Arial" w:cs="Arial"/>
          <w:kern w:val="0"/>
          <w:sz w:val="24"/>
          <w:szCs w:val="24"/>
          <w:lang w:val="en-GB" w:eastAsia="en-GB"/>
          <w14:ligatures w14:val="none"/>
        </w:rPr>
        <w:t xml:space="preserve"> on standard practices for resolving dual-class redundancies in asset pricing panels.</w:t>
      </w:r>
    </w:p>
    <w:p w14:paraId="0A5C69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3. Survivorship Bias and Time-Series "Spells"</w:t>
      </w:r>
    </w:p>
    <w:p w14:paraId="16517159"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retain all delisted stocks (M&amp;A and Bankruptcies) in the dataset up to their final trading month without imputing artificial exit returns. Furthermore, gaps in trading history are treated by assigning a new </w:t>
      </w:r>
      <w:r w:rsidRPr="00A1350B">
        <w:rPr>
          <w:rFonts w:ascii="Arial" w:eastAsia="Times New Roman" w:hAnsi="Arial" w:cs="Arial"/>
          <w:kern w:val="0"/>
          <w:sz w:val="20"/>
          <w:szCs w:val="20"/>
          <w:lang w:val="en-GB" w:eastAsia="en-GB"/>
          <w14:ligatures w14:val="none"/>
        </w:rPr>
        <w:t>SpellID</w:t>
      </w:r>
      <w:r w:rsidRPr="00A1350B">
        <w:rPr>
          <w:rFonts w:ascii="Arial" w:eastAsia="Times New Roman" w:hAnsi="Arial" w:cs="Arial"/>
          <w:kern w:val="0"/>
          <w:sz w:val="24"/>
          <w:szCs w:val="24"/>
          <w:lang w:val="en-GB" w:eastAsia="en-GB"/>
          <w14:ligatures w14:val="none"/>
        </w:rPr>
        <w:t>, meaning a stock that disappears and re-lists is treated as a new mathematical entry.</w:t>
      </w:r>
    </w:p>
    <w:p w14:paraId="4D761635" w14:textId="77777777" w:rsidR="00A1350B" w:rsidRPr="00A1350B" w:rsidRDefault="00A1350B" w:rsidP="00A1350B">
      <w:pPr>
        <w:numPr>
          <w:ilvl w:val="0"/>
          <w:numId w:val="3"/>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Dropping delisted firms introduces severe survivorship bias, making historical returns look artificially high. Grouping rolling calculations by </w:t>
      </w:r>
      <w:r w:rsidRPr="00A1350B">
        <w:rPr>
          <w:rFonts w:ascii="Arial" w:eastAsia="Times New Roman" w:hAnsi="Arial" w:cs="Arial"/>
          <w:kern w:val="0"/>
          <w:sz w:val="20"/>
          <w:szCs w:val="20"/>
          <w:lang w:val="en-GB" w:eastAsia="en-GB"/>
          <w14:ligatures w14:val="none"/>
        </w:rPr>
        <w:t>SpellID</w:t>
      </w:r>
      <w:r w:rsidRPr="00A1350B">
        <w:rPr>
          <w:rFonts w:ascii="Arial" w:eastAsia="Times New Roman" w:hAnsi="Arial" w:cs="Arial"/>
          <w:kern w:val="0"/>
          <w:sz w:val="24"/>
          <w:szCs w:val="24"/>
          <w:lang w:val="en-GB" w:eastAsia="en-GB"/>
          <w14:ligatures w14:val="none"/>
        </w:rPr>
        <w:t xml:space="preserve"> ensures that a stock returning from a 5-year suspension does not improperly "borrow" momentum from its past life (Look-Ahead Bias).</w:t>
      </w:r>
    </w:p>
    <w:p w14:paraId="463ED5E8"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4. The Liquidity Filter (The "Investable Universe")</w:t>
      </w:r>
    </w:p>
    <w:p w14:paraId="73A0F94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Instead of dropping "penny stocks" based on a nominal price (e.g., &lt; 1 NOK) or pure Market Cap, we calculate the absolute </w:t>
      </w:r>
      <w:r w:rsidRPr="00A1350B">
        <w:rPr>
          <w:rFonts w:ascii="Arial" w:eastAsia="Times New Roman" w:hAnsi="Arial" w:cs="Arial"/>
          <w:b/>
          <w:bCs/>
          <w:kern w:val="0"/>
          <w:sz w:val="24"/>
          <w:szCs w:val="24"/>
          <w:lang w:val="en-GB" w:eastAsia="en-GB"/>
          <w14:ligatures w14:val="none"/>
        </w:rPr>
        <w:t>NOK Volume</w:t>
      </w:r>
      <w:r w:rsidRPr="00A1350B">
        <w:rPr>
          <w:rFonts w:ascii="Arial" w:eastAsia="Times New Roman" w:hAnsi="Arial" w:cs="Arial"/>
          <w:kern w:val="0"/>
          <w:sz w:val="24"/>
          <w:szCs w:val="24"/>
          <w:lang w:val="en-GB" w:eastAsia="en-GB"/>
          <w14:ligatures w14:val="none"/>
        </w:rPr>
        <w:t xml:space="preserve"> (Price $\times$ Shares Traded). We cross-sectionally rank this volume each month and drop the bottom 20% of the market </w:t>
      </w:r>
      <w:r w:rsidRPr="00A1350B">
        <w:rPr>
          <w:rFonts w:ascii="Arial" w:eastAsia="Times New Roman" w:hAnsi="Arial" w:cs="Arial"/>
          <w:i/>
          <w:iCs/>
          <w:kern w:val="0"/>
          <w:sz w:val="24"/>
          <w:szCs w:val="24"/>
          <w:lang w:val="en-GB" w:eastAsia="en-GB"/>
          <w14:ligatures w14:val="none"/>
        </w:rPr>
        <w:t>before</w:t>
      </w:r>
      <w:r w:rsidRPr="00A1350B">
        <w:rPr>
          <w:rFonts w:ascii="Arial" w:eastAsia="Times New Roman" w:hAnsi="Arial" w:cs="Arial"/>
          <w:kern w:val="0"/>
          <w:sz w:val="24"/>
          <w:szCs w:val="24"/>
          <w:lang w:val="en-GB" w:eastAsia="en-GB"/>
          <w14:ligatures w14:val="none"/>
        </w:rPr>
        <w:t xml:space="preserve"> training the ML model.</w:t>
      </w:r>
    </w:p>
    <w:p w14:paraId="0187E406"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Micro-cap illiquid stocks suffer from the "bid-ask bounce," which creates massive, artificial return volatility. If left in the training set, tree-based models (XGBoost) will waste their capacity trying to predict this microstructure noise instead of learning true economic signals. The NOK Volume perfectly balances the need for a company to be both fundamentally large enough and actively traded enough to be held by mutual funds.</w:t>
      </w:r>
    </w:p>
    <w:p w14:paraId="55437BBE" w14:textId="77777777" w:rsidR="00A1350B" w:rsidRPr="00A1350B" w:rsidRDefault="00A1350B" w:rsidP="00A1350B">
      <w:pPr>
        <w:numPr>
          <w:ilvl w:val="0"/>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18EEFF65"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Nechvátalová (2021)</w:t>
      </w:r>
      <w:r w:rsidRPr="00A1350B">
        <w:rPr>
          <w:rFonts w:ascii="Arial" w:eastAsia="Times New Roman" w:hAnsi="Arial" w:cs="Arial"/>
          <w:kern w:val="0"/>
          <w:sz w:val="24"/>
          <w:szCs w:val="24"/>
          <w:lang w:val="en-GB" w:eastAsia="en-GB"/>
          <w14:ligatures w14:val="none"/>
        </w:rPr>
        <w:t xml:space="preserve"> on how machine learning models fail when applied to low signal-to-noise ratio micro-caps, advocating for highly liquid universes.</w:t>
      </w:r>
    </w:p>
    <w:p w14:paraId="23C87CB1" w14:textId="77777777" w:rsidR="00A1350B" w:rsidRPr="00A1350B" w:rsidRDefault="00A1350B" w:rsidP="00A1350B">
      <w:pPr>
        <w:numPr>
          <w:ilvl w:val="1"/>
          <w:numId w:val="4"/>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Molnár et al. (2025)</w:t>
      </w:r>
      <w:r w:rsidRPr="00A1350B">
        <w:rPr>
          <w:rFonts w:ascii="Arial" w:eastAsia="Times New Roman" w:hAnsi="Arial" w:cs="Arial"/>
          <w:kern w:val="0"/>
          <w:sz w:val="24"/>
          <w:szCs w:val="24"/>
          <w:lang w:val="en-GB" w:eastAsia="en-GB"/>
          <w14:ligatures w14:val="none"/>
        </w:rPr>
        <w:t xml:space="preserve"> on how microstructure noise and illiquidity dramatically bias return measurements.</w:t>
      </w:r>
    </w:p>
    <w:p w14:paraId="5D645237"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5. Target Decoupling (ML Target vs. Simulation Target)</w:t>
      </w:r>
    </w:p>
    <w:p w14:paraId="6CB2DF7F"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created two separate target variables for $t+1$.</w:t>
      </w:r>
    </w:p>
    <w:p w14:paraId="2534EAF9"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kern w:val="0"/>
          <w:sz w:val="20"/>
          <w:szCs w:val="20"/>
          <w:lang w:val="en-GB" w:eastAsia="en-GB"/>
          <w14:ligatures w14:val="none"/>
        </w:rPr>
        <w:t>Target_ML</w:t>
      </w:r>
      <w:r w:rsidRPr="00A1350B">
        <w:rPr>
          <w:rFonts w:ascii="Arial" w:eastAsia="Times New Roman" w:hAnsi="Arial" w:cs="Arial"/>
          <w:kern w:val="0"/>
          <w:sz w:val="24"/>
          <w:szCs w:val="24"/>
          <w:lang w:val="en-GB" w:eastAsia="en-GB"/>
          <w14:ligatures w14:val="none"/>
        </w:rPr>
        <w:t>: The next month's return, winsorized (capped at 1st/99th percentiles).</w:t>
      </w:r>
    </w:p>
    <w:p w14:paraId="7A271238" w14:textId="77777777" w:rsidR="00A1350B" w:rsidRPr="00A1350B" w:rsidRDefault="00A1350B" w:rsidP="00A1350B">
      <w:pPr>
        <w:numPr>
          <w:ilvl w:val="1"/>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kern w:val="0"/>
          <w:sz w:val="20"/>
          <w:szCs w:val="20"/>
          <w:lang w:val="en-GB" w:eastAsia="en-GB"/>
          <w14:ligatures w14:val="none"/>
        </w:rPr>
        <w:t>Target_Raw</w:t>
      </w:r>
      <w:r w:rsidRPr="00A1350B">
        <w:rPr>
          <w:rFonts w:ascii="Arial" w:eastAsia="Times New Roman" w:hAnsi="Arial" w:cs="Arial"/>
          <w:kern w:val="0"/>
          <w:sz w:val="24"/>
          <w:szCs w:val="24"/>
          <w:lang w:val="en-GB" w:eastAsia="en-GB"/>
          <w14:ligatures w14:val="none"/>
        </w:rPr>
        <w:t>: The next month's raw, uncapped return.</w:t>
      </w:r>
    </w:p>
    <w:p w14:paraId="47F2DE49" w14:textId="77777777" w:rsidR="00A1350B" w:rsidRPr="00A1350B" w:rsidRDefault="00A1350B" w:rsidP="00A1350B">
      <w:pPr>
        <w:numPr>
          <w:ilvl w:val="0"/>
          <w:numId w:val="5"/>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XGBoost optimizes using a loss function (like Mean Squared Error). A single un-capped +59,000% return would permanently distort the model's decision trees. However, if we evaluate our trading backtest using the winsorized target, we artificially limit our maximum simulated profits, destroying the validity of the backtest. Decoupling them solves both the statistical and financial requirements.</w:t>
      </w:r>
    </w:p>
    <w:p w14:paraId="4B467EBF"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6. The "Factor Zoo" (Feature Engineering)</w:t>
      </w:r>
    </w:p>
    <w:p w14:paraId="6A79324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Choice:</w:t>
      </w:r>
      <w:r w:rsidRPr="00A1350B">
        <w:rPr>
          <w:rFonts w:ascii="Arial" w:eastAsia="Times New Roman" w:hAnsi="Arial" w:cs="Arial"/>
          <w:kern w:val="0"/>
          <w:sz w:val="24"/>
          <w:szCs w:val="24"/>
          <w:lang w:val="en-GB" w:eastAsia="en-GB"/>
          <w14:ligatures w14:val="none"/>
        </w:rPr>
        <w:t xml:space="preserve"> We calculated rolling technical indicators on the winsorized historical returns:</w:t>
      </w:r>
    </w:p>
    <w:p w14:paraId="468A1C1E"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Reversal (1m):</w:t>
      </w:r>
      <w:r w:rsidRPr="00A1350B">
        <w:rPr>
          <w:rFonts w:ascii="Arial" w:eastAsia="Times New Roman" w:hAnsi="Arial" w:cs="Arial"/>
          <w:kern w:val="0"/>
          <w:sz w:val="24"/>
          <w:szCs w:val="24"/>
          <w:lang w:val="en-GB" w:eastAsia="en-GB"/>
          <w14:ligatures w14:val="none"/>
        </w:rPr>
        <w:t xml:space="preserve"> The immediate past month's return.</w:t>
      </w:r>
    </w:p>
    <w:p w14:paraId="3B657454"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Momentum (6m, 12m):</w:t>
      </w:r>
      <w:r w:rsidRPr="00A1350B">
        <w:rPr>
          <w:rFonts w:ascii="Arial" w:eastAsia="Times New Roman" w:hAnsi="Arial" w:cs="Arial"/>
          <w:kern w:val="0"/>
          <w:sz w:val="24"/>
          <w:szCs w:val="24"/>
          <w:lang w:val="en-GB" w:eastAsia="en-GB"/>
          <w14:ligatures w14:val="none"/>
        </w:rPr>
        <w:t xml:space="preserve"> Cumulative past returns </w:t>
      </w:r>
      <w:r w:rsidRPr="00A1350B">
        <w:rPr>
          <w:rFonts w:ascii="Arial" w:eastAsia="Times New Roman" w:hAnsi="Arial" w:cs="Arial"/>
          <w:i/>
          <w:iCs/>
          <w:kern w:val="0"/>
          <w:sz w:val="24"/>
          <w:szCs w:val="24"/>
          <w:lang w:val="en-GB" w:eastAsia="en-GB"/>
          <w14:ligatures w14:val="none"/>
        </w:rPr>
        <w:t>skipping</w:t>
      </w:r>
      <w:r w:rsidRPr="00A1350B">
        <w:rPr>
          <w:rFonts w:ascii="Arial" w:eastAsia="Times New Roman" w:hAnsi="Arial" w:cs="Arial"/>
          <w:kern w:val="0"/>
          <w:sz w:val="24"/>
          <w:szCs w:val="24"/>
          <w:lang w:val="en-GB" w:eastAsia="en-GB"/>
          <w14:ligatures w14:val="none"/>
        </w:rPr>
        <w:t xml:space="preserve"> the most recent month ($t-2$ to $t-12$).</w:t>
      </w:r>
    </w:p>
    <w:p w14:paraId="3E2C94A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Volatility (3m, 6m):</w:t>
      </w:r>
      <w:r w:rsidRPr="00A1350B">
        <w:rPr>
          <w:rFonts w:ascii="Arial" w:eastAsia="Times New Roman" w:hAnsi="Arial" w:cs="Arial"/>
          <w:kern w:val="0"/>
          <w:sz w:val="24"/>
          <w:szCs w:val="24"/>
          <w:lang w:val="en-GB" w:eastAsia="en-GB"/>
          <w14:ligatures w14:val="none"/>
        </w:rPr>
        <w:t xml:space="preserve"> Rolling standard deviation.</w:t>
      </w:r>
    </w:p>
    <w:p w14:paraId="4F4FB836"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Skipping the most recent month when calculating momentum is the industry standard to prevent short-term liquidity reversals from canceling out long-term fundamental momentum.</w:t>
      </w:r>
    </w:p>
    <w:p w14:paraId="405ADEE3" w14:textId="77777777" w:rsidR="00A1350B" w:rsidRPr="00A1350B" w:rsidRDefault="00A1350B" w:rsidP="00A1350B">
      <w:pPr>
        <w:numPr>
          <w:ilvl w:val="0"/>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9257A2F"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Jegadeesh and Titman (1993, 2001)</w:t>
      </w:r>
      <w:r w:rsidRPr="00A1350B">
        <w:rPr>
          <w:rFonts w:ascii="Arial" w:eastAsia="Times New Roman" w:hAnsi="Arial" w:cs="Arial"/>
          <w:kern w:val="0"/>
          <w:sz w:val="24"/>
          <w:szCs w:val="24"/>
          <w:lang w:val="en-GB" w:eastAsia="en-GB"/>
          <w14:ligatures w14:val="none"/>
        </w:rPr>
        <w:t xml:space="preserve"> – The seminal papers proving that momentum requires skipping the most recent month to avoid the short-term reversal effect.</w:t>
      </w:r>
    </w:p>
    <w:p w14:paraId="2DCD6778" w14:textId="77777777" w:rsidR="00A1350B" w:rsidRPr="00A1350B" w:rsidRDefault="00A1350B" w:rsidP="00A1350B">
      <w:pPr>
        <w:numPr>
          <w:ilvl w:val="1"/>
          <w:numId w:val="6"/>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Green, Hand, and Zhang (2017)</w:t>
      </w:r>
      <w:r w:rsidRPr="00A1350B">
        <w:rPr>
          <w:rFonts w:ascii="Arial" w:eastAsia="Times New Roman" w:hAnsi="Arial" w:cs="Arial"/>
          <w:kern w:val="0"/>
          <w:sz w:val="24"/>
          <w:szCs w:val="24"/>
          <w:lang w:val="en-GB" w:eastAsia="en-GB"/>
          <w14:ligatures w14:val="none"/>
        </w:rPr>
        <w:t xml:space="preserve"> on the standard composition of the "Factor Zoo."</w:t>
      </w:r>
    </w:p>
    <w:p w14:paraId="3C072CF4" w14:textId="77777777" w:rsidR="00A1350B" w:rsidRPr="00A1350B" w:rsidRDefault="00A1350B" w:rsidP="00A1350B">
      <w:pPr>
        <w:spacing w:after="100" w:afterAutospacing="1" w:line="240" w:lineRule="auto"/>
        <w:outlineLvl w:val="2"/>
        <w:rPr>
          <w:rFonts w:ascii="Arial" w:eastAsia="Times New Roman" w:hAnsi="Arial" w:cs="Arial"/>
          <w:b/>
          <w:bCs/>
          <w:kern w:val="0"/>
          <w:sz w:val="27"/>
          <w:szCs w:val="27"/>
          <w:lang w:val="en-GB" w:eastAsia="en-GB"/>
          <w14:ligatures w14:val="none"/>
        </w:rPr>
      </w:pPr>
      <w:r w:rsidRPr="00A1350B">
        <w:rPr>
          <w:rFonts w:ascii="Arial" w:eastAsia="Times New Roman" w:hAnsi="Arial" w:cs="Arial"/>
          <w:b/>
          <w:bCs/>
          <w:kern w:val="0"/>
          <w:sz w:val="27"/>
          <w:szCs w:val="27"/>
          <w:lang w:val="en-GB" w:eastAsia="en-GB"/>
          <w14:ligatures w14:val="none"/>
        </w:rPr>
        <w:t>7. Cross-Sectional Z-Scoring</w:t>
      </w:r>
    </w:p>
    <w:p w14:paraId="7A54559E"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lastRenderedPageBreak/>
        <w:t>The Choice:</w:t>
      </w:r>
      <w:r w:rsidRPr="00A1350B">
        <w:rPr>
          <w:rFonts w:ascii="Arial" w:eastAsia="Times New Roman" w:hAnsi="Arial" w:cs="Arial"/>
          <w:kern w:val="0"/>
          <w:sz w:val="24"/>
          <w:szCs w:val="24"/>
          <w:lang w:val="en-GB" w:eastAsia="en-GB"/>
          <w14:ligatures w14:val="none"/>
        </w:rPr>
        <w:t xml:space="preserve"> Rather than feeding raw feature values to the ML model, every feature is converted to a Z-score relative only to the other stocks active </w:t>
      </w:r>
      <w:r w:rsidRPr="00A1350B">
        <w:rPr>
          <w:rFonts w:ascii="Arial" w:eastAsia="Times New Roman" w:hAnsi="Arial" w:cs="Arial"/>
          <w:i/>
          <w:iCs/>
          <w:kern w:val="0"/>
          <w:sz w:val="24"/>
          <w:szCs w:val="24"/>
          <w:lang w:val="en-GB" w:eastAsia="en-GB"/>
          <w14:ligatures w14:val="none"/>
        </w:rPr>
        <w:t>in that specific month</w:t>
      </w:r>
      <w:r w:rsidRPr="00A1350B">
        <w:rPr>
          <w:rFonts w:ascii="Arial" w:eastAsia="Times New Roman" w:hAnsi="Arial" w:cs="Arial"/>
          <w:kern w:val="0"/>
          <w:sz w:val="24"/>
          <w:szCs w:val="24"/>
          <w:lang w:val="en-GB" w:eastAsia="en-GB"/>
          <w14:ligatures w14:val="none"/>
        </w:rPr>
        <w:t>.</w:t>
      </w:r>
    </w:p>
    <w:p w14:paraId="10658B75"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The Justification:</w:t>
      </w:r>
      <w:r w:rsidRPr="00A1350B">
        <w:rPr>
          <w:rFonts w:ascii="Arial" w:eastAsia="Times New Roman" w:hAnsi="Arial" w:cs="Arial"/>
          <w:kern w:val="0"/>
          <w:sz w:val="24"/>
          <w:szCs w:val="24"/>
          <w:lang w:val="en-GB" w:eastAsia="en-GB"/>
          <w14:ligatures w14:val="none"/>
        </w:rPr>
        <w:t xml:space="preserve"> Financial data is highly non-stationary (e.g., inflation in the 1980s vs. zero-rates in the 2010s). Cross-sectional Z-scoring removes macroeconomic regime shifts, forcing the model to evaluate relative stock strength. We use Z-scores rather than simple percentile ranks to preserve the magnitude (distance) of extreme outliers, allowing the model to recognize uniquely strong signals.</w:t>
      </w:r>
    </w:p>
    <w:p w14:paraId="22A3C120" w14:textId="77777777" w:rsidR="00A1350B" w:rsidRPr="00A1350B" w:rsidRDefault="00A1350B" w:rsidP="00A1350B">
      <w:pPr>
        <w:numPr>
          <w:ilvl w:val="0"/>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b/>
          <w:bCs/>
          <w:kern w:val="0"/>
          <w:sz w:val="24"/>
          <w:szCs w:val="24"/>
          <w:lang w:val="en-GB" w:eastAsia="en-GB"/>
          <w14:ligatures w14:val="none"/>
        </w:rPr>
        <w:t>Sources:</w:t>
      </w:r>
    </w:p>
    <w:p w14:paraId="7F34B63F"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Gu, Kelly, and Xiu (2020)</w:t>
      </w:r>
      <w:r w:rsidRPr="00A1350B">
        <w:rPr>
          <w:rFonts w:ascii="Arial" w:eastAsia="Times New Roman" w:hAnsi="Arial" w:cs="Arial"/>
          <w:kern w:val="0"/>
          <w:sz w:val="24"/>
          <w:szCs w:val="24"/>
          <w:lang w:val="en-GB" w:eastAsia="en-GB"/>
          <w14:ligatures w14:val="none"/>
        </w:rPr>
        <w:t xml:space="preserve"> – The definitive modern paper on Machine Learning in asset pricing, which explicitly uses cross-sectional scaling to normalize deep learning inputs.</w:t>
      </w:r>
    </w:p>
    <w:p w14:paraId="244095FC" w14:textId="77777777" w:rsidR="00A1350B" w:rsidRPr="00A1350B" w:rsidRDefault="00A1350B" w:rsidP="00A1350B">
      <w:pPr>
        <w:numPr>
          <w:ilvl w:val="1"/>
          <w:numId w:val="7"/>
        </w:numPr>
        <w:spacing w:after="100" w:afterAutospacing="1" w:line="240" w:lineRule="auto"/>
        <w:rPr>
          <w:rFonts w:ascii="Arial" w:eastAsia="Times New Roman" w:hAnsi="Arial" w:cs="Arial"/>
          <w:kern w:val="0"/>
          <w:sz w:val="24"/>
          <w:szCs w:val="24"/>
          <w:lang w:val="en-GB" w:eastAsia="en-GB"/>
          <w14:ligatures w14:val="none"/>
        </w:rPr>
      </w:pPr>
      <w:r w:rsidRPr="00A1350B">
        <w:rPr>
          <w:rFonts w:ascii="Arial" w:eastAsia="Times New Roman" w:hAnsi="Arial" w:cs="Arial"/>
          <w:i/>
          <w:iCs/>
          <w:kern w:val="0"/>
          <w:sz w:val="24"/>
          <w:szCs w:val="24"/>
          <w:lang w:val="en-GB" w:eastAsia="en-GB"/>
          <w14:ligatures w14:val="none"/>
        </w:rPr>
        <w:t>Kelly, Pruitt, and Su (2019)</w:t>
      </w:r>
      <w:r w:rsidRPr="00A1350B">
        <w:rPr>
          <w:rFonts w:ascii="Arial" w:eastAsia="Times New Roman" w:hAnsi="Arial" w:cs="Arial"/>
          <w:kern w:val="0"/>
          <w:sz w:val="24"/>
          <w:szCs w:val="24"/>
          <w:lang w:val="en-GB" w:eastAsia="en-GB"/>
          <w14:ligatures w14:val="none"/>
        </w:rPr>
        <w:t xml:space="preserve"> on characteristic-based cross-sectional asset pricing.</w:t>
      </w:r>
    </w:p>
    <w:p w14:paraId="57D908BC" w14:textId="77777777" w:rsidR="00A929A5" w:rsidRDefault="00A929A5"/>
    <w:sectPr w:rsidR="00A929A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13B1B"/>
    <w:multiLevelType w:val="multilevel"/>
    <w:tmpl w:val="69708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F72ACC"/>
    <w:multiLevelType w:val="multilevel"/>
    <w:tmpl w:val="0E005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802C13"/>
    <w:multiLevelType w:val="multilevel"/>
    <w:tmpl w:val="C39E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B21C5F"/>
    <w:multiLevelType w:val="multilevel"/>
    <w:tmpl w:val="30603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0C7E79"/>
    <w:multiLevelType w:val="multilevel"/>
    <w:tmpl w:val="9176E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4E0A0C"/>
    <w:multiLevelType w:val="multilevel"/>
    <w:tmpl w:val="4FD61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7E1B85"/>
    <w:multiLevelType w:val="multilevel"/>
    <w:tmpl w:val="E45C3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116388">
    <w:abstractNumId w:val="2"/>
  </w:num>
  <w:num w:numId="2" w16cid:durableId="153491936">
    <w:abstractNumId w:val="5"/>
  </w:num>
  <w:num w:numId="3" w16cid:durableId="749160462">
    <w:abstractNumId w:val="3"/>
  </w:num>
  <w:num w:numId="4" w16cid:durableId="2033921584">
    <w:abstractNumId w:val="6"/>
  </w:num>
  <w:num w:numId="5" w16cid:durableId="926381371">
    <w:abstractNumId w:val="0"/>
  </w:num>
  <w:num w:numId="6" w16cid:durableId="729841454">
    <w:abstractNumId w:val="1"/>
  </w:num>
  <w:num w:numId="7" w16cid:durableId="1755076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E65"/>
    <w:rsid w:val="00303E65"/>
    <w:rsid w:val="003B5D99"/>
    <w:rsid w:val="00425063"/>
    <w:rsid w:val="0051299B"/>
    <w:rsid w:val="005912C0"/>
    <w:rsid w:val="00720677"/>
    <w:rsid w:val="00A1350B"/>
    <w:rsid w:val="00A929A5"/>
    <w:rsid w:val="00AE0381"/>
    <w:rsid w:val="00F0503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D6156"/>
  <w15:chartTrackingRefBased/>
  <w15:docId w15:val="{E5F63687-5706-458A-941B-24A066F0B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303E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303E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303E65"/>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303E65"/>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303E65"/>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303E65"/>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03E65"/>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03E65"/>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03E65"/>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03E65"/>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303E65"/>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303E65"/>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303E65"/>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303E65"/>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303E65"/>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03E65"/>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03E65"/>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03E65"/>
    <w:rPr>
      <w:rFonts w:eastAsiaTheme="majorEastAsia" w:cstheme="majorBidi"/>
      <w:color w:val="272727" w:themeColor="text1" w:themeTint="D8"/>
    </w:rPr>
  </w:style>
  <w:style w:type="paragraph" w:styleId="Nzev">
    <w:name w:val="Title"/>
    <w:basedOn w:val="Normln"/>
    <w:next w:val="Normln"/>
    <w:link w:val="NzevChar"/>
    <w:uiPriority w:val="10"/>
    <w:qFormat/>
    <w:rsid w:val="00303E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03E65"/>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03E65"/>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03E65"/>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03E65"/>
    <w:pPr>
      <w:spacing w:before="160"/>
      <w:jc w:val="center"/>
    </w:pPr>
    <w:rPr>
      <w:i/>
      <w:iCs/>
      <w:color w:val="404040" w:themeColor="text1" w:themeTint="BF"/>
    </w:rPr>
  </w:style>
  <w:style w:type="character" w:customStyle="1" w:styleId="CittChar">
    <w:name w:val="Citát Char"/>
    <w:basedOn w:val="Standardnpsmoodstavce"/>
    <w:link w:val="Citt"/>
    <w:uiPriority w:val="29"/>
    <w:rsid w:val="00303E65"/>
    <w:rPr>
      <w:i/>
      <w:iCs/>
      <w:color w:val="404040" w:themeColor="text1" w:themeTint="BF"/>
    </w:rPr>
  </w:style>
  <w:style w:type="paragraph" w:styleId="Odstavecseseznamem">
    <w:name w:val="List Paragraph"/>
    <w:basedOn w:val="Normln"/>
    <w:uiPriority w:val="34"/>
    <w:qFormat/>
    <w:rsid w:val="00303E65"/>
    <w:pPr>
      <w:ind w:left="720"/>
      <w:contextualSpacing/>
    </w:pPr>
  </w:style>
  <w:style w:type="character" w:styleId="Zdraznnintenzivn">
    <w:name w:val="Intense Emphasis"/>
    <w:basedOn w:val="Standardnpsmoodstavce"/>
    <w:uiPriority w:val="21"/>
    <w:qFormat/>
    <w:rsid w:val="00303E65"/>
    <w:rPr>
      <w:i/>
      <w:iCs/>
      <w:color w:val="0F4761" w:themeColor="accent1" w:themeShade="BF"/>
    </w:rPr>
  </w:style>
  <w:style w:type="paragraph" w:styleId="Vrazncitt">
    <w:name w:val="Intense Quote"/>
    <w:basedOn w:val="Normln"/>
    <w:next w:val="Normln"/>
    <w:link w:val="VrazncittChar"/>
    <w:uiPriority w:val="30"/>
    <w:qFormat/>
    <w:rsid w:val="00303E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303E65"/>
    <w:rPr>
      <w:i/>
      <w:iCs/>
      <w:color w:val="0F4761" w:themeColor="accent1" w:themeShade="BF"/>
    </w:rPr>
  </w:style>
  <w:style w:type="character" w:styleId="Odkazintenzivn">
    <w:name w:val="Intense Reference"/>
    <w:basedOn w:val="Standardnpsmoodstavce"/>
    <w:uiPriority w:val="32"/>
    <w:qFormat/>
    <w:rsid w:val="00303E65"/>
    <w:rPr>
      <w:b/>
      <w:bCs/>
      <w:smallCaps/>
      <w:color w:val="0F4761" w:themeColor="accent1" w:themeShade="BF"/>
      <w:spacing w:val="5"/>
    </w:rPr>
  </w:style>
  <w:style w:type="paragraph" w:styleId="Normlnweb">
    <w:name w:val="Normal (Web)"/>
    <w:basedOn w:val="Normln"/>
    <w:uiPriority w:val="99"/>
    <w:semiHidden/>
    <w:unhideWhenUsed/>
    <w:rsid w:val="00A1350B"/>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KdHTML">
    <w:name w:val="HTML Code"/>
    <w:basedOn w:val="Standardnpsmoodstavce"/>
    <w:uiPriority w:val="99"/>
    <w:semiHidden/>
    <w:unhideWhenUsed/>
    <w:rsid w:val="00A1350B"/>
    <w:rPr>
      <w:rFonts w:ascii="Courier New" w:eastAsia="Times New Roman" w:hAnsi="Courier New" w:cs="Courier New"/>
      <w:sz w:val="20"/>
      <w:szCs w:val="20"/>
    </w:rPr>
  </w:style>
  <w:style w:type="character" w:customStyle="1" w:styleId="math-inline">
    <w:name w:val="math-inline"/>
    <w:basedOn w:val="Standardnpsmoodstavce"/>
    <w:rsid w:val="00A135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860</Words>
  <Characters>4902</Characters>
  <Application>Microsoft Office Word</Application>
  <DocSecurity>0</DocSecurity>
  <Lines>40</Lines>
  <Paragraphs>11</Paragraphs>
  <ScaleCrop>false</ScaleCrop>
  <Company/>
  <LinksUpToDate>false</LinksUpToDate>
  <CharactersWithSpaces>5751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Šišma</dc:creator>
  <cp:keywords/>
  <dc:description/>
  <cp:lastModifiedBy>Jakub Šišma</cp:lastModifiedBy>
  <cp:revision>2</cp:revision>
  <dcterms:created xsi:type="dcterms:W3CDTF">2026-03-13T17:00:00Z</dcterms:created>
  <dcterms:modified xsi:type="dcterms:W3CDTF">2026-03-13T17:00:00Z</dcterms:modified>
</cp:coreProperties>
</file>