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6905" w14:textId="77777777" w:rsidR="00A1350B" w:rsidRPr="00A1350B" w:rsidRDefault="00A1350B" w:rsidP="00A1350B">
      <w:pPr>
        <w:spacing w:after="100" w:afterAutospacing="1" w:line="240" w:lineRule="auto"/>
        <w:outlineLvl w:val="0"/>
        <w:rPr>
          <w:rFonts w:ascii="Arial" w:eastAsia="Times New Roman" w:hAnsi="Arial" w:cs="Arial"/>
          <w:b/>
          <w:bCs/>
          <w:kern w:val="36"/>
          <w:sz w:val="48"/>
          <w:szCs w:val="48"/>
          <w:lang w:val="en-GB" w:eastAsia="en-GB"/>
          <w14:ligatures w14:val="none"/>
        </w:rPr>
      </w:pPr>
      <w:r w:rsidRPr="00A1350B">
        <w:rPr>
          <w:rFonts w:ascii="Arial" w:eastAsia="Times New Roman" w:hAnsi="Arial" w:cs="Arial"/>
          <w:b/>
          <w:bCs/>
          <w:kern w:val="36"/>
          <w:sz w:val="48"/>
          <w:szCs w:val="48"/>
          <w:lang w:val="en-GB" w:eastAsia="en-GB"/>
          <w14:ligatures w14:val="none"/>
        </w:rPr>
        <w:t>Data Methodology &amp; Pipeline Summary</w:t>
      </w:r>
    </w:p>
    <w:p w14:paraId="2C09D9DB"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1. Universe Selection and Security Filtering</w:t>
      </w:r>
    </w:p>
    <w:p w14:paraId="10F775E9" w14:textId="77777777" w:rsidR="00A1350B" w:rsidRPr="00A1350B" w:rsidRDefault="00A1350B" w:rsidP="00A1350B">
      <w:pPr>
        <w:numPr>
          <w:ilvl w:val="0"/>
          <w:numId w:val="1"/>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Choice:</w:t>
      </w:r>
      <w:r w:rsidRPr="00A1350B">
        <w:rPr>
          <w:rFonts w:ascii="Arial" w:eastAsia="Times New Roman" w:hAnsi="Arial" w:cs="Arial"/>
          <w:kern w:val="0"/>
          <w:sz w:val="24"/>
          <w:szCs w:val="24"/>
          <w:lang w:val="en-GB" w:eastAsia="en-GB"/>
          <w14:ligatures w14:val="none"/>
        </w:rPr>
        <w:t xml:space="preserve"> We restricted the dataset to Common Stocks (Ordinary, A/B) and Primary Capital Certificates (PCCs), while excluding derivatives (Warrants, ETNs, Funds).</w:t>
      </w:r>
    </w:p>
    <w:p w14:paraId="00732CD6" w14:textId="77777777" w:rsidR="00A1350B" w:rsidRPr="00A1350B" w:rsidRDefault="00A1350B" w:rsidP="00A1350B">
      <w:pPr>
        <w:numPr>
          <w:ilvl w:val="0"/>
          <w:numId w:val="1"/>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Machine Learning models require standardized return distributions to learn effectively. Derivatives possess non-linear payoffs and different risk profiles that would contaminate the equity signal. For the Oslo </w:t>
      </w:r>
      <w:proofErr w:type="spellStart"/>
      <w:r w:rsidRPr="00A1350B">
        <w:rPr>
          <w:rFonts w:ascii="Arial" w:eastAsia="Times New Roman" w:hAnsi="Arial" w:cs="Arial"/>
          <w:kern w:val="0"/>
          <w:sz w:val="24"/>
          <w:szCs w:val="24"/>
          <w:lang w:val="en-GB" w:eastAsia="en-GB"/>
          <w14:ligatures w14:val="none"/>
        </w:rPr>
        <w:t>Børs</w:t>
      </w:r>
      <w:proofErr w:type="spellEnd"/>
      <w:r w:rsidRPr="00A1350B">
        <w:rPr>
          <w:rFonts w:ascii="Arial" w:eastAsia="Times New Roman" w:hAnsi="Arial" w:cs="Arial"/>
          <w:kern w:val="0"/>
          <w:sz w:val="24"/>
          <w:szCs w:val="24"/>
          <w:lang w:val="en-GB" w:eastAsia="en-GB"/>
          <w14:ligatures w14:val="none"/>
        </w:rPr>
        <w:t xml:space="preserve"> specifically, PCCs (Equity Certificates) are a staple of the Norwegian savings bank sector and act as standard tradable equity for institutional investors.</w:t>
      </w:r>
    </w:p>
    <w:p w14:paraId="5D8BC244" w14:textId="77777777" w:rsidR="00A1350B" w:rsidRPr="00A1350B" w:rsidRDefault="00A1350B" w:rsidP="00A1350B">
      <w:pPr>
        <w:numPr>
          <w:ilvl w:val="0"/>
          <w:numId w:val="1"/>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Sources:</w:t>
      </w:r>
    </w:p>
    <w:p w14:paraId="55A89135" w14:textId="77777777" w:rsidR="00A1350B" w:rsidRPr="00A1350B" w:rsidRDefault="00A1350B" w:rsidP="00A1350B">
      <w:pPr>
        <w:numPr>
          <w:ilvl w:val="1"/>
          <w:numId w:val="1"/>
        </w:numPr>
        <w:spacing w:after="100" w:afterAutospacing="1" w:line="240" w:lineRule="auto"/>
        <w:rPr>
          <w:rFonts w:ascii="Arial" w:eastAsia="Times New Roman" w:hAnsi="Arial" w:cs="Arial"/>
          <w:kern w:val="0"/>
          <w:sz w:val="24"/>
          <w:szCs w:val="24"/>
          <w:lang w:val="en-GB" w:eastAsia="en-GB"/>
          <w14:ligatures w14:val="none"/>
        </w:rPr>
      </w:pPr>
      <w:proofErr w:type="spellStart"/>
      <w:r w:rsidRPr="00A1350B">
        <w:rPr>
          <w:rFonts w:ascii="Arial" w:eastAsia="Times New Roman" w:hAnsi="Arial" w:cs="Arial"/>
          <w:i/>
          <w:iCs/>
          <w:kern w:val="0"/>
          <w:sz w:val="24"/>
          <w:szCs w:val="24"/>
          <w:lang w:val="en-GB" w:eastAsia="en-GB"/>
          <w14:ligatures w14:val="none"/>
        </w:rPr>
        <w:t>Norges</w:t>
      </w:r>
      <w:proofErr w:type="spellEnd"/>
      <w:r w:rsidRPr="00A1350B">
        <w:rPr>
          <w:rFonts w:ascii="Arial" w:eastAsia="Times New Roman" w:hAnsi="Arial" w:cs="Arial"/>
          <w:i/>
          <w:iCs/>
          <w:kern w:val="0"/>
          <w:sz w:val="24"/>
          <w:szCs w:val="24"/>
          <w:lang w:val="en-GB" w:eastAsia="en-GB"/>
          <w14:ligatures w14:val="none"/>
        </w:rPr>
        <w:t xml:space="preserve"> Bank (2018)</w:t>
      </w:r>
      <w:r w:rsidRPr="00A1350B">
        <w:rPr>
          <w:rFonts w:ascii="Arial" w:eastAsia="Times New Roman" w:hAnsi="Arial" w:cs="Arial"/>
          <w:kern w:val="0"/>
          <w:sz w:val="24"/>
          <w:szCs w:val="24"/>
          <w:lang w:val="en-GB" w:eastAsia="en-GB"/>
          <w14:ligatures w14:val="none"/>
        </w:rPr>
        <w:t xml:space="preserve"> on the structure and tradability of Primary Capital Certificates in the Norwegian financial system.</w:t>
      </w:r>
    </w:p>
    <w:p w14:paraId="3ED76FC7" w14:textId="77777777" w:rsidR="00A1350B" w:rsidRPr="00A1350B" w:rsidRDefault="00A1350B" w:rsidP="00A1350B">
      <w:pPr>
        <w:numPr>
          <w:ilvl w:val="1"/>
          <w:numId w:val="1"/>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Gu, Kelly, and Xiu (2020)</w:t>
      </w:r>
      <w:r w:rsidRPr="00A1350B">
        <w:rPr>
          <w:rFonts w:ascii="Arial" w:eastAsia="Times New Roman" w:hAnsi="Arial" w:cs="Arial"/>
          <w:kern w:val="0"/>
          <w:sz w:val="24"/>
          <w:szCs w:val="24"/>
          <w:lang w:val="en-GB" w:eastAsia="en-GB"/>
          <w14:ligatures w14:val="none"/>
        </w:rPr>
        <w:t xml:space="preserve"> on restricting machine learning panels to standardized, tradable common equities.</w:t>
      </w:r>
    </w:p>
    <w:p w14:paraId="69E7F0BE"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2. Handling Multiple Share Classes and Ticker Recycling</w:t>
      </w:r>
    </w:p>
    <w:p w14:paraId="020BA5DC" w14:textId="77777777" w:rsidR="00A1350B" w:rsidRPr="00A1350B" w:rsidRDefault="00A1350B" w:rsidP="00A1350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Choice:</w:t>
      </w:r>
      <w:r w:rsidRPr="00A1350B">
        <w:rPr>
          <w:rFonts w:ascii="Arial" w:eastAsia="Times New Roman" w:hAnsi="Arial" w:cs="Arial"/>
          <w:kern w:val="0"/>
          <w:sz w:val="24"/>
          <w:szCs w:val="24"/>
          <w:lang w:val="en-GB" w:eastAsia="en-GB"/>
          <w14:ligatures w14:val="none"/>
        </w:rPr>
        <w:t xml:space="preserve"> For companies with multiple share classes (e.g., A and B shares), we select the ISIN with the highest monthly turnover. We also rely strictly on ISIN rather than Tickers to track assets over time.</w:t>
      </w:r>
    </w:p>
    <w:p w14:paraId="13E68D91" w14:textId="77777777" w:rsidR="00A1350B" w:rsidRPr="00A1350B" w:rsidRDefault="00A1350B" w:rsidP="00A1350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Relying on Tickers in a 40-year dataset leads to "Symbol Reuse" bias where entirely different companies are accidentally linked. Dropping the less liquid share class prevents multicollinearity in the ML model and ensures the model is learning from prices that reflect actual market clearing rather than stale, untraded quotes.</w:t>
      </w:r>
    </w:p>
    <w:p w14:paraId="0ED1A057" w14:textId="77777777" w:rsidR="00A1350B" w:rsidRPr="00A1350B" w:rsidRDefault="00A1350B" w:rsidP="00A1350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Sources:</w:t>
      </w:r>
      <w:r w:rsidRPr="00A1350B">
        <w:rPr>
          <w:rFonts w:ascii="Arial" w:eastAsia="Times New Roman" w:hAnsi="Arial" w:cs="Arial"/>
          <w:kern w:val="0"/>
          <w:sz w:val="24"/>
          <w:szCs w:val="24"/>
          <w:lang w:val="en-GB" w:eastAsia="en-GB"/>
          <w14:ligatures w14:val="none"/>
        </w:rPr>
        <w:t xml:space="preserve"> * </w:t>
      </w:r>
      <w:r w:rsidRPr="00A1350B">
        <w:rPr>
          <w:rFonts w:ascii="Arial" w:eastAsia="Times New Roman" w:hAnsi="Arial" w:cs="Arial"/>
          <w:i/>
          <w:iCs/>
          <w:kern w:val="0"/>
          <w:sz w:val="24"/>
          <w:szCs w:val="24"/>
          <w:lang w:val="en-GB" w:eastAsia="en-GB"/>
          <w14:ligatures w14:val="none"/>
        </w:rPr>
        <w:t>Chui, Subrahmanyam, and Titman (2022)</w:t>
      </w:r>
      <w:r w:rsidRPr="00A1350B">
        <w:rPr>
          <w:rFonts w:ascii="Arial" w:eastAsia="Times New Roman" w:hAnsi="Arial" w:cs="Arial"/>
          <w:kern w:val="0"/>
          <w:sz w:val="24"/>
          <w:szCs w:val="24"/>
          <w:lang w:val="en-GB" w:eastAsia="en-GB"/>
          <w14:ligatures w14:val="none"/>
        </w:rPr>
        <w:t xml:space="preserve"> on how liquidity and investor clienteles differ drastically between dual-class shares.</w:t>
      </w:r>
    </w:p>
    <w:p w14:paraId="1B00D79D" w14:textId="77777777" w:rsidR="00A1350B" w:rsidRPr="00A1350B" w:rsidRDefault="00A1350B" w:rsidP="00A1350B">
      <w:pPr>
        <w:numPr>
          <w:ilvl w:val="1"/>
          <w:numId w:val="2"/>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Fama and French (1992)</w:t>
      </w:r>
      <w:r w:rsidRPr="00A1350B">
        <w:rPr>
          <w:rFonts w:ascii="Arial" w:eastAsia="Times New Roman" w:hAnsi="Arial" w:cs="Arial"/>
          <w:kern w:val="0"/>
          <w:sz w:val="24"/>
          <w:szCs w:val="24"/>
          <w:lang w:val="en-GB" w:eastAsia="en-GB"/>
          <w14:ligatures w14:val="none"/>
        </w:rPr>
        <w:t xml:space="preserve"> on standard practices for resolving dual-class redundancies in asset pricing panels.</w:t>
      </w:r>
    </w:p>
    <w:p w14:paraId="0A5C69BF"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3. Survivorship Bias and Time-Series "Spells"</w:t>
      </w:r>
    </w:p>
    <w:p w14:paraId="16517159" w14:textId="77777777" w:rsidR="00A1350B" w:rsidRPr="00A1350B" w:rsidRDefault="00A1350B" w:rsidP="00A1350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Choice:</w:t>
      </w:r>
      <w:r w:rsidRPr="00A1350B">
        <w:rPr>
          <w:rFonts w:ascii="Arial" w:eastAsia="Times New Roman" w:hAnsi="Arial" w:cs="Arial"/>
          <w:kern w:val="0"/>
          <w:sz w:val="24"/>
          <w:szCs w:val="24"/>
          <w:lang w:val="en-GB" w:eastAsia="en-GB"/>
          <w14:ligatures w14:val="none"/>
        </w:rPr>
        <w:t xml:space="preserve"> We retain all delisted stocks (M&amp;A and Bankruptcies) in the dataset up to their final trading month without imputing artificial exit returns. Furthermore, gaps in trading history are treated by assigning a new </w:t>
      </w:r>
      <w:proofErr w:type="spellStart"/>
      <w:r w:rsidRPr="00A1350B">
        <w:rPr>
          <w:rFonts w:ascii="Arial" w:eastAsia="Times New Roman" w:hAnsi="Arial" w:cs="Arial"/>
          <w:kern w:val="0"/>
          <w:sz w:val="20"/>
          <w:szCs w:val="20"/>
          <w:lang w:val="en-GB" w:eastAsia="en-GB"/>
          <w14:ligatures w14:val="none"/>
        </w:rPr>
        <w:t>SpellID</w:t>
      </w:r>
      <w:proofErr w:type="spellEnd"/>
      <w:r w:rsidRPr="00A1350B">
        <w:rPr>
          <w:rFonts w:ascii="Arial" w:eastAsia="Times New Roman" w:hAnsi="Arial" w:cs="Arial"/>
          <w:kern w:val="0"/>
          <w:sz w:val="24"/>
          <w:szCs w:val="24"/>
          <w:lang w:val="en-GB" w:eastAsia="en-GB"/>
          <w14:ligatures w14:val="none"/>
        </w:rPr>
        <w:t>, meaning a stock that disappears and re-lists is treated as a new mathematical entry.</w:t>
      </w:r>
    </w:p>
    <w:p w14:paraId="4D761635" w14:textId="77777777" w:rsidR="00A1350B" w:rsidRPr="00A1350B" w:rsidRDefault="00A1350B" w:rsidP="00A1350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Dropping delisted firms introduces severe survivorship bias, making historical returns look artificially high. Grouping rolling calculations by </w:t>
      </w:r>
      <w:proofErr w:type="spellStart"/>
      <w:r w:rsidRPr="00A1350B">
        <w:rPr>
          <w:rFonts w:ascii="Arial" w:eastAsia="Times New Roman" w:hAnsi="Arial" w:cs="Arial"/>
          <w:kern w:val="0"/>
          <w:sz w:val="20"/>
          <w:szCs w:val="20"/>
          <w:lang w:val="en-GB" w:eastAsia="en-GB"/>
          <w14:ligatures w14:val="none"/>
        </w:rPr>
        <w:t>SpellID</w:t>
      </w:r>
      <w:proofErr w:type="spellEnd"/>
      <w:r w:rsidRPr="00A1350B">
        <w:rPr>
          <w:rFonts w:ascii="Arial" w:eastAsia="Times New Roman" w:hAnsi="Arial" w:cs="Arial"/>
          <w:kern w:val="0"/>
          <w:sz w:val="24"/>
          <w:szCs w:val="24"/>
          <w:lang w:val="en-GB" w:eastAsia="en-GB"/>
          <w14:ligatures w14:val="none"/>
        </w:rPr>
        <w:t xml:space="preserve"> ensures that a stock returning from a 5-year suspension does not improperly "borrow" momentum from its past life (Look-Ahead Bias).</w:t>
      </w:r>
    </w:p>
    <w:p w14:paraId="463ED5E8"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4. The Liquidity Filter (The "Investable Universe")</w:t>
      </w:r>
    </w:p>
    <w:p w14:paraId="73A0F946" w14:textId="77777777" w:rsidR="00A1350B" w:rsidRPr="00A1350B" w:rsidRDefault="00A1350B" w:rsidP="00A1350B">
      <w:pPr>
        <w:numPr>
          <w:ilvl w:val="0"/>
          <w:numId w:val="4"/>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lastRenderedPageBreak/>
        <w:t>The Choice:</w:t>
      </w:r>
      <w:r w:rsidRPr="00A1350B">
        <w:rPr>
          <w:rFonts w:ascii="Arial" w:eastAsia="Times New Roman" w:hAnsi="Arial" w:cs="Arial"/>
          <w:kern w:val="0"/>
          <w:sz w:val="24"/>
          <w:szCs w:val="24"/>
          <w:lang w:val="en-GB" w:eastAsia="en-GB"/>
          <w14:ligatures w14:val="none"/>
        </w:rPr>
        <w:t xml:space="preserve"> Instead of dropping "penny stocks" based on a nominal price (e.g., &lt; 1 NOK) or pure Market Cap, we calculate the absolute </w:t>
      </w:r>
      <w:r w:rsidRPr="00A1350B">
        <w:rPr>
          <w:rFonts w:ascii="Arial" w:eastAsia="Times New Roman" w:hAnsi="Arial" w:cs="Arial"/>
          <w:b/>
          <w:bCs/>
          <w:kern w:val="0"/>
          <w:sz w:val="24"/>
          <w:szCs w:val="24"/>
          <w:lang w:val="en-GB" w:eastAsia="en-GB"/>
          <w14:ligatures w14:val="none"/>
        </w:rPr>
        <w:t>NOK Volume</w:t>
      </w:r>
      <w:r w:rsidRPr="00A1350B">
        <w:rPr>
          <w:rFonts w:ascii="Arial" w:eastAsia="Times New Roman" w:hAnsi="Arial" w:cs="Arial"/>
          <w:kern w:val="0"/>
          <w:sz w:val="24"/>
          <w:szCs w:val="24"/>
          <w:lang w:val="en-GB" w:eastAsia="en-GB"/>
          <w14:ligatures w14:val="none"/>
        </w:rPr>
        <w:t xml:space="preserve"> (Price $\times$ Shares Traded). We cross-sectionally rank this volume each month and drop the bottom 20% of the market </w:t>
      </w:r>
      <w:r w:rsidRPr="00A1350B">
        <w:rPr>
          <w:rFonts w:ascii="Arial" w:eastAsia="Times New Roman" w:hAnsi="Arial" w:cs="Arial"/>
          <w:i/>
          <w:iCs/>
          <w:kern w:val="0"/>
          <w:sz w:val="24"/>
          <w:szCs w:val="24"/>
          <w:lang w:val="en-GB" w:eastAsia="en-GB"/>
          <w14:ligatures w14:val="none"/>
        </w:rPr>
        <w:t>before</w:t>
      </w:r>
      <w:r w:rsidRPr="00A1350B">
        <w:rPr>
          <w:rFonts w:ascii="Arial" w:eastAsia="Times New Roman" w:hAnsi="Arial" w:cs="Arial"/>
          <w:kern w:val="0"/>
          <w:sz w:val="24"/>
          <w:szCs w:val="24"/>
          <w:lang w:val="en-GB" w:eastAsia="en-GB"/>
          <w14:ligatures w14:val="none"/>
        </w:rPr>
        <w:t xml:space="preserve"> training the ML model.</w:t>
      </w:r>
    </w:p>
    <w:p w14:paraId="0187E406" w14:textId="77777777" w:rsidR="00A1350B" w:rsidRPr="00A1350B" w:rsidRDefault="00A1350B" w:rsidP="00A1350B">
      <w:pPr>
        <w:numPr>
          <w:ilvl w:val="0"/>
          <w:numId w:val="4"/>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Micro-cap illiquid stocks suffer from the "bid-ask bounce," which creates massive, artificial return volatility. If left in the training set, tree-based models (</w:t>
      </w:r>
      <w:proofErr w:type="spellStart"/>
      <w:r w:rsidRPr="00A1350B">
        <w:rPr>
          <w:rFonts w:ascii="Arial" w:eastAsia="Times New Roman" w:hAnsi="Arial" w:cs="Arial"/>
          <w:kern w:val="0"/>
          <w:sz w:val="24"/>
          <w:szCs w:val="24"/>
          <w:lang w:val="en-GB" w:eastAsia="en-GB"/>
          <w14:ligatures w14:val="none"/>
        </w:rPr>
        <w:t>XGBoost</w:t>
      </w:r>
      <w:proofErr w:type="spellEnd"/>
      <w:r w:rsidRPr="00A1350B">
        <w:rPr>
          <w:rFonts w:ascii="Arial" w:eastAsia="Times New Roman" w:hAnsi="Arial" w:cs="Arial"/>
          <w:kern w:val="0"/>
          <w:sz w:val="24"/>
          <w:szCs w:val="24"/>
          <w:lang w:val="en-GB" w:eastAsia="en-GB"/>
          <w14:ligatures w14:val="none"/>
        </w:rPr>
        <w:t>) will waste their capacity trying to predict this microstructure noise instead of learning true economic signals. The NOK Volume perfectly balances the need for a company to be both fundamentally large enough and actively traded enough to be held by mutual funds.</w:t>
      </w:r>
    </w:p>
    <w:p w14:paraId="55437BBE" w14:textId="77777777" w:rsidR="00A1350B" w:rsidRPr="00A1350B" w:rsidRDefault="00A1350B" w:rsidP="00A1350B">
      <w:pPr>
        <w:numPr>
          <w:ilvl w:val="0"/>
          <w:numId w:val="4"/>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Sources:</w:t>
      </w:r>
    </w:p>
    <w:p w14:paraId="18EEFF65" w14:textId="77777777" w:rsidR="00A1350B" w:rsidRPr="00A1350B" w:rsidRDefault="00A1350B" w:rsidP="00A1350B">
      <w:pPr>
        <w:numPr>
          <w:ilvl w:val="1"/>
          <w:numId w:val="4"/>
        </w:numPr>
        <w:spacing w:after="100" w:afterAutospacing="1" w:line="240" w:lineRule="auto"/>
        <w:rPr>
          <w:rFonts w:ascii="Arial" w:eastAsia="Times New Roman" w:hAnsi="Arial" w:cs="Arial"/>
          <w:kern w:val="0"/>
          <w:sz w:val="24"/>
          <w:szCs w:val="24"/>
          <w:lang w:val="en-GB" w:eastAsia="en-GB"/>
          <w14:ligatures w14:val="none"/>
        </w:rPr>
      </w:pPr>
      <w:proofErr w:type="spellStart"/>
      <w:r w:rsidRPr="00A1350B">
        <w:rPr>
          <w:rFonts w:ascii="Arial" w:eastAsia="Times New Roman" w:hAnsi="Arial" w:cs="Arial"/>
          <w:i/>
          <w:iCs/>
          <w:kern w:val="0"/>
          <w:sz w:val="24"/>
          <w:szCs w:val="24"/>
          <w:lang w:val="en-GB" w:eastAsia="en-GB"/>
          <w14:ligatures w14:val="none"/>
        </w:rPr>
        <w:t>Nechvátalová</w:t>
      </w:r>
      <w:proofErr w:type="spellEnd"/>
      <w:r w:rsidRPr="00A1350B">
        <w:rPr>
          <w:rFonts w:ascii="Arial" w:eastAsia="Times New Roman" w:hAnsi="Arial" w:cs="Arial"/>
          <w:i/>
          <w:iCs/>
          <w:kern w:val="0"/>
          <w:sz w:val="24"/>
          <w:szCs w:val="24"/>
          <w:lang w:val="en-GB" w:eastAsia="en-GB"/>
          <w14:ligatures w14:val="none"/>
        </w:rPr>
        <w:t xml:space="preserve"> (2021)</w:t>
      </w:r>
      <w:r w:rsidRPr="00A1350B">
        <w:rPr>
          <w:rFonts w:ascii="Arial" w:eastAsia="Times New Roman" w:hAnsi="Arial" w:cs="Arial"/>
          <w:kern w:val="0"/>
          <w:sz w:val="24"/>
          <w:szCs w:val="24"/>
          <w:lang w:val="en-GB" w:eastAsia="en-GB"/>
          <w14:ligatures w14:val="none"/>
        </w:rPr>
        <w:t xml:space="preserve"> on how machine learning models fail when applied to low signal-to-noise ratio micro-caps, advocating for highly liquid universes.</w:t>
      </w:r>
    </w:p>
    <w:p w14:paraId="23C87CB1" w14:textId="77777777" w:rsidR="00A1350B" w:rsidRPr="00A1350B" w:rsidRDefault="00A1350B" w:rsidP="00A1350B">
      <w:pPr>
        <w:numPr>
          <w:ilvl w:val="1"/>
          <w:numId w:val="4"/>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Molnár et al. (2025)</w:t>
      </w:r>
      <w:r w:rsidRPr="00A1350B">
        <w:rPr>
          <w:rFonts w:ascii="Arial" w:eastAsia="Times New Roman" w:hAnsi="Arial" w:cs="Arial"/>
          <w:kern w:val="0"/>
          <w:sz w:val="24"/>
          <w:szCs w:val="24"/>
          <w:lang w:val="en-GB" w:eastAsia="en-GB"/>
          <w14:ligatures w14:val="none"/>
        </w:rPr>
        <w:t xml:space="preserve"> on how microstructure noise and illiquidity dramatically bias return measurements.</w:t>
      </w:r>
    </w:p>
    <w:p w14:paraId="5D645237"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5. Target Decoupling (ML Target vs. Simulation Target)</w:t>
      </w:r>
    </w:p>
    <w:p w14:paraId="6CB2DF7F" w14:textId="77777777" w:rsidR="00A1350B" w:rsidRPr="00A1350B" w:rsidRDefault="00A1350B" w:rsidP="00A1350B">
      <w:pPr>
        <w:numPr>
          <w:ilvl w:val="0"/>
          <w:numId w:val="5"/>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Choice:</w:t>
      </w:r>
      <w:r w:rsidRPr="00A1350B">
        <w:rPr>
          <w:rFonts w:ascii="Arial" w:eastAsia="Times New Roman" w:hAnsi="Arial" w:cs="Arial"/>
          <w:kern w:val="0"/>
          <w:sz w:val="24"/>
          <w:szCs w:val="24"/>
          <w:lang w:val="en-GB" w:eastAsia="en-GB"/>
          <w14:ligatures w14:val="none"/>
        </w:rPr>
        <w:t xml:space="preserve"> We created two separate target variables for $t+1$.</w:t>
      </w:r>
    </w:p>
    <w:p w14:paraId="2534EAF9" w14:textId="77777777" w:rsidR="00A1350B" w:rsidRPr="00A1350B" w:rsidRDefault="00A1350B" w:rsidP="00A1350B">
      <w:pPr>
        <w:numPr>
          <w:ilvl w:val="1"/>
          <w:numId w:val="5"/>
        </w:numPr>
        <w:spacing w:after="100" w:afterAutospacing="1" w:line="240" w:lineRule="auto"/>
        <w:rPr>
          <w:rFonts w:ascii="Arial" w:eastAsia="Times New Roman" w:hAnsi="Arial" w:cs="Arial"/>
          <w:kern w:val="0"/>
          <w:sz w:val="24"/>
          <w:szCs w:val="24"/>
          <w:lang w:val="en-GB" w:eastAsia="en-GB"/>
          <w14:ligatures w14:val="none"/>
        </w:rPr>
      </w:pPr>
      <w:proofErr w:type="spellStart"/>
      <w:r w:rsidRPr="00A1350B">
        <w:rPr>
          <w:rFonts w:ascii="Arial" w:eastAsia="Times New Roman" w:hAnsi="Arial" w:cs="Arial"/>
          <w:kern w:val="0"/>
          <w:sz w:val="20"/>
          <w:szCs w:val="20"/>
          <w:lang w:val="en-GB" w:eastAsia="en-GB"/>
          <w14:ligatures w14:val="none"/>
        </w:rPr>
        <w:t>Target_ML</w:t>
      </w:r>
      <w:proofErr w:type="spellEnd"/>
      <w:r w:rsidRPr="00A1350B">
        <w:rPr>
          <w:rFonts w:ascii="Arial" w:eastAsia="Times New Roman" w:hAnsi="Arial" w:cs="Arial"/>
          <w:kern w:val="0"/>
          <w:sz w:val="24"/>
          <w:szCs w:val="24"/>
          <w:lang w:val="en-GB" w:eastAsia="en-GB"/>
          <w14:ligatures w14:val="none"/>
        </w:rPr>
        <w:t xml:space="preserve">: The next month's return, </w:t>
      </w:r>
      <w:proofErr w:type="spellStart"/>
      <w:r w:rsidRPr="00A1350B">
        <w:rPr>
          <w:rFonts w:ascii="Arial" w:eastAsia="Times New Roman" w:hAnsi="Arial" w:cs="Arial"/>
          <w:kern w:val="0"/>
          <w:sz w:val="24"/>
          <w:szCs w:val="24"/>
          <w:lang w:val="en-GB" w:eastAsia="en-GB"/>
          <w14:ligatures w14:val="none"/>
        </w:rPr>
        <w:t>winsorized</w:t>
      </w:r>
      <w:proofErr w:type="spellEnd"/>
      <w:r w:rsidRPr="00A1350B">
        <w:rPr>
          <w:rFonts w:ascii="Arial" w:eastAsia="Times New Roman" w:hAnsi="Arial" w:cs="Arial"/>
          <w:kern w:val="0"/>
          <w:sz w:val="24"/>
          <w:szCs w:val="24"/>
          <w:lang w:val="en-GB" w:eastAsia="en-GB"/>
          <w14:ligatures w14:val="none"/>
        </w:rPr>
        <w:t xml:space="preserve"> (capped at 1st/99th percentiles).</w:t>
      </w:r>
    </w:p>
    <w:p w14:paraId="7A271238" w14:textId="77777777" w:rsidR="00A1350B" w:rsidRPr="00A1350B" w:rsidRDefault="00A1350B" w:rsidP="00A1350B">
      <w:pPr>
        <w:numPr>
          <w:ilvl w:val="1"/>
          <w:numId w:val="5"/>
        </w:numPr>
        <w:spacing w:after="100" w:afterAutospacing="1" w:line="240" w:lineRule="auto"/>
        <w:rPr>
          <w:rFonts w:ascii="Arial" w:eastAsia="Times New Roman" w:hAnsi="Arial" w:cs="Arial"/>
          <w:kern w:val="0"/>
          <w:sz w:val="24"/>
          <w:szCs w:val="24"/>
          <w:lang w:val="en-GB" w:eastAsia="en-GB"/>
          <w14:ligatures w14:val="none"/>
        </w:rPr>
      </w:pPr>
      <w:proofErr w:type="spellStart"/>
      <w:r w:rsidRPr="00A1350B">
        <w:rPr>
          <w:rFonts w:ascii="Arial" w:eastAsia="Times New Roman" w:hAnsi="Arial" w:cs="Arial"/>
          <w:kern w:val="0"/>
          <w:sz w:val="20"/>
          <w:szCs w:val="20"/>
          <w:lang w:val="en-GB" w:eastAsia="en-GB"/>
          <w14:ligatures w14:val="none"/>
        </w:rPr>
        <w:t>Target_Raw</w:t>
      </w:r>
      <w:proofErr w:type="spellEnd"/>
      <w:r w:rsidRPr="00A1350B">
        <w:rPr>
          <w:rFonts w:ascii="Arial" w:eastAsia="Times New Roman" w:hAnsi="Arial" w:cs="Arial"/>
          <w:kern w:val="0"/>
          <w:sz w:val="24"/>
          <w:szCs w:val="24"/>
          <w:lang w:val="en-GB" w:eastAsia="en-GB"/>
          <w14:ligatures w14:val="none"/>
        </w:rPr>
        <w:t>: The next month's raw, uncapped return.</w:t>
      </w:r>
    </w:p>
    <w:p w14:paraId="47F2DE49" w14:textId="77777777" w:rsidR="00A1350B" w:rsidRPr="00A1350B" w:rsidRDefault="00A1350B" w:rsidP="00A1350B">
      <w:pPr>
        <w:numPr>
          <w:ilvl w:val="0"/>
          <w:numId w:val="5"/>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w:t>
      </w:r>
      <w:proofErr w:type="spellStart"/>
      <w:r w:rsidRPr="00A1350B">
        <w:rPr>
          <w:rFonts w:ascii="Arial" w:eastAsia="Times New Roman" w:hAnsi="Arial" w:cs="Arial"/>
          <w:kern w:val="0"/>
          <w:sz w:val="24"/>
          <w:szCs w:val="24"/>
          <w:lang w:val="en-GB" w:eastAsia="en-GB"/>
          <w14:ligatures w14:val="none"/>
        </w:rPr>
        <w:t>XGBoost</w:t>
      </w:r>
      <w:proofErr w:type="spellEnd"/>
      <w:r w:rsidRPr="00A1350B">
        <w:rPr>
          <w:rFonts w:ascii="Arial" w:eastAsia="Times New Roman" w:hAnsi="Arial" w:cs="Arial"/>
          <w:kern w:val="0"/>
          <w:sz w:val="24"/>
          <w:szCs w:val="24"/>
          <w:lang w:val="en-GB" w:eastAsia="en-GB"/>
          <w14:ligatures w14:val="none"/>
        </w:rPr>
        <w:t xml:space="preserve"> optimizes using a loss function (like Mean Squared Error). A single un-capped +59,000% return would permanently distort the model's decision trees. However, if we evaluate our trading </w:t>
      </w:r>
      <w:proofErr w:type="spellStart"/>
      <w:r w:rsidRPr="00A1350B">
        <w:rPr>
          <w:rFonts w:ascii="Arial" w:eastAsia="Times New Roman" w:hAnsi="Arial" w:cs="Arial"/>
          <w:kern w:val="0"/>
          <w:sz w:val="24"/>
          <w:szCs w:val="24"/>
          <w:lang w:val="en-GB" w:eastAsia="en-GB"/>
          <w14:ligatures w14:val="none"/>
        </w:rPr>
        <w:t>backtest</w:t>
      </w:r>
      <w:proofErr w:type="spellEnd"/>
      <w:r w:rsidRPr="00A1350B">
        <w:rPr>
          <w:rFonts w:ascii="Arial" w:eastAsia="Times New Roman" w:hAnsi="Arial" w:cs="Arial"/>
          <w:kern w:val="0"/>
          <w:sz w:val="24"/>
          <w:szCs w:val="24"/>
          <w:lang w:val="en-GB" w:eastAsia="en-GB"/>
          <w14:ligatures w14:val="none"/>
        </w:rPr>
        <w:t xml:space="preserve"> using the </w:t>
      </w:r>
      <w:proofErr w:type="spellStart"/>
      <w:r w:rsidRPr="00A1350B">
        <w:rPr>
          <w:rFonts w:ascii="Arial" w:eastAsia="Times New Roman" w:hAnsi="Arial" w:cs="Arial"/>
          <w:kern w:val="0"/>
          <w:sz w:val="24"/>
          <w:szCs w:val="24"/>
          <w:lang w:val="en-GB" w:eastAsia="en-GB"/>
          <w14:ligatures w14:val="none"/>
        </w:rPr>
        <w:t>winsorized</w:t>
      </w:r>
      <w:proofErr w:type="spellEnd"/>
      <w:r w:rsidRPr="00A1350B">
        <w:rPr>
          <w:rFonts w:ascii="Arial" w:eastAsia="Times New Roman" w:hAnsi="Arial" w:cs="Arial"/>
          <w:kern w:val="0"/>
          <w:sz w:val="24"/>
          <w:szCs w:val="24"/>
          <w:lang w:val="en-GB" w:eastAsia="en-GB"/>
          <w14:ligatures w14:val="none"/>
        </w:rPr>
        <w:t xml:space="preserve"> target, we artificially limit our maximum simulated profits, destroying the validity of the </w:t>
      </w:r>
      <w:proofErr w:type="spellStart"/>
      <w:r w:rsidRPr="00A1350B">
        <w:rPr>
          <w:rFonts w:ascii="Arial" w:eastAsia="Times New Roman" w:hAnsi="Arial" w:cs="Arial"/>
          <w:kern w:val="0"/>
          <w:sz w:val="24"/>
          <w:szCs w:val="24"/>
          <w:lang w:val="en-GB" w:eastAsia="en-GB"/>
          <w14:ligatures w14:val="none"/>
        </w:rPr>
        <w:t>backtest</w:t>
      </w:r>
      <w:proofErr w:type="spellEnd"/>
      <w:r w:rsidRPr="00A1350B">
        <w:rPr>
          <w:rFonts w:ascii="Arial" w:eastAsia="Times New Roman" w:hAnsi="Arial" w:cs="Arial"/>
          <w:kern w:val="0"/>
          <w:sz w:val="24"/>
          <w:szCs w:val="24"/>
          <w:lang w:val="en-GB" w:eastAsia="en-GB"/>
          <w14:ligatures w14:val="none"/>
        </w:rPr>
        <w:t>. Decoupling them solves both the statistical and financial requirements.</w:t>
      </w:r>
    </w:p>
    <w:p w14:paraId="4B467EBF"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6. The "Factor Zoo" (Feature Engineering)</w:t>
      </w:r>
    </w:p>
    <w:p w14:paraId="6A793243" w14:textId="77777777" w:rsidR="00A1350B" w:rsidRPr="00A1350B" w:rsidRDefault="00A1350B" w:rsidP="00A1350B">
      <w:pPr>
        <w:numPr>
          <w:ilvl w:val="0"/>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Choice:</w:t>
      </w:r>
      <w:r w:rsidRPr="00A1350B">
        <w:rPr>
          <w:rFonts w:ascii="Arial" w:eastAsia="Times New Roman" w:hAnsi="Arial" w:cs="Arial"/>
          <w:kern w:val="0"/>
          <w:sz w:val="24"/>
          <w:szCs w:val="24"/>
          <w:lang w:val="en-GB" w:eastAsia="en-GB"/>
          <w14:ligatures w14:val="none"/>
        </w:rPr>
        <w:t xml:space="preserve"> We calculated rolling technical indicators on the </w:t>
      </w:r>
      <w:proofErr w:type="spellStart"/>
      <w:r w:rsidRPr="00A1350B">
        <w:rPr>
          <w:rFonts w:ascii="Arial" w:eastAsia="Times New Roman" w:hAnsi="Arial" w:cs="Arial"/>
          <w:kern w:val="0"/>
          <w:sz w:val="24"/>
          <w:szCs w:val="24"/>
          <w:lang w:val="en-GB" w:eastAsia="en-GB"/>
          <w14:ligatures w14:val="none"/>
        </w:rPr>
        <w:t>winsorized</w:t>
      </w:r>
      <w:proofErr w:type="spellEnd"/>
      <w:r w:rsidRPr="00A1350B">
        <w:rPr>
          <w:rFonts w:ascii="Arial" w:eastAsia="Times New Roman" w:hAnsi="Arial" w:cs="Arial"/>
          <w:kern w:val="0"/>
          <w:sz w:val="24"/>
          <w:szCs w:val="24"/>
          <w:lang w:val="en-GB" w:eastAsia="en-GB"/>
          <w14:ligatures w14:val="none"/>
        </w:rPr>
        <w:t xml:space="preserve"> historical returns:</w:t>
      </w:r>
    </w:p>
    <w:p w14:paraId="468A1C1E" w14:textId="77777777" w:rsidR="00A1350B" w:rsidRPr="00A1350B" w:rsidRDefault="00A1350B" w:rsidP="00A1350B">
      <w:pPr>
        <w:numPr>
          <w:ilvl w:val="1"/>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Reversal (1m):</w:t>
      </w:r>
      <w:r w:rsidRPr="00A1350B">
        <w:rPr>
          <w:rFonts w:ascii="Arial" w:eastAsia="Times New Roman" w:hAnsi="Arial" w:cs="Arial"/>
          <w:kern w:val="0"/>
          <w:sz w:val="24"/>
          <w:szCs w:val="24"/>
          <w:lang w:val="en-GB" w:eastAsia="en-GB"/>
          <w14:ligatures w14:val="none"/>
        </w:rPr>
        <w:t xml:space="preserve"> The immediate past month's return.</w:t>
      </w:r>
    </w:p>
    <w:p w14:paraId="3B657454" w14:textId="77777777" w:rsidR="00A1350B" w:rsidRPr="00A1350B" w:rsidRDefault="00A1350B" w:rsidP="00A1350B">
      <w:pPr>
        <w:numPr>
          <w:ilvl w:val="1"/>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Momentum (6m, 12m):</w:t>
      </w:r>
      <w:r w:rsidRPr="00A1350B">
        <w:rPr>
          <w:rFonts w:ascii="Arial" w:eastAsia="Times New Roman" w:hAnsi="Arial" w:cs="Arial"/>
          <w:kern w:val="0"/>
          <w:sz w:val="24"/>
          <w:szCs w:val="24"/>
          <w:lang w:val="en-GB" w:eastAsia="en-GB"/>
          <w14:ligatures w14:val="none"/>
        </w:rPr>
        <w:t xml:space="preserve"> Cumulative past returns </w:t>
      </w:r>
      <w:r w:rsidRPr="00A1350B">
        <w:rPr>
          <w:rFonts w:ascii="Arial" w:eastAsia="Times New Roman" w:hAnsi="Arial" w:cs="Arial"/>
          <w:i/>
          <w:iCs/>
          <w:kern w:val="0"/>
          <w:sz w:val="24"/>
          <w:szCs w:val="24"/>
          <w:lang w:val="en-GB" w:eastAsia="en-GB"/>
          <w14:ligatures w14:val="none"/>
        </w:rPr>
        <w:t>skipping</w:t>
      </w:r>
      <w:r w:rsidRPr="00A1350B">
        <w:rPr>
          <w:rFonts w:ascii="Arial" w:eastAsia="Times New Roman" w:hAnsi="Arial" w:cs="Arial"/>
          <w:kern w:val="0"/>
          <w:sz w:val="24"/>
          <w:szCs w:val="24"/>
          <w:lang w:val="en-GB" w:eastAsia="en-GB"/>
          <w14:ligatures w14:val="none"/>
        </w:rPr>
        <w:t xml:space="preserve"> the most recent month ($t-2$ to $t-12$).</w:t>
      </w:r>
    </w:p>
    <w:p w14:paraId="3E2C94A8" w14:textId="77777777" w:rsidR="00A1350B" w:rsidRPr="00A1350B" w:rsidRDefault="00A1350B" w:rsidP="00A1350B">
      <w:pPr>
        <w:numPr>
          <w:ilvl w:val="1"/>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Volatility (3m, 6m):</w:t>
      </w:r>
      <w:r w:rsidRPr="00A1350B">
        <w:rPr>
          <w:rFonts w:ascii="Arial" w:eastAsia="Times New Roman" w:hAnsi="Arial" w:cs="Arial"/>
          <w:kern w:val="0"/>
          <w:sz w:val="24"/>
          <w:szCs w:val="24"/>
          <w:lang w:val="en-GB" w:eastAsia="en-GB"/>
          <w14:ligatures w14:val="none"/>
        </w:rPr>
        <w:t xml:space="preserve"> Rolling standard deviation.</w:t>
      </w:r>
    </w:p>
    <w:p w14:paraId="4F4FB836" w14:textId="77777777" w:rsidR="00A1350B" w:rsidRPr="00A1350B" w:rsidRDefault="00A1350B" w:rsidP="00A1350B">
      <w:pPr>
        <w:numPr>
          <w:ilvl w:val="0"/>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Skipping the most recent month when calculating momentum is the industry standard to prevent short-term liquidity reversals from </w:t>
      </w:r>
      <w:proofErr w:type="spellStart"/>
      <w:r w:rsidRPr="00A1350B">
        <w:rPr>
          <w:rFonts w:ascii="Arial" w:eastAsia="Times New Roman" w:hAnsi="Arial" w:cs="Arial"/>
          <w:kern w:val="0"/>
          <w:sz w:val="24"/>
          <w:szCs w:val="24"/>
          <w:lang w:val="en-GB" w:eastAsia="en-GB"/>
          <w14:ligatures w14:val="none"/>
        </w:rPr>
        <w:t>canceling</w:t>
      </w:r>
      <w:proofErr w:type="spellEnd"/>
      <w:r w:rsidRPr="00A1350B">
        <w:rPr>
          <w:rFonts w:ascii="Arial" w:eastAsia="Times New Roman" w:hAnsi="Arial" w:cs="Arial"/>
          <w:kern w:val="0"/>
          <w:sz w:val="24"/>
          <w:szCs w:val="24"/>
          <w:lang w:val="en-GB" w:eastAsia="en-GB"/>
          <w14:ligatures w14:val="none"/>
        </w:rPr>
        <w:t xml:space="preserve"> out long-term fundamental momentum.</w:t>
      </w:r>
    </w:p>
    <w:p w14:paraId="405ADEE3" w14:textId="77777777" w:rsidR="00A1350B" w:rsidRPr="00A1350B" w:rsidRDefault="00A1350B" w:rsidP="00A1350B">
      <w:pPr>
        <w:numPr>
          <w:ilvl w:val="0"/>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Sources:</w:t>
      </w:r>
    </w:p>
    <w:p w14:paraId="79257A2F" w14:textId="77777777" w:rsidR="00A1350B" w:rsidRPr="00A1350B" w:rsidRDefault="00A1350B" w:rsidP="00A1350B">
      <w:pPr>
        <w:numPr>
          <w:ilvl w:val="1"/>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Jegadeesh and Titman (1993, 2001)</w:t>
      </w:r>
      <w:r w:rsidRPr="00A1350B">
        <w:rPr>
          <w:rFonts w:ascii="Arial" w:eastAsia="Times New Roman" w:hAnsi="Arial" w:cs="Arial"/>
          <w:kern w:val="0"/>
          <w:sz w:val="24"/>
          <w:szCs w:val="24"/>
          <w:lang w:val="en-GB" w:eastAsia="en-GB"/>
          <w14:ligatures w14:val="none"/>
        </w:rPr>
        <w:t xml:space="preserve"> – The seminal papers proving that momentum requires skipping the most recent month to avoid the short-term reversal effect.</w:t>
      </w:r>
    </w:p>
    <w:p w14:paraId="2DCD6778" w14:textId="77777777" w:rsidR="00A1350B" w:rsidRPr="00A1350B" w:rsidRDefault="00A1350B" w:rsidP="00A1350B">
      <w:pPr>
        <w:numPr>
          <w:ilvl w:val="1"/>
          <w:numId w:val="6"/>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Green, Hand, and Zhang (2017)</w:t>
      </w:r>
      <w:r w:rsidRPr="00A1350B">
        <w:rPr>
          <w:rFonts w:ascii="Arial" w:eastAsia="Times New Roman" w:hAnsi="Arial" w:cs="Arial"/>
          <w:kern w:val="0"/>
          <w:sz w:val="24"/>
          <w:szCs w:val="24"/>
          <w:lang w:val="en-GB" w:eastAsia="en-GB"/>
          <w14:ligatures w14:val="none"/>
        </w:rPr>
        <w:t xml:space="preserve"> on the standard composition of the "Factor Zoo."</w:t>
      </w:r>
    </w:p>
    <w:p w14:paraId="3C072CF4" w14:textId="77777777" w:rsidR="00A1350B" w:rsidRPr="00A1350B" w:rsidRDefault="00A1350B" w:rsidP="00A1350B">
      <w:pPr>
        <w:spacing w:after="100" w:afterAutospacing="1" w:line="240" w:lineRule="auto"/>
        <w:outlineLvl w:val="2"/>
        <w:rPr>
          <w:rFonts w:ascii="Arial" w:eastAsia="Times New Roman" w:hAnsi="Arial" w:cs="Arial"/>
          <w:b/>
          <w:bCs/>
          <w:kern w:val="0"/>
          <w:sz w:val="27"/>
          <w:szCs w:val="27"/>
          <w:lang w:val="en-GB" w:eastAsia="en-GB"/>
          <w14:ligatures w14:val="none"/>
        </w:rPr>
      </w:pPr>
      <w:r w:rsidRPr="00A1350B">
        <w:rPr>
          <w:rFonts w:ascii="Arial" w:eastAsia="Times New Roman" w:hAnsi="Arial" w:cs="Arial"/>
          <w:b/>
          <w:bCs/>
          <w:kern w:val="0"/>
          <w:sz w:val="27"/>
          <w:szCs w:val="27"/>
          <w:lang w:val="en-GB" w:eastAsia="en-GB"/>
          <w14:ligatures w14:val="none"/>
        </w:rPr>
        <w:t>7. Cross-Sectional Z-Scoring</w:t>
      </w:r>
    </w:p>
    <w:p w14:paraId="7A54559E" w14:textId="77777777" w:rsidR="00A1350B" w:rsidRPr="00A1350B" w:rsidRDefault="00A1350B" w:rsidP="00A1350B">
      <w:pPr>
        <w:numPr>
          <w:ilvl w:val="0"/>
          <w:numId w:val="7"/>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lastRenderedPageBreak/>
        <w:t>The Choice:</w:t>
      </w:r>
      <w:r w:rsidRPr="00A1350B">
        <w:rPr>
          <w:rFonts w:ascii="Arial" w:eastAsia="Times New Roman" w:hAnsi="Arial" w:cs="Arial"/>
          <w:kern w:val="0"/>
          <w:sz w:val="24"/>
          <w:szCs w:val="24"/>
          <w:lang w:val="en-GB" w:eastAsia="en-GB"/>
          <w14:ligatures w14:val="none"/>
        </w:rPr>
        <w:t xml:space="preserve"> Rather than feeding raw feature values to the ML model, every feature is converted to a Z-score relative only to the other stocks active </w:t>
      </w:r>
      <w:r w:rsidRPr="00A1350B">
        <w:rPr>
          <w:rFonts w:ascii="Arial" w:eastAsia="Times New Roman" w:hAnsi="Arial" w:cs="Arial"/>
          <w:i/>
          <w:iCs/>
          <w:kern w:val="0"/>
          <w:sz w:val="24"/>
          <w:szCs w:val="24"/>
          <w:lang w:val="en-GB" w:eastAsia="en-GB"/>
          <w14:ligatures w14:val="none"/>
        </w:rPr>
        <w:t>in that specific month</w:t>
      </w:r>
      <w:r w:rsidRPr="00A1350B">
        <w:rPr>
          <w:rFonts w:ascii="Arial" w:eastAsia="Times New Roman" w:hAnsi="Arial" w:cs="Arial"/>
          <w:kern w:val="0"/>
          <w:sz w:val="24"/>
          <w:szCs w:val="24"/>
          <w:lang w:val="en-GB" w:eastAsia="en-GB"/>
          <w14:ligatures w14:val="none"/>
        </w:rPr>
        <w:t>.</w:t>
      </w:r>
    </w:p>
    <w:p w14:paraId="10658B75" w14:textId="77777777" w:rsidR="00A1350B" w:rsidRPr="00A1350B" w:rsidRDefault="00A1350B" w:rsidP="00A1350B">
      <w:pPr>
        <w:numPr>
          <w:ilvl w:val="0"/>
          <w:numId w:val="7"/>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The Justification:</w:t>
      </w:r>
      <w:r w:rsidRPr="00A1350B">
        <w:rPr>
          <w:rFonts w:ascii="Arial" w:eastAsia="Times New Roman" w:hAnsi="Arial" w:cs="Arial"/>
          <w:kern w:val="0"/>
          <w:sz w:val="24"/>
          <w:szCs w:val="24"/>
          <w:lang w:val="en-GB" w:eastAsia="en-GB"/>
          <w14:ligatures w14:val="none"/>
        </w:rPr>
        <w:t xml:space="preserve"> Financial data is highly non-stationary (e.g., inflation in the 1980s vs. zero-rates in the 2010s). Cross-sectional Z-scoring removes macroeconomic regime shifts, forcing the model to evaluate relative stock strength. We use Z-scores rather than simple percentile ranks to preserve the magnitude (distance) of extreme outliers, allowing the model to recognize uniquely strong signals.</w:t>
      </w:r>
    </w:p>
    <w:p w14:paraId="22A3C120" w14:textId="77777777" w:rsidR="00A1350B" w:rsidRPr="00A1350B" w:rsidRDefault="00A1350B" w:rsidP="00A1350B">
      <w:pPr>
        <w:numPr>
          <w:ilvl w:val="0"/>
          <w:numId w:val="7"/>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b/>
          <w:bCs/>
          <w:kern w:val="0"/>
          <w:sz w:val="24"/>
          <w:szCs w:val="24"/>
          <w:lang w:val="en-GB" w:eastAsia="en-GB"/>
          <w14:ligatures w14:val="none"/>
        </w:rPr>
        <w:t>Sources:</w:t>
      </w:r>
    </w:p>
    <w:p w14:paraId="7F34B63F" w14:textId="77777777" w:rsidR="00A1350B" w:rsidRPr="00A1350B" w:rsidRDefault="00A1350B" w:rsidP="00A1350B">
      <w:pPr>
        <w:numPr>
          <w:ilvl w:val="1"/>
          <w:numId w:val="7"/>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Gu, Kelly, and Xiu (2020)</w:t>
      </w:r>
      <w:r w:rsidRPr="00A1350B">
        <w:rPr>
          <w:rFonts w:ascii="Arial" w:eastAsia="Times New Roman" w:hAnsi="Arial" w:cs="Arial"/>
          <w:kern w:val="0"/>
          <w:sz w:val="24"/>
          <w:szCs w:val="24"/>
          <w:lang w:val="en-GB" w:eastAsia="en-GB"/>
          <w14:ligatures w14:val="none"/>
        </w:rPr>
        <w:t xml:space="preserve"> – The definitive modern paper on Machine Learning in asset pricing, which explicitly uses cross-sectional scaling to normalize deep learning inputs.</w:t>
      </w:r>
    </w:p>
    <w:p w14:paraId="244095FC" w14:textId="77777777" w:rsidR="00A1350B" w:rsidRPr="00A1350B" w:rsidRDefault="00A1350B" w:rsidP="00A1350B">
      <w:pPr>
        <w:numPr>
          <w:ilvl w:val="1"/>
          <w:numId w:val="7"/>
        </w:numPr>
        <w:spacing w:after="100" w:afterAutospacing="1" w:line="240" w:lineRule="auto"/>
        <w:rPr>
          <w:rFonts w:ascii="Arial" w:eastAsia="Times New Roman" w:hAnsi="Arial" w:cs="Arial"/>
          <w:kern w:val="0"/>
          <w:sz w:val="24"/>
          <w:szCs w:val="24"/>
          <w:lang w:val="en-GB" w:eastAsia="en-GB"/>
          <w14:ligatures w14:val="none"/>
        </w:rPr>
      </w:pPr>
      <w:r w:rsidRPr="00A1350B">
        <w:rPr>
          <w:rFonts w:ascii="Arial" w:eastAsia="Times New Roman" w:hAnsi="Arial" w:cs="Arial"/>
          <w:i/>
          <w:iCs/>
          <w:kern w:val="0"/>
          <w:sz w:val="24"/>
          <w:szCs w:val="24"/>
          <w:lang w:val="en-GB" w:eastAsia="en-GB"/>
          <w14:ligatures w14:val="none"/>
        </w:rPr>
        <w:t>Kelly, Pruitt, and Su (2019)</w:t>
      </w:r>
      <w:r w:rsidRPr="00A1350B">
        <w:rPr>
          <w:rFonts w:ascii="Arial" w:eastAsia="Times New Roman" w:hAnsi="Arial" w:cs="Arial"/>
          <w:kern w:val="0"/>
          <w:sz w:val="24"/>
          <w:szCs w:val="24"/>
          <w:lang w:val="en-GB" w:eastAsia="en-GB"/>
          <w14:ligatures w14:val="none"/>
        </w:rPr>
        <w:t xml:space="preserve"> on characteristic-based cross-sectional asset pricing.</w:t>
      </w:r>
    </w:p>
    <w:p w14:paraId="57D908BC" w14:textId="77777777" w:rsidR="00A929A5" w:rsidRDefault="00A929A5"/>
    <w:p w14:paraId="3A0905CB" w14:textId="77777777" w:rsidR="00665CE0" w:rsidRPr="00665CE0" w:rsidRDefault="00665CE0" w:rsidP="00665CE0">
      <w:pPr>
        <w:spacing w:after="100" w:afterAutospacing="1" w:line="240" w:lineRule="auto"/>
        <w:outlineLvl w:val="0"/>
        <w:rPr>
          <w:rFonts w:ascii="Arial" w:eastAsia="Times New Roman" w:hAnsi="Arial" w:cs="Arial"/>
          <w:b/>
          <w:bCs/>
          <w:kern w:val="36"/>
          <w:sz w:val="48"/>
          <w:szCs w:val="48"/>
          <w:lang w:val="en-GB" w:eastAsia="en-GB"/>
          <w14:ligatures w14:val="none"/>
        </w:rPr>
      </w:pPr>
      <w:r w:rsidRPr="00665CE0">
        <w:rPr>
          <w:rFonts w:ascii="Arial" w:eastAsia="Times New Roman" w:hAnsi="Arial" w:cs="Arial"/>
          <w:b/>
          <w:bCs/>
          <w:kern w:val="36"/>
          <w:sz w:val="48"/>
          <w:szCs w:val="48"/>
          <w:lang w:val="en-GB" w:eastAsia="en-GB"/>
          <w14:ligatures w14:val="none"/>
        </w:rPr>
        <w:t>Machine Learning &amp; Strategy Methodology Summary</w:t>
      </w:r>
    </w:p>
    <w:p w14:paraId="0730159D"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1. Smart Money Integration &amp; Publication Lag</w:t>
      </w:r>
    </w:p>
    <w:p w14:paraId="5AB9EBD8" w14:textId="77777777" w:rsidR="00665CE0" w:rsidRPr="00665CE0" w:rsidRDefault="00665CE0" w:rsidP="00665CE0">
      <w:pPr>
        <w:numPr>
          <w:ilvl w:val="0"/>
          <w:numId w:val="8"/>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We engineered three "Smart Money" features from mutual fund holdings: Average Active Weight, Fund Breadth (Count), and Conviction (</w:t>
      </w:r>
      <w:proofErr w:type="gramStart"/>
      <w:r w:rsidRPr="00665CE0">
        <w:rPr>
          <w:rFonts w:ascii="Arial" w:eastAsia="Times New Roman" w:hAnsi="Arial" w:cs="Arial"/>
          <w:kern w:val="0"/>
          <w:sz w:val="24"/>
          <w:szCs w:val="24"/>
          <w:lang w:val="en-GB" w:eastAsia="en-GB"/>
          <w14:ligatures w14:val="none"/>
        </w:rPr>
        <w:t>Top-10</w:t>
      </w:r>
      <w:proofErr w:type="gramEnd"/>
      <w:r w:rsidRPr="00665CE0">
        <w:rPr>
          <w:rFonts w:ascii="Arial" w:eastAsia="Times New Roman" w:hAnsi="Arial" w:cs="Arial"/>
          <w:kern w:val="0"/>
          <w:sz w:val="24"/>
          <w:szCs w:val="24"/>
          <w:lang w:val="en-GB" w:eastAsia="en-GB"/>
          <w14:ligatures w14:val="none"/>
        </w:rPr>
        <w:t xml:space="preserve"> Count). Crucially, we applied a </w:t>
      </w:r>
      <w:r w:rsidRPr="00665CE0">
        <w:rPr>
          <w:rFonts w:ascii="Arial" w:eastAsia="Times New Roman" w:hAnsi="Arial" w:cs="Arial"/>
          <w:b/>
          <w:bCs/>
          <w:kern w:val="0"/>
          <w:sz w:val="24"/>
          <w:szCs w:val="24"/>
          <w:lang w:val="en-GB" w:eastAsia="en-GB"/>
          <w14:ligatures w14:val="none"/>
        </w:rPr>
        <w:t>1-month lag</w:t>
      </w:r>
      <w:r w:rsidRPr="00665CE0">
        <w:rPr>
          <w:rFonts w:ascii="Arial" w:eastAsia="Times New Roman" w:hAnsi="Arial" w:cs="Arial"/>
          <w:kern w:val="0"/>
          <w:sz w:val="24"/>
          <w:szCs w:val="24"/>
          <w:lang w:val="en-GB" w:eastAsia="en-GB"/>
          <w14:ligatures w14:val="none"/>
        </w:rPr>
        <w:t xml:space="preserve"> to this data before merging it with the stock features.</w:t>
      </w:r>
    </w:p>
    <w:p w14:paraId="2999A612" w14:textId="77777777" w:rsidR="00665CE0" w:rsidRPr="00665CE0" w:rsidRDefault="00665CE0" w:rsidP="00665CE0">
      <w:pPr>
        <w:numPr>
          <w:ilvl w:val="0"/>
          <w:numId w:val="8"/>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Justification:</w:t>
      </w:r>
      <w:r w:rsidRPr="00665CE0">
        <w:rPr>
          <w:rFonts w:ascii="Arial" w:eastAsia="Times New Roman" w:hAnsi="Arial" w:cs="Arial"/>
          <w:kern w:val="0"/>
          <w:sz w:val="24"/>
          <w:szCs w:val="24"/>
          <w:lang w:val="en-GB" w:eastAsia="en-GB"/>
          <w14:ligatures w14:val="none"/>
        </w:rPr>
        <w:t xml:space="preserve"> Mutual funds do not instantly broadcast their portfolios to the public. If a retail or external quantitative strategy trades on the exact day the month ends, assuming knowledge of that day's mutual fund holdings introduces severe </w:t>
      </w:r>
      <w:r w:rsidRPr="00665CE0">
        <w:rPr>
          <w:rFonts w:ascii="Arial" w:eastAsia="Times New Roman" w:hAnsi="Arial" w:cs="Arial"/>
          <w:b/>
          <w:bCs/>
          <w:kern w:val="0"/>
          <w:sz w:val="24"/>
          <w:szCs w:val="24"/>
          <w:lang w:val="en-GB" w:eastAsia="en-GB"/>
          <w14:ligatures w14:val="none"/>
        </w:rPr>
        <w:t>Look-Ahead Bias</w:t>
      </w:r>
      <w:r w:rsidRPr="00665CE0">
        <w:rPr>
          <w:rFonts w:ascii="Arial" w:eastAsia="Times New Roman" w:hAnsi="Arial" w:cs="Arial"/>
          <w:kern w:val="0"/>
          <w:sz w:val="24"/>
          <w:szCs w:val="24"/>
          <w:lang w:val="en-GB" w:eastAsia="en-GB"/>
          <w14:ligatures w14:val="none"/>
        </w:rPr>
        <w:t>. Lagging the data by one month simulates a realistic reporting delay.</w:t>
      </w:r>
    </w:p>
    <w:p w14:paraId="0684C9E6" w14:textId="77777777" w:rsidR="00665CE0" w:rsidRPr="00665CE0" w:rsidRDefault="00665CE0" w:rsidP="00665CE0">
      <w:pPr>
        <w:numPr>
          <w:ilvl w:val="0"/>
          <w:numId w:val="8"/>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2F42295D" w14:textId="77777777" w:rsidR="00665CE0" w:rsidRPr="00665CE0" w:rsidRDefault="00665CE0" w:rsidP="00665CE0">
      <w:pPr>
        <w:numPr>
          <w:ilvl w:val="1"/>
          <w:numId w:val="8"/>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 xml:space="preserve">Cohen, Polk, and </w:t>
      </w:r>
      <w:proofErr w:type="spellStart"/>
      <w:r w:rsidRPr="00665CE0">
        <w:rPr>
          <w:rFonts w:ascii="Arial" w:eastAsia="Times New Roman" w:hAnsi="Arial" w:cs="Arial"/>
          <w:i/>
          <w:iCs/>
          <w:kern w:val="0"/>
          <w:sz w:val="24"/>
          <w:szCs w:val="24"/>
          <w:lang w:val="en-GB" w:eastAsia="en-GB"/>
          <w14:ligatures w14:val="none"/>
        </w:rPr>
        <w:t>Silli</w:t>
      </w:r>
      <w:proofErr w:type="spellEnd"/>
      <w:r w:rsidRPr="00665CE0">
        <w:rPr>
          <w:rFonts w:ascii="Arial" w:eastAsia="Times New Roman" w:hAnsi="Arial" w:cs="Arial"/>
          <w:i/>
          <w:iCs/>
          <w:kern w:val="0"/>
          <w:sz w:val="24"/>
          <w:szCs w:val="24"/>
          <w:lang w:val="en-GB" w:eastAsia="en-GB"/>
          <w14:ligatures w14:val="none"/>
        </w:rPr>
        <w:t xml:space="preserve"> (2010), "Best Ideas"</w:t>
      </w:r>
      <w:r w:rsidRPr="00665CE0">
        <w:rPr>
          <w:rFonts w:ascii="Arial" w:eastAsia="Times New Roman" w:hAnsi="Arial" w:cs="Arial"/>
          <w:kern w:val="0"/>
          <w:sz w:val="24"/>
          <w:szCs w:val="24"/>
          <w:lang w:val="en-GB" w:eastAsia="en-GB"/>
          <w14:ligatures w14:val="none"/>
        </w:rPr>
        <w:t xml:space="preserve"> – Proves that the highest-conviction (Top 10) active weights in mutual fund portfolios significantly outperform the rest of the portfolio and the market.</w:t>
      </w:r>
    </w:p>
    <w:p w14:paraId="1839A017" w14:textId="77777777" w:rsidR="00665CE0" w:rsidRPr="00665CE0" w:rsidRDefault="00665CE0" w:rsidP="00665CE0">
      <w:pPr>
        <w:numPr>
          <w:ilvl w:val="1"/>
          <w:numId w:val="8"/>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Banz and Breen (1986)</w:t>
      </w:r>
      <w:r w:rsidRPr="00665CE0">
        <w:rPr>
          <w:rFonts w:ascii="Arial" w:eastAsia="Times New Roman" w:hAnsi="Arial" w:cs="Arial"/>
          <w:kern w:val="0"/>
          <w:sz w:val="24"/>
          <w:szCs w:val="24"/>
          <w:lang w:val="en-GB" w:eastAsia="en-GB"/>
          <w14:ligatures w14:val="none"/>
        </w:rPr>
        <w:t xml:space="preserve"> – The classic paper establishing the necessity of accounting for data publication lags (Look-Ahead Bias) in quantitative </w:t>
      </w:r>
      <w:proofErr w:type="spellStart"/>
      <w:r w:rsidRPr="00665CE0">
        <w:rPr>
          <w:rFonts w:ascii="Arial" w:eastAsia="Times New Roman" w:hAnsi="Arial" w:cs="Arial"/>
          <w:kern w:val="0"/>
          <w:sz w:val="24"/>
          <w:szCs w:val="24"/>
          <w:lang w:val="en-GB" w:eastAsia="en-GB"/>
          <w14:ligatures w14:val="none"/>
        </w:rPr>
        <w:t>backtesting</w:t>
      </w:r>
      <w:proofErr w:type="spellEnd"/>
      <w:r w:rsidRPr="00665CE0">
        <w:rPr>
          <w:rFonts w:ascii="Arial" w:eastAsia="Times New Roman" w:hAnsi="Arial" w:cs="Arial"/>
          <w:kern w:val="0"/>
          <w:sz w:val="24"/>
          <w:szCs w:val="24"/>
          <w:lang w:val="en-GB" w:eastAsia="en-GB"/>
          <w14:ligatures w14:val="none"/>
        </w:rPr>
        <w:t>.</w:t>
      </w:r>
    </w:p>
    <w:p w14:paraId="75BF5AE2"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2. Target Neutralization (Cross-Sectional Z-Scoring)</w:t>
      </w:r>
    </w:p>
    <w:p w14:paraId="490E89B6" w14:textId="77777777" w:rsidR="00665CE0" w:rsidRPr="00665CE0" w:rsidRDefault="00665CE0" w:rsidP="00665CE0">
      <w:pPr>
        <w:numPr>
          <w:ilvl w:val="0"/>
          <w:numId w:val="9"/>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Instead of predicting absolute future returns (e.g., +15% or -5%), the ML target variable ($y$) was cross-sectionally Z-scored for each specific month.</w:t>
      </w:r>
    </w:p>
    <w:p w14:paraId="4DC5DD76" w14:textId="77777777" w:rsidR="00665CE0" w:rsidRPr="00665CE0" w:rsidRDefault="00665CE0" w:rsidP="00665CE0">
      <w:pPr>
        <w:numPr>
          <w:ilvl w:val="0"/>
          <w:numId w:val="9"/>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Justification:</w:t>
      </w:r>
      <w:r w:rsidRPr="00665CE0">
        <w:rPr>
          <w:rFonts w:ascii="Arial" w:eastAsia="Times New Roman" w:hAnsi="Arial" w:cs="Arial"/>
          <w:kern w:val="0"/>
          <w:sz w:val="24"/>
          <w:szCs w:val="24"/>
          <w:lang w:val="en-GB" w:eastAsia="en-GB"/>
          <w14:ligatures w14:val="none"/>
        </w:rPr>
        <w:t xml:space="preserve"> Financial markets are subject to drastic macroeconomic regime shifts. If the target is left raw, the ML model attempts to predict the broader market direction (which is nearly impossible) rather than stock-specific </w:t>
      </w:r>
      <w:r w:rsidRPr="00665CE0">
        <w:rPr>
          <w:rFonts w:ascii="Arial" w:eastAsia="Times New Roman" w:hAnsi="Arial" w:cs="Arial"/>
          <w:kern w:val="0"/>
          <w:sz w:val="24"/>
          <w:szCs w:val="24"/>
          <w:lang w:val="en-GB" w:eastAsia="en-GB"/>
          <w14:ligatures w14:val="none"/>
        </w:rPr>
        <w:lastRenderedPageBreak/>
        <w:t>alpha. By cross-sectionally scaling the target to a mean of 0 and standard deviation of 1, we neutralize the macro market return. The model acts as a "Pure Alpha Engine," focusing exclusively on ranking which stocks will perform relatively better than their peers regardless of whether the market crashes or rallies.</w:t>
      </w:r>
    </w:p>
    <w:p w14:paraId="3ACDE99C" w14:textId="77777777" w:rsidR="00665CE0" w:rsidRPr="00665CE0" w:rsidRDefault="00665CE0" w:rsidP="00665CE0">
      <w:pPr>
        <w:numPr>
          <w:ilvl w:val="0"/>
          <w:numId w:val="9"/>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0887D52D" w14:textId="77777777" w:rsidR="00665CE0" w:rsidRPr="00665CE0" w:rsidRDefault="00665CE0" w:rsidP="00665CE0">
      <w:pPr>
        <w:numPr>
          <w:ilvl w:val="1"/>
          <w:numId w:val="9"/>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Gu, Kelly, and Xiu (2020), "Empirical Asset Pricing via Machine Learning"</w:t>
      </w:r>
      <w:r w:rsidRPr="00665CE0">
        <w:rPr>
          <w:rFonts w:ascii="Arial" w:eastAsia="Times New Roman" w:hAnsi="Arial" w:cs="Arial"/>
          <w:kern w:val="0"/>
          <w:sz w:val="24"/>
          <w:szCs w:val="24"/>
          <w:lang w:val="en-GB" w:eastAsia="en-GB"/>
          <w14:ligatures w14:val="none"/>
        </w:rPr>
        <w:t xml:space="preserve"> – The definitive framework for applying cross-sectional scaling to targets and features in financial machine learning panels.</w:t>
      </w:r>
    </w:p>
    <w:p w14:paraId="5E09C81B"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3. Chronological Time-Series Splitting</w:t>
      </w:r>
    </w:p>
    <w:p w14:paraId="384EACD2" w14:textId="77777777" w:rsidR="00665CE0" w:rsidRPr="00665CE0" w:rsidRDefault="00665CE0" w:rsidP="00665CE0">
      <w:pPr>
        <w:numPr>
          <w:ilvl w:val="0"/>
          <w:numId w:val="10"/>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We rejected standard K-Fold Cross-Validation (which randomly shuffles data) and implemented a strict, time-based split using Scikit-Learn’s </w:t>
      </w:r>
      <w:proofErr w:type="spellStart"/>
      <w:r w:rsidRPr="00665CE0">
        <w:rPr>
          <w:rFonts w:ascii="Arial" w:eastAsia="Times New Roman" w:hAnsi="Arial" w:cs="Arial"/>
          <w:kern w:val="0"/>
          <w:sz w:val="20"/>
          <w:szCs w:val="20"/>
          <w:lang w:val="en-GB" w:eastAsia="en-GB"/>
          <w14:ligatures w14:val="none"/>
        </w:rPr>
        <w:t>PredefinedSplit</w:t>
      </w:r>
      <w:proofErr w:type="spellEnd"/>
      <w:r w:rsidRPr="00665CE0">
        <w:rPr>
          <w:rFonts w:ascii="Arial" w:eastAsia="Times New Roman" w:hAnsi="Arial" w:cs="Arial"/>
          <w:kern w:val="0"/>
          <w:sz w:val="24"/>
          <w:szCs w:val="24"/>
          <w:lang w:val="en-GB" w:eastAsia="en-GB"/>
          <w14:ligatures w14:val="none"/>
        </w:rPr>
        <w:t xml:space="preserve">. The data was explicitly sliced into historical training, a </w:t>
      </w:r>
      <w:proofErr w:type="spellStart"/>
      <w:r w:rsidRPr="00665CE0">
        <w:rPr>
          <w:rFonts w:ascii="Arial" w:eastAsia="Times New Roman" w:hAnsi="Arial" w:cs="Arial"/>
          <w:kern w:val="0"/>
          <w:sz w:val="24"/>
          <w:szCs w:val="24"/>
          <w:lang w:val="en-GB" w:eastAsia="en-GB"/>
          <w14:ligatures w14:val="none"/>
        </w:rPr>
        <w:t>lockboxed</w:t>
      </w:r>
      <w:proofErr w:type="spellEnd"/>
      <w:r w:rsidRPr="00665CE0">
        <w:rPr>
          <w:rFonts w:ascii="Arial" w:eastAsia="Times New Roman" w:hAnsi="Arial" w:cs="Arial"/>
          <w:kern w:val="0"/>
          <w:sz w:val="24"/>
          <w:szCs w:val="24"/>
          <w:lang w:val="en-GB" w:eastAsia="en-GB"/>
          <w14:ligatures w14:val="none"/>
        </w:rPr>
        <w:t xml:space="preserve"> validation period (2018–2021), and an unseen simulation test period (2022–2025).</w:t>
      </w:r>
    </w:p>
    <w:p w14:paraId="3D48B52D" w14:textId="77777777" w:rsidR="00665CE0" w:rsidRPr="00665CE0" w:rsidRDefault="00665CE0" w:rsidP="00665CE0">
      <w:pPr>
        <w:numPr>
          <w:ilvl w:val="0"/>
          <w:numId w:val="10"/>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Justification:</w:t>
      </w:r>
      <w:r w:rsidRPr="00665CE0">
        <w:rPr>
          <w:rFonts w:ascii="Arial" w:eastAsia="Times New Roman" w:hAnsi="Arial" w:cs="Arial"/>
          <w:kern w:val="0"/>
          <w:sz w:val="24"/>
          <w:szCs w:val="24"/>
          <w:lang w:val="en-GB" w:eastAsia="en-GB"/>
          <w14:ligatures w14:val="none"/>
        </w:rPr>
        <w:t xml:space="preserve"> Financial data is time-dependent. Standard K-Fold validation allows future data (e.g., the 2020 COVID crash) to leak into the training set used to predict past data (e.g., 2018). Strict chronological splitting guarantees absolute out-of-sample integrity.</w:t>
      </w:r>
    </w:p>
    <w:p w14:paraId="295B64BA" w14:textId="77777777" w:rsidR="00665CE0" w:rsidRPr="00665CE0" w:rsidRDefault="00665CE0" w:rsidP="00665CE0">
      <w:pPr>
        <w:numPr>
          <w:ilvl w:val="0"/>
          <w:numId w:val="10"/>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32340432" w14:textId="77777777" w:rsidR="00665CE0" w:rsidRPr="00665CE0" w:rsidRDefault="00665CE0" w:rsidP="00665CE0">
      <w:pPr>
        <w:numPr>
          <w:ilvl w:val="1"/>
          <w:numId w:val="10"/>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Lopez de Prado (2018), "Advances in Financial Machine Learning"</w:t>
      </w:r>
      <w:r w:rsidRPr="00665CE0">
        <w:rPr>
          <w:rFonts w:ascii="Arial" w:eastAsia="Times New Roman" w:hAnsi="Arial" w:cs="Arial"/>
          <w:kern w:val="0"/>
          <w:sz w:val="24"/>
          <w:szCs w:val="24"/>
          <w:lang w:val="en-GB" w:eastAsia="en-GB"/>
          <w14:ligatures w14:val="none"/>
        </w:rPr>
        <w:t xml:space="preserve"> – Details the extreme dangers of K-Fold cross-validation in finance and mandates chronological splitting/embargoing.</w:t>
      </w:r>
    </w:p>
    <w:p w14:paraId="1091B6BA"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4. Model Selection and Aggressive Regularization</w:t>
      </w:r>
    </w:p>
    <w:p w14:paraId="411BB8C4" w14:textId="77777777" w:rsidR="00665CE0" w:rsidRPr="00665CE0" w:rsidRDefault="00665CE0" w:rsidP="00665CE0">
      <w:pPr>
        <w:numPr>
          <w:ilvl w:val="0"/>
          <w:numId w:val="11"/>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We deployed four distinct algorithms: Ridge Regression (Linear), Random Forest (Bagging), </w:t>
      </w:r>
      <w:proofErr w:type="spellStart"/>
      <w:r w:rsidRPr="00665CE0">
        <w:rPr>
          <w:rFonts w:ascii="Arial" w:eastAsia="Times New Roman" w:hAnsi="Arial" w:cs="Arial"/>
          <w:kern w:val="0"/>
          <w:sz w:val="24"/>
          <w:szCs w:val="24"/>
          <w:lang w:val="en-GB" w:eastAsia="en-GB"/>
          <w14:ligatures w14:val="none"/>
        </w:rPr>
        <w:t>XGBoost</w:t>
      </w:r>
      <w:proofErr w:type="spellEnd"/>
      <w:r w:rsidRPr="00665CE0">
        <w:rPr>
          <w:rFonts w:ascii="Arial" w:eastAsia="Times New Roman" w:hAnsi="Arial" w:cs="Arial"/>
          <w:kern w:val="0"/>
          <w:sz w:val="24"/>
          <w:szCs w:val="24"/>
          <w:lang w:val="en-GB" w:eastAsia="en-GB"/>
          <w14:ligatures w14:val="none"/>
        </w:rPr>
        <w:t xml:space="preserve"> (Boosting), and a Multi-Layer Perceptron (Neural Network). Crucially, the hyperparameter grids aggressively restricted model complexity (e.g., limiting </w:t>
      </w:r>
      <w:proofErr w:type="spellStart"/>
      <w:r w:rsidRPr="00665CE0">
        <w:rPr>
          <w:rFonts w:ascii="Arial" w:eastAsia="Times New Roman" w:hAnsi="Arial" w:cs="Arial"/>
          <w:kern w:val="0"/>
          <w:sz w:val="24"/>
          <w:szCs w:val="24"/>
          <w:lang w:val="en-GB" w:eastAsia="en-GB"/>
          <w14:ligatures w14:val="none"/>
        </w:rPr>
        <w:t>XGBoost</w:t>
      </w:r>
      <w:proofErr w:type="spellEnd"/>
      <w:r w:rsidRPr="00665CE0">
        <w:rPr>
          <w:rFonts w:ascii="Arial" w:eastAsia="Times New Roman" w:hAnsi="Arial" w:cs="Arial"/>
          <w:kern w:val="0"/>
          <w:sz w:val="24"/>
          <w:szCs w:val="24"/>
          <w:lang w:val="en-GB" w:eastAsia="en-GB"/>
          <w14:ligatures w14:val="none"/>
        </w:rPr>
        <w:t xml:space="preserve"> to </w:t>
      </w:r>
      <w:proofErr w:type="spellStart"/>
      <w:r w:rsidRPr="00665CE0">
        <w:rPr>
          <w:rFonts w:ascii="Arial" w:eastAsia="Times New Roman" w:hAnsi="Arial" w:cs="Arial"/>
          <w:kern w:val="0"/>
          <w:sz w:val="20"/>
          <w:szCs w:val="20"/>
          <w:lang w:val="en-GB" w:eastAsia="en-GB"/>
          <w14:ligatures w14:val="none"/>
        </w:rPr>
        <w:t>max_depth</w:t>
      </w:r>
      <w:proofErr w:type="spellEnd"/>
      <w:r w:rsidRPr="00665CE0">
        <w:rPr>
          <w:rFonts w:ascii="Arial" w:eastAsia="Times New Roman" w:hAnsi="Arial" w:cs="Arial"/>
          <w:kern w:val="0"/>
          <w:sz w:val="20"/>
          <w:szCs w:val="20"/>
          <w:lang w:val="en-GB" w:eastAsia="en-GB"/>
          <w14:ligatures w14:val="none"/>
        </w:rPr>
        <w:t xml:space="preserve"> = 3</w:t>
      </w:r>
      <w:r w:rsidRPr="00665CE0">
        <w:rPr>
          <w:rFonts w:ascii="Arial" w:eastAsia="Times New Roman" w:hAnsi="Arial" w:cs="Arial"/>
          <w:kern w:val="0"/>
          <w:sz w:val="24"/>
          <w:szCs w:val="24"/>
          <w:lang w:val="en-GB" w:eastAsia="en-GB"/>
          <w14:ligatures w14:val="none"/>
        </w:rPr>
        <w:t xml:space="preserve"> and the MLP to a small </w:t>
      </w:r>
      <w:r w:rsidRPr="00665CE0">
        <w:rPr>
          <w:rFonts w:ascii="Arial" w:eastAsia="Times New Roman" w:hAnsi="Arial" w:cs="Arial"/>
          <w:kern w:val="0"/>
          <w:sz w:val="20"/>
          <w:szCs w:val="20"/>
          <w:lang w:val="en-GB" w:eastAsia="en-GB"/>
          <w14:ligatures w14:val="none"/>
        </w:rPr>
        <w:t>(16, 8)</w:t>
      </w:r>
      <w:r w:rsidRPr="00665CE0">
        <w:rPr>
          <w:rFonts w:ascii="Arial" w:eastAsia="Times New Roman" w:hAnsi="Arial" w:cs="Arial"/>
          <w:kern w:val="0"/>
          <w:sz w:val="24"/>
          <w:szCs w:val="24"/>
          <w:lang w:val="en-GB" w:eastAsia="en-GB"/>
          <w14:ligatures w14:val="none"/>
        </w:rPr>
        <w:t xml:space="preserve"> layer architecture).</w:t>
      </w:r>
    </w:p>
    <w:p w14:paraId="5F8BFDB6" w14:textId="77777777" w:rsidR="00665CE0" w:rsidRPr="00665CE0" w:rsidRDefault="00665CE0" w:rsidP="00665CE0">
      <w:pPr>
        <w:numPr>
          <w:ilvl w:val="0"/>
          <w:numId w:val="11"/>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Justification:</w:t>
      </w:r>
      <w:r w:rsidRPr="00665CE0">
        <w:rPr>
          <w:rFonts w:ascii="Arial" w:eastAsia="Times New Roman" w:hAnsi="Arial" w:cs="Arial"/>
          <w:kern w:val="0"/>
          <w:sz w:val="24"/>
          <w:szCs w:val="24"/>
          <w:lang w:val="en-GB" w:eastAsia="en-GB"/>
          <w14:ligatures w14:val="none"/>
        </w:rPr>
        <w:t xml:space="preserve"> Financial asset returns have an exceptionally low signal-to-noise ratio. Deep trees or massive neural networks will perfectly memorize the random noise in the training and validation sets, leading to catastrophic failure out-of-sample. Restricting tree depth and network size acts as a structural regularization, forcing the algorithms to only split on broad, universal economic signals.</w:t>
      </w:r>
    </w:p>
    <w:p w14:paraId="18910609" w14:textId="77777777" w:rsidR="00665CE0" w:rsidRPr="00665CE0" w:rsidRDefault="00665CE0" w:rsidP="00665CE0">
      <w:pPr>
        <w:numPr>
          <w:ilvl w:val="0"/>
          <w:numId w:val="11"/>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0EA155B9" w14:textId="77777777" w:rsidR="00665CE0" w:rsidRPr="00665CE0" w:rsidRDefault="00665CE0" w:rsidP="00665CE0">
      <w:pPr>
        <w:numPr>
          <w:ilvl w:val="1"/>
          <w:numId w:val="11"/>
        </w:numPr>
        <w:spacing w:after="100" w:afterAutospacing="1" w:line="240" w:lineRule="auto"/>
        <w:rPr>
          <w:rFonts w:ascii="Arial" w:eastAsia="Times New Roman" w:hAnsi="Arial" w:cs="Arial"/>
          <w:kern w:val="0"/>
          <w:sz w:val="24"/>
          <w:szCs w:val="24"/>
          <w:lang w:val="en-GB" w:eastAsia="en-GB"/>
          <w14:ligatures w14:val="none"/>
        </w:rPr>
      </w:pPr>
      <w:proofErr w:type="spellStart"/>
      <w:r w:rsidRPr="00665CE0">
        <w:rPr>
          <w:rFonts w:ascii="Arial" w:eastAsia="Times New Roman" w:hAnsi="Arial" w:cs="Arial"/>
          <w:i/>
          <w:iCs/>
          <w:kern w:val="0"/>
          <w:sz w:val="24"/>
          <w:szCs w:val="24"/>
          <w:lang w:val="en-GB" w:eastAsia="en-GB"/>
          <w14:ligatures w14:val="none"/>
        </w:rPr>
        <w:t>Coqueret</w:t>
      </w:r>
      <w:proofErr w:type="spellEnd"/>
      <w:r w:rsidRPr="00665CE0">
        <w:rPr>
          <w:rFonts w:ascii="Arial" w:eastAsia="Times New Roman" w:hAnsi="Arial" w:cs="Arial"/>
          <w:i/>
          <w:iCs/>
          <w:kern w:val="0"/>
          <w:sz w:val="24"/>
          <w:szCs w:val="24"/>
          <w:lang w:val="en-GB" w:eastAsia="en-GB"/>
          <w14:ligatures w14:val="none"/>
        </w:rPr>
        <w:t xml:space="preserve"> and Guida (2020), "Machine Learning for Factor Investing"</w:t>
      </w:r>
      <w:r w:rsidRPr="00665CE0">
        <w:rPr>
          <w:rFonts w:ascii="Arial" w:eastAsia="Times New Roman" w:hAnsi="Arial" w:cs="Arial"/>
          <w:kern w:val="0"/>
          <w:sz w:val="24"/>
          <w:szCs w:val="24"/>
          <w:lang w:val="en-GB" w:eastAsia="en-GB"/>
          <w14:ligatures w14:val="none"/>
        </w:rPr>
        <w:t xml:space="preserve"> – Highlights the necessity of shallow trees and heavy regularization when predicting noisy cross-sectional equity returns.</w:t>
      </w:r>
    </w:p>
    <w:p w14:paraId="5E625480"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5. The Ensemble Method</w:t>
      </w:r>
    </w:p>
    <w:p w14:paraId="7D509879" w14:textId="77777777" w:rsidR="00665CE0" w:rsidRPr="00665CE0" w:rsidRDefault="00665CE0" w:rsidP="00665CE0">
      <w:pPr>
        <w:numPr>
          <w:ilvl w:val="0"/>
          <w:numId w:val="12"/>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The final predicted Alpha score for the simulation is not derived from a single model, but rather a simple average of the predictions from the underlying models (Ridge, RF, </w:t>
      </w:r>
      <w:proofErr w:type="spellStart"/>
      <w:r w:rsidRPr="00665CE0">
        <w:rPr>
          <w:rFonts w:ascii="Arial" w:eastAsia="Times New Roman" w:hAnsi="Arial" w:cs="Arial"/>
          <w:kern w:val="0"/>
          <w:sz w:val="24"/>
          <w:szCs w:val="24"/>
          <w:lang w:val="en-GB" w:eastAsia="en-GB"/>
          <w14:ligatures w14:val="none"/>
        </w:rPr>
        <w:t>XGBoost</w:t>
      </w:r>
      <w:proofErr w:type="spellEnd"/>
      <w:r w:rsidRPr="00665CE0">
        <w:rPr>
          <w:rFonts w:ascii="Arial" w:eastAsia="Times New Roman" w:hAnsi="Arial" w:cs="Arial"/>
          <w:kern w:val="0"/>
          <w:sz w:val="24"/>
          <w:szCs w:val="24"/>
          <w:lang w:val="en-GB" w:eastAsia="en-GB"/>
          <w14:ligatures w14:val="none"/>
        </w:rPr>
        <w:t>, MLP).</w:t>
      </w:r>
    </w:p>
    <w:p w14:paraId="17F66254" w14:textId="77777777" w:rsidR="00665CE0" w:rsidRPr="00665CE0" w:rsidRDefault="00665CE0" w:rsidP="00665CE0">
      <w:pPr>
        <w:numPr>
          <w:ilvl w:val="0"/>
          <w:numId w:val="12"/>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lastRenderedPageBreak/>
        <w:t>The Justification:</w:t>
      </w:r>
      <w:r w:rsidRPr="00665CE0">
        <w:rPr>
          <w:rFonts w:ascii="Arial" w:eastAsia="Times New Roman" w:hAnsi="Arial" w:cs="Arial"/>
          <w:kern w:val="0"/>
          <w:sz w:val="24"/>
          <w:szCs w:val="24"/>
          <w:lang w:val="en-GB" w:eastAsia="en-GB"/>
          <w14:ligatures w14:val="none"/>
        </w:rPr>
        <w:t xml:space="preserve"> Different algorithms have different blind spots. A linear model might underfit, while a boosting model might slightly overfit. </w:t>
      </w:r>
      <w:proofErr w:type="spellStart"/>
      <w:r w:rsidRPr="00665CE0">
        <w:rPr>
          <w:rFonts w:ascii="Arial" w:eastAsia="Times New Roman" w:hAnsi="Arial" w:cs="Arial"/>
          <w:kern w:val="0"/>
          <w:sz w:val="24"/>
          <w:szCs w:val="24"/>
          <w:lang w:val="en-GB" w:eastAsia="en-GB"/>
          <w14:ligatures w14:val="none"/>
        </w:rPr>
        <w:t>Ensembling</w:t>
      </w:r>
      <w:proofErr w:type="spellEnd"/>
      <w:r w:rsidRPr="00665CE0">
        <w:rPr>
          <w:rFonts w:ascii="Arial" w:eastAsia="Times New Roman" w:hAnsi="Arial" w:cs="Arial"/>
          <w:kern w:val="0"/>
          <w:sz w:val="24"/>
          <w:szCs w:val="24"/>
          <w:lang w:val="en-GB" w:eastAsia="en-GB"/>
          <w14:ligatures w14:val="none"/>
        </w:rPr>
        <w:t xml:space="preserve"> allows the uncorrelated random errors of the individual models to cancel each other out, while the true underlying signal (which all models detect) is amplified.</w:t>
      </w:r>
    </w:p>
    <w:p w14:paraId="6226FA78" w14:textId="77777777" w:rsidR="00665CE0" w:rsidRPr="00665CE0" w:rsidRDefault="00665CE0" w:rsidP="00665CE0">
      <w:pPr>
        <w:numPr>
          <w:ilvl w:val="0"/>
          <w:numId w:val="12"/>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0C63B227" w14:textId="77777777" w:rsidR="00665CE0" w:rsidRPr="00665CE0" w:rsidRDefault="00665CE0" w:rsidP="00665CE0">
      <w:pPr>
        <w:numPr>
          <w:ilvl w:val="1"/>
          <w:numId w:val="12"/>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Dietterich (2000), "Ensemble Methods in Machine Learning"</w:t>
      </w:r>
      <w:r w:rsidRPr="00665CE0">
        <w:rPr>
          <w:rFonts w:ascii="Arial" w:eastAsia="Times New Roman" w:hAnsi="Arial" w:cs="Arial"/>
          <w:kern w:val="0"/>
          <w:sz w:val="24"/>
          <w:szCs w:val="24"/>
          <w:lang w:val="en-GB" w:eastAsia="en-GB"/>
          <w14:ligatures w14:val="none"/>
        </w:rPr>
        <w:t xml:space="preserve"> – Proves that ensembles reduce variance and consistently outperform single models.</w:t>
      </w:r>
    </w:p>
    <w:p w14:paraId="67B62C80" w14:textId="77777777" w:rsidR="00665CE0" w:rsidRPr="00665CE0" w:rsidRDefault="00665CE0" w:rsidP="00665CE0">
      <w:pPr>
        <w:numPr>
          <w:ilvl w:val="1"/>
          <w:numId w:val="12"/>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Gu, Kelly, and Xiu (2020)</w:t>
      </w:r>
      <w:r w:rsidRPr="00665CE0">
        <w:rPr>
          <w:rFonts w:ascii="Arial" w:eastAsia="Times New Roman" w:hAnsi="Arial" w:cs="Arial"/>
          <w:kern w:val="0"/>
          <w:sz w:val="24"/>
          <w:szCs w:val="24"/>
          <w:lang w:val="en-GB" w:eastAsia="en-GB"/>
          <w14:ligatures w14:val="none"/>
        </w:rPr>
        <w:t xml:space="preserve"> – Explicitly recommends </w:t>
      </w:r>
      <w:proofErr w:type="spellStart"/>
      <w:r w:rsidRPr="00665CE0">
        <w:rPr>
          <w:rFonts w:ascii="Arial" w:eastAsia="Times New Roman" w:hAnsi="Arial" w:cs="Arial"/>
          <w:kern w:val="0"/>
          <w:sz w:val="24"/>
          <w:szCs w:val="24"/>
          <w:lang w:val="en-GB" w:eastAsia="en-GB"/>
          <w14:ligatures w14:val="none"/>
        </w:rPr>
        <w:t>ensembling</w:t>
      </w:r>
      <w:proofErr w:type="spellEnd"/>
      <w:r w:rsidRPr="00665CE0">
        <w:rPr>
          <w:rFonts w:ascii="Arial" w:eastAsia="Times New Roman" w:hAnsi="Arial" w:cs="Arial"/>
          <w:kern w:val="0"/>
          <w:sz w:val="24"/>
          <w:szCs w:val="24"/>
          <w:lang w:val="en-GB" w:eastAsia="en-GB"/>
          <w14:ligatures w14:val="none"/>
        </w:rPr>
        <w:t xml:space="preserve"> linear, tree-based, and deep learning models in asset pricing.</w:t>
      </w:r>
    </w:p>
    <w:p w14:paraId="52D61C64" w14:textId="77777777" w:rsidR="00665CE0" w:rsidRPr="00665CE0" w:rsidRDefault="00665CE0" w:rsidP="00665CE0">
      <w:pPr>
        <w:spacing w:after="100" w:afterAutospacing="1" w:line="240" w:lineRule="auto"/>
        <w:outlineLvl w:val="2"/>
        <w:rPr>
          <w:rFonts w:ascii="Arial" w:eastAsia="Times New Roman" w:hAnsi="Arial" w:cs="Arial"/>
          <w:b/>
          <w:bCs/>
          <w:kern w:val="0"/>
          <w:sz w:val="27"/>
          <w:szCs w:val="27"/>
          <w:lang w:val="en-GB" w:eastAsia="en-GB"/>
          <w14:ligatures w14:val="none"/>
        </w:rPr>
      </w:pPr>
      <w:r w:rsidRPr="00665CE0">
        <w:rPr>
          <w:rFonts w:ascii="Arial" w:eastAsia="Times New Roman" w:hAnsi="Arial" w:cs="Arial"/>
          <w:b/>
          <w:bCs/>
          <w:kern w:val="0"/>
          <w:sz w:val="27"/>
          <w:szCs w:val="27"/>
          <w:lang w:val="en-GB" w:eastAsia="en-GB"/>
          <w14:ligatures w14:val="none"/>
        </w:rPr>
        <w:t>6. Simulation Design &amp; Transaction Costs</w:t>
      </w:r>
    </w:p>
    <w:p w14:paraId="7B0C05C3" w14:textId="77777777" w:rsidR="00665CE0" w:rsidRPr="00665CE0" w:rsidRDefault="00665CE0" w:rsidP="00665CE0">
      <w:pPr>
        <w:numPr>
          <w:ilvl w:val="0"/>
          <w:numId w:val="13"/>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Choice:</w:t>
      </w:r>
      <w:r w:rsidRPr="00665CE0">
        <w:rPr>
          <w:rFonts w:ascii="Arial" w:eastAsia="Times New Roman" w:hAnsi="Arial" w:cs="Arial"/>
          <w:kern w:val="0"/>
          <w:sz w:val="24"/>
          <w:szCs w:val="24"/>
          <w:lang w:val="en-GB" w:eastAsia="en-GB"/>
          <w14:ligatures w14:val="none"/>
        </w:rPr>
        <w:t xml:space="preserve"> The portfolio simulation utilizes monthly rebalancing based on predicted ML deciles. We will test a Long-Only "Mutual Fund" strategy and a Long-Short "Hedge Fund" strategy. Additionally, a strict transaction cost of </w:t>
      </w:r>
      <w:r w:rsidRPr="00665CE0">
        <w:rPr>
          <w:rFonts w:ascii="Arial" w:eastAsia="Times New Roman" w:hAnsi="Arial" w:cs="Arial"/>
          <w:b/>
          <w:bCs/>
          <w:kern w:val="0"/>
          <w:sz w:val="24"/>
          <w:szCs w:val="24"/>
          <w:lang w:val="en-GB" w:eastAsia="en-GB"/>
          <w14:ligatures w14:val="none"/>
        </w:rPr>
        <w:t>15 basis points (0.15%)</w:t>
      </w:r>
      <w:r w:rsidRPr="00665CE0">
        <w:rPr>
          <w:rFonts w:ascii="Arial" w:eastAsia="Times New Roman" w:hAnsi="Arial" w:cs="Arial"/>
          <w:kern w:val="0"/>
          <w:sz w:val="24"/>
          <w:szCs w:val="24"/>
          <w:lang w:val="en-GB" w:eastAsia="en-GB"/>
          <w14:ligatures w14:val="none"/>
        </w:rPr>
        <w:t xml:space="preserve"> is applied, but </w:t>
      </w:r>
      <w:r w:rsidRPr="00665CE0">
        <w:rPr>
          <w:rFonts w:ascii="Arial" w:eastAsia="Times New Roman" w:hAnsi="Arial" w:cs="Arial"/>
          <w:i/>
          <w:iCs/>
          <w:kern w:val="0"/>
          <w:sz w:val="24"/>
          <w:szCs w:val="24"/>
          <w:lang w:val="en-GB" w:eastAsia="en-GB"/>
          <w14:ligatures w14:val="none"/>
        </w:rPr>
        <w:t>only</w:t>
      </w:r>
      <w:r w:rsidRPr="00665CE0">
        <w:rPr>
          <w:rFonts w:ascii="Arial" w:eastAsia="Times New Roman" w:hAnsi="Arial" w:cs="Arial"/>
          <w:kern w:val="0"/>
          <w:sz w:val="24"/>
          <w:szCs w:val="24"/>
          <w:lang w:val="en-GB" w:eastAsia="en-GB"/>
          <w14:ligatures w14:val="none"/>
        </w:rPr>
        <w:t xml:space="preserve"> to the portfolio turnover (the actual percentage of the portfolio traded that month).</w:t>
      </w:r>
    </w:p>
    <w:p w14:paraId="1745F717" w14:textId="77777777" w:rsidR="00665CE0" w:rsidRPr="00665CE0" w:rsidRDefault="00665CE0" w:rsidP="00665CE0">
      <w:pPr>
        <w:numPr>
          <w:ilvl w:val="0"/>
          <w:numId w:val="13"/>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The Justification:</w:t>
      </w:r>
      <w:r w:rsidRPr="00665CE0">
        <w:rPr>
          <w:rFonts w:ascii="Arial" w:eastAsia="Times New Roman" w:hAnsi="Arial" w:cs="Arial"/>
          <w:kern w:val="0"/>
          <w:sz w:val="24"/>
          <w:szCs w:val="24"/>
          <w:lang w:val="en-GB" w:eastAsia="en-GB"/>
          <w14:ligatures w14:val="none"/>
        </w:rPr>
        <w:t xml:space="preserve"> Testing Long-Only ensures the strategy is legally viable for standard Norwegian mutual funds (like Andreas's), while Long-Short isolates pure model alpha. Applying transaction costs based on turnover ensures the strategy is practically tradable and not a theoretical illusion generated by frantic micro-trading. The 15 bps fee is justified because the dataset is already filtered strictly for highly liquid, large-volume Norwegian stocks.</w:t>
      </w:r>
    </w:p>
    <w:p w14:paraId="7224DA89" w14:textId="77777777" w:rsidR="00665CE0" w:rsidRPr="00665CE0" w:rsidRDefault="00665CE0" w:rsidP="00665CE0">
      <w:pPr>
        <w:numPr>
          <w:ilvl w:val="0"/>
          <w:numId w:val="13"/>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b/>
          <w:bCs/>
          <w:kern w:val="0"/>
          <w:sz w:val="24"/>
          <w:szCs w:val="24"/>
          <w:lang w:val="en-GB" w:eastAsia="en-GB"/>
          <w14:ligatures w14:val="none"/>
        </w:rPr>
        <w:t>Sources:</w:t>
      </w:r>
    </w:p>
    <w:p w14:paraId="0AE0A7EB" w14:textId="77777777" w:rsidR="00665CE0" w:rsidRPr="00665CE0" w:rsidRDefault="00665CE0" w:rsidP="00665CE0">
      <w:pPr>
        <w:numPr>
          <w:ilvl w:val="1"/>
          <w:numId w:val="13"/>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Frazzini, Israel, and Moskowitz (2015), "Trading Costs of Asset Pricing Anomalies"</w:t>
      </w:r>
      <w:r w:rsidRPr="00665CE0">
        <w:rPr>
          <w:rFonts w:ascii="Arial" w:eastAsia="Times New Roman" w:hAnsi="Arial" w:cs="Arial"/>
          <w:kern w:val="0"/>
          <w:sz w:val="24"/>
          <w:szCs w:val="24"/>
          <w:lang w:val="en-GB" w:eastAsia="en-GB"/>
          <w14:ligatures w14:val="none"/>
        </w:rPr>
        <w:t xml:space="preserve"> – </w:t>
      </w:r>
      <w:proofErr w:type="spellStart"/>
      <w:r w:rsidRPr="00665CE0">
        <w:rPr>
          <w:rFonts w:ascii="Arial" w:eastAsia="Times New Roman" w:hAnsi="Arial" w:cs="Arial"/>
          <w:kern w:val="0"/>
          <w:sz w:val="24"/>
          <w:szCs w:val="24"/>
          <w:lang w:val="en-GB" w:eastAsia="en-GB"/>
          <w14:ligatures w14:val="none"/>
        </w:rPr>
        <w:t>Analyzed</w:t>
      </w:r>
      <w:proofErr w:type="spellEnd"/>
      <w:r w:rsidRPr="00665CE0">
        <w:rPr>
          <w:rFonts w:ascii="Arial" w:eastAsia="Times New Roman" w:hAnsi="Arial" w:cs="Arial"/>
          <w:kern w:val="0"/>
          <w:sz w:val="24"/>
          <w:szCs w:val="24"/>
          <w:lang w:val="en-GB" w:eastAsia="en-GB"/>
          <w14:ligatures w14:val="none"/>
        </w:rPr>
        <w:t xml:space="preserve"> massive institutional datasets to prove that real-world trading costs for liquid equities are roughly 9 to 15 basis points, far lower than theoretical bid-ask spreads suggest.</w:t>
      </w:r>
    </w:p>
    <w:p w14:paraId="67969672" w14:textId="77777777" w:rsidR="00665CE0" w:rsidRPr="00665CE0" w:rsidRDefault="00665CE0" w:rsidP="00665CE0">
      <w:pPr>
        <w:numPr>
          <w:ilvl w:val="1"/>
          <w:numId w:val="13"/>
        </w:numPr>
        <w:spacing w:after="100" w:afterAutospacing="1" w:line="240" w:lineRule="auto"/>
        <w:rPr>
          <w:rFonts w:ascii="Arial" w:eastAsia="Times New Roman" w:hAnsi="Arial" w:cs="Arial"/>
          <w:kern w:val="0"/>
          <w:sz w:val="24"/>
          <w:szCs w:val="24"/>
          <w:lang w:val="en-GB" w:eastAsia="en-GB"/>
          <w14:ligatures w14:val="none"/>
        </w:rPr>
      </w:pPr>
      <w:r w:rsidRPr="00665CE0">
        <w:rPr>
          <w:rFonts w:ascii="Arial" w:eastAsia="Times New Roman" w:hAnsi="Arial" w:cs="Arial"/>
          <w:i/>
          <w:iCs/>
          <w:kern w:val="0"/>
          <w:sz w:val="24"/>
          <w:szCs w:val="24"/>
          <w:lang w:val="en-GB" w:eastAsia="en-GB"/>
          <w14:ligatures w14:val="none"/>
        </w:rPr>
        <w:t>Novy-Marx and Velikov (2016), "A Taxonomy of Anomalies and Their Trading Costs"</w:t>
      </w:r>
      <w:r w:rsidRPr="00665CE0">
        <w:rPr>
          <w:rFonts w:ascii="Arial" w:eastAsia="Times New Roman" w:hAnsi="Arial" w:cs="Arial"/>
          <w:kern w:val="0"/>
          <w:sz w:val="24"/>
          <w:szCs w:val="24"/>
          <w:lang w:val="en-GB" w:eastAsia="en-GB"/>
          <w14:ligatures w14:val="none"/>
        </w:rPr>
        <w:t xml:space="preserve"> – Establishes the standard methodology for subtracting transaction costs proportionally to strategy turnover.</w:t>
      </w:r>
    </w:p>
    <w:p w14:paraId="0A80FFBA" w14:textId="77777777" w:rsidR="00841509" w:rsidRPr="00841509" w:rsidRDefault="00841509" w:rsidP="00841509">
      <w:pPr>
        <w:spacing w:after="100" w:afterAutospacing="1" w:line="240" w:lineRule="auto"/>
        <w:outlineLvl w:val="0"/>
        <w:rPr>
          <w:rFonts w:ascii="Arial" w:eastAsia="Times New Roman" w:hAnsi="Arial" w:cs="Arial"/>
          <w:b/>
          <w:bCs/>
          <w:kern w:val="36"/>
          <w:sz w:val="48"/>
          <w:szCs w:val="48"/>
          <w:lang w:val="en-GB" w:eastAsia="en-GB"/>
          <w14:ligatures w14:val="none"/>
        </w:rPr>
      </w:pPr>
      <w:r w:rsidRPr="00841509">
        <w:rPr>
          <w:rFonts w:ascii="Arial" w:eastAsia="Times New Roman" w:hAnsi="Arial" w:cs="Arial"/>
          <w:b/>
          <w:bCs/>
          <w:kern w:val="36"/>
          <w:sz w:val="48"/>
          <w:szCs w:val="48"/>
          <w:lang w:val="en-GB" w:eastAsia="en-GB"/>
          <w14:ligatures w14:val="none"/>
        </w:rPr>
        <w:t>Portfolio Simulation Methodology Summary</w:t>
      </w:r>
    </w:p>
    <w:p w14:paraId="11DF397F" w14:textId="77777777" w:rsidR="00841509" w:rsidRPr="00841509" w:rsidRDefault="00841509" w:rsidP="00841509">
      <w:pPr>
        <w:spacing w:after="100" w:afterAutospacing="1" w:line="240" w:lineRule="auto"/>
        <w:outlineLvl w:val="2"/>
        <w:rPr>
          <w:rFonts w:ascii="Arial" w:eastAsia="Times New Roman" w:hAnsi="Arial" w:cs="Arial"/>
          <w:b/>
          <w:bCs/>
          <w:kern w:val="0"/>
          <w:sz w:val="27"/>
          <w:szCs w:val="27"/>
          <w:lang w:val="en-GB" w:eastAsia="en-GB"/>
          <w14:ligatures w14:val="none"/>
        </w:rPr>
      </w:pPr>
      <w:r w:rsidRPr="00841509">
        <w:rPr>
          <w:rFonts w:ascii="Arial" w:eastAsia="Times New Roman" w:hAnsi="Arial" w:cs="Arial"/>
          <w:b/>
          <w:bCs/>
          <w:kern w:val="0"/>
          <w:sz w:val="27"/>
          <w:szCs w:val="27"/>
          <w:lang w:val="en-GB" w:eastAsia="en-GB"/>
          <w14:ligatures w14:val="none"/>
        </w:rPr>
        <w:t>1. Monthly Cross-Sectional Rebalancing</w:t>
      </w:r>
    </w:p>
    <w:p w14:paraId="3BAD7615" w14:textId="77777777" w:rsidR="00841509" w:rsidRPr="00841509" w:rsidRDefault="00841509" w:rsidP="00841509">
      <w:pPr>
        <w:numPr>
          <w:ilvl w:val="0"/>
          <w:numId w:val="14"/>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Choice:</w:t>
      </w:r>
      <w:r w:rsidRPr="00841509">
        <w:rPr>
          <w:rFonts w:ascii="Arial" w:eastAsia="Times New Roman" w:hAnsi="Arial" w:cs="Arial"/>
          <w:kern w:val="0"/>
          <w:sz w:val="24"/>
          <w:szCs w:val="24"/>
          <w:lang w:val="en-GB" w:eastAsia="en-GB"/>
          <w14:ligatures w14:val="none"/>
        </w:rPr>
        <w:t xml:space="preserve"> The simulation does not use a "buy-and-hold" strategy. Instead, it employs strict monthly cross-sectional rebalancing. At the end of every month, the ML model predicts the next month's returns, the stocks are ranked into quintiles (top 20% and bottom 20%), and the portfolio is re-weighted equally among the selected stocks.</w:t>
      </w:r>
    </w:p>
    <w:p w14:paraId="0897DF45" w14:textId="77777777" w:rsidR="00841509" w:rsidRPr="00841509" w:rsidRDefault="00841509" w:rsidP="00841509">
      <w:pPr>
        <w:numPr>
          <w:ilvl w:val="0"/>
          <w:numId w:val="14"/>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Justification:</w:t>
      </w:r>
      <w:r w:rsidRPr="00841509">
        <w:rPr>
          <w:rFonts w:ascii="Arial" w:eastAsia="Times New Roman" w:hAnsi="Arial" w:cs="Arial"/>
          <w:kern w:val="0"/>
          <w:sz w:val="24"/>
          <w:szCs w:val="24"/>
          <w:lang w:val="en-GB" w:eastAsia="en-GB"/>
          <w14:ligatures w14:val="none"/>
        </w:rPr>
        <w:t xml:space="preserve"> This is the universal standard for testing cross-sectional asset pricing anomalies. It ensures the model is continuously reacting to new information and regime shifts, rather than getting lucky on a few long-term bets.</w:t>
      </w:r>
    </w:p>
    <w:p w14:paraId="455D1329" w14:textId="77777777" w:rsidR="00841509" w:rsidRPr="00841509" w:rsidRDefault="00841509" w:rsidP="00841509">
      <w:pPr>
        <w:numPr>
          <w:ilvl w:val="0"/>
          <w:numId w:val="14"/>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lastRenderedPageBreak/>
        <w:t>Sources:</w:t>
      </w:r>
    </w:p>
    <w:p w14:paraId="1EB4F579" w14:textId="77777777" w:rsidR="00841509" w:rsidRPr="00841509" w:rsidRDefault="00841509" w:rsidP="00841509">
      <w:pPr>
        <w:numPr>
          <w:ilvl w:val="1"/>
          <w:numId w:val="14"/>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Fama and French (1993, 2015)</w:t>
      </w:r>
      <w:r w:rsidRPr="00841509">
        <w:rPr>
          <w:rFonts w:ascii="Arial" w:eastAsia="Times New Roman" w:hAnsi="Arial" w:cs="Arial"/>
          <w:kern w:val="0"/>
          <w:sz w:val="24"/>
          <w:szCs w:val="24"/>
          <w:lang w:val="en-GB" w:eastAsia="en-GB"/>
          <w14:ligatures w14:val="none"/>
        </w:rPr>
        <w:t xml:space="preserve"> – Establishes the standard methodology of sorting and rebalancing portfolios at regular intervals to test factor premiums.</w:t>
      </w:r>
    </w:p>
    <w:p w14:paraId="1F39D3D0" w14:textId="77777777" w:rsidR="00841509" w:rsidRPr="00841509" w:rsidRDefault="00841509" w:rsidP="00841509">
      <w:pPr>
        <w:numPr>
          <w:ilvl w:val="1"/>
          <w:numId w:val="14"/>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Gu, Kelly, and Xiu (2020)</w:t>
      </w:r>
      <w:r w:rsidRPr="00841509">
        <w:rPr>
          <w:rFonts w:ascii="Arial" w:eastAsia="Times New Roman" w:hAnsi="Arial" w:cs="Arial"/>
          <w:kern w:val="0"/>
          <w:sz w:val="24"/>
          <w:szCs w:val="24"/>
          <w:lang w:val="en-GB" w:eastAsia="en-GB"/>
          <w14:ligatures w14:val="none"/>
        </w:rPr>
        <w:t xml:space="preserve"> – Explicitly utilizes monthly rebalancing to test the predictive power of Machine Learning in equity cross-sections.</w:t>
      </w:r>
    </w:p>
    <w:p w14:paraId="087F9687" w14:textId="77777777" w:rsidR="00841509" w:rsidRPr="00841509" w:rsidRDefault="00841509" w:rsidP="00841509">
      <w:pPr>
        <w:spacing w:after="100" w:afterAutospacing="1" w:line="240" w:lineRule="auto"/>
        <w:outlineLvl w:val="2"/>
        <w:rPr>
          <w:rFonts w:ascii="Arial" w:eastAsia="Times New Roman" w:hAnsi="Arial" w:cs="Arial"/>
          <w:b/>
          <w:bCs/>
          <w:kern w:val="0"/>
          <w:sz w:val="27"/>
          <w:szCs w:val="27"/>
          <w:lang w:val="en-GB" w:eastAsia="en-GB"/>
          <w14:ligatures w14:val="none"/>
        </w:rPr>
      </w:pPr>
      <w:r w:rsidRPr="00841509">
        <w:rPr>
          <w:rFonts w:ascii="Arial" w:eastAsia="Times New Roman" w:hAnsi="Arial" w:cs="Arial"/>
          <w:b/>
          <w:bCs/>
          <w:kern w:val="0"/>
          <w:sz w:val="27"/>
          <w:szCs w:val="27"/>
          <w:lang w:val="en-GB" w:eastAsia="en-GB"/>
          <w14:ligatures w14:val="none"/>
        </w:rPr>
        <w:t>2. Strategy Paradigms: Long-Only vs. Long-Short</w:t>
      </w:r>
    </w:p>
    <w:p w14:paraId="21BE62DB" w14:textId="77777777" w:rsidR="00841509" w:rsidRPr="00841509" w:rsidRDefault="00841509" w:rsidP="00841509">
      <w:pPr>
        <w:numPr>
          <w:ilvl w:val="0"/>
          <w:numId w:val="15"/>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Choice:</w:t>
      </w:r>
      <w:r w:rsidRPr="00841509">
        <w:rPr>
          <w:rFonts w:ascii="Arial" w:eastAsia="Times New Roman" w:hAnsi="Arial" w:cs="Arial"/>
          <w:kern w:val="0"/>
          <w:sz w:val="24"/>
          <w:szCs w:val="24"/>
          <w:lang w:val="en-GB" w:eastAsia="en-GB"/>
          <w14:ligatures w14:val="none"/>
        </w:rPr>
        <w:t xml:space="preserve"> We simulated two distinct portfolio structures: A Long-Only strategy (buying the top 20%) and a Long-Short Dollar-Neutral strategy (+100% in the top 20%, -100% in the bottom 20%).</w:t>
      </w:r>
    </w:p>
    <w:p w14:paraId="1FE32CAC" w14:textId="77777777" w:rsidR="00841509" w:rsidRPr="00841509" w:rsidRDefault="00841509" w:rsidP="00841509">
      <w:pPr>
        <w:numPr>
          <w:ilvl w:val="0"/>
          <w:numId w:val="15"/>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Justification:</w:t>
      </w:r>
      <w:r w:rsidRPr="00841509">
        <w:rPr>
          <w:rFonts w:ascii="Arial" w:eastAsia="Times New Roman" w:hAnsi="Arial" w:cs="Arial"/>
          <w:kern w:val="0"/>
          <w:sz w:val="24"/>
          <w:szCs w:val="24"/>
          <w:lang w:val="en-GB" w:eastAsia="en-GB"/>
          <w14:ligatures w14:val="none"/>
        </w:rPr>
        <w:t xml:space="preserve"> * </w:t>
      </w:r>
      <w:r w:rsidRPr="00841509">
        <w:rPr>
          <w:rFonts w:ascii="Arial" w:eastAsia="Times New Roman" w:hAnsi="Arial" w:cs="Arial"/>
          <w:b/>
          <w:bCs/>
          <w:kern w:val="0"/>
          <w:sz w:val="24"/>
          <w:szCs w:val="24"/>
          <w:lang w:val="en-GB" w:eastAsia="en-GB"/>
          <w14:ligatures w14:val="none"/>
        </w:rPr>
        <w:t>Long-Only:</w:t>
      </w:r>
      <w:r w:rsidRPr="00841509">
        <w:rPr>
          <w:rFonts w:ascii="Arial" w:eastAsia="Times New Roman" w:hAnsi="Arial" w:cs="Arial"/>
          <w:kern w:val="0"/>
          <w:sz w:val="24"/>
          <w:szCs w:val="24"/>
          <w:lang w:val="en-GB" w:eastAsia="en-GB"/>
          <w14:ligatures w14:val="none"/>
        </w:rPr>
        <w:t xml:space="preserve"> Represents the legally constrained reality of Norwegian mutual funds (like the one sponsoring the data). It answers the practical industry question: </w:t>
      </w:r>
      <w:r w:rsidRPr="00841509">
        <w:rPr>
          <w:rFonts w:ascii="Arial" w:eastAsia="Times New Roman" w:hAnsi="Arial" w:cs="Arial"/>
          <w:i/>
          <w:iCs/>
          <w:kern w:val="0"/>
          <w:sz w:val="24"/>
          <w:szCs w:val="24"/>
          <w:lang w:val="en-GB" w:eastAsia="en-GB"/>
          <w14:ligatures w14:val="none"/>
        </w:rPr>
        <w:t>"Can this model beat the market in a standard long-only framework?"</w:t>
      </w:r>
    </w:p>
    <w:p w14:paraId="69359667" w14:textId="77777777" w:rsidR="00841509" w:rsidRPr="00841509" w:rsidRDefault="00841509" w:rsidP="00841509">
      <w:pPr>
        <w:numPr>
          <w:ilvl w:val="1"/>
          <w:numId w:val="15"/>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Long-Short:</w:t>
      </w:r>
      <w:r w:rsidRPr="00841509">
        <w:rPr>
          <w:rFonts w:ascii="Arial" w:eastAsia="Times New Roman" w:hAnsi="Arial" w:cs="Arial"/>
          <w:kern w:val="0"/>
          <w:sz w:val="24"/>
          <w:szCs w:val="24"/>
          <w:lang w:val="en-GB" w:eastAsia="en-GB"/>
          <w14:ligatures w14:val="none"/>
        </w:rPr>
        <w:t xml:space="preserve"> Represents the academic gold standard. By going equally long and short, the portfolio's net exposure to the broader market is strictly zero. Any profit generated is purely the "Alpha" of the Machine Learning model's ranking ability, completely isolated from market crashes or rallies.</w:t>
      </w:r>
    </w:p>
    <w:p w14:paraId="47D7D80A" w14:textId="77777777" w:rsidR="00841509" w:rsidRPr="00841509" w:rsidRDefault="00841509" w:rsidP="00841509">
      <w:pPr>
        <w:numPr>
          <w:ilvl w:val="0"/>
          <w:numId w:val="15"/>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Sources:</w:t>
      </w:r>
    </w:p>
    <w:p w14:paraId="3E87E3AE" w14:textId="77777777" w:rsidR="00841509" w:rsidRPr="00841509" w:rsidRDefault="00841509" w:rsidP="00841509">
      <w:pPr>
        <w:numPr>
          <w:ilvl w:val="1"/>
          <w:numId w:val="15"/>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Jacobs and Levy (1988), "Disentangling Equity Return Regularities"</w:t>
      </w:r>
      <w:r w:rsidRPr="00841509">
        <w:rPr>
          <w:rFonts w:ascii="Arial" w:eastAsia="Times New Roman" w:hAnsi="Arial" w:cs="Arial"/>
          <w:kern w:val="0"/>
          <w:sz w:val="24"/>
          <w:szCs w:val="24"/>
          <w:lang w:val="en-GB" w:eastAsia="en-GB"/>
          <w14:ligatures w14:val="none"/>
        </w:rPr>
        <w:t xml:space="preserve"> – The foundational paper explaining why long-short dollar-neutral portfolios are required to isolate pure factor alpha.</w:t>
      </w:r>
    </w:p>
    <w:p w14:paraId="7E366133" w14:textId="77777777" w:rsidR="00841509" w:rsidRPr="00841509" w:rsidRDefault="00841509" w:rsidP="00841509">
      <w:pPr>
        <w:spacing w:after="100" w:afterAutospacing="1" w:line="240" w:lineRule="auto"/>
        <w:outlineLvl w:val="2"/>
        <w:rPr>
          <w:rFonts w:ascii="Arial" w:eastAsia="Times New Roman" w:hAnsi="Arial" w:cs="Arial"/>
          <w:b/>
          <w:bCs/>
          <w:kern w:val="0"/>
          <w:sz w:val="27"/>
          <w:szCs w:val="27"/>
          <w:lang w:val="en-GB" w:eastAsia="en-GB"/>
          <w14:ligatures w14:val="none"/>
        </w:rPr>
      </w:pPr>
      <w:r w:rsidRPr="00841509">
        <w:rPr>
          <w:rFonts w:ascii="Arial" w:eastAsia="Times New Roman" w:hAnsi="Arial" w:cs="Arial"/>
          <w:b/>
          <w:bCs/>
          <w:kern w:val="0"/>
          <w:sz w:val="27"/>
          <w:szCs w:val="27"/>
          <w:lang w:val="en-GB" w:eastAsia="en-GB"/>
          <w14:ligatures w14:val="none"/>
        </w:rPr>
        <w:t>3. Net-of-Frictions: Turnover and Transaction Costs</w:t>
      </w:r>
    </w:p>
    <w:p w14:paraId="073BDD50" w14:textId="77777777" w:rsidR="00841509" w:rsidRPr="00841509" w:rsidRDefault="00841509" w:rsidP="00841509">
      <w:pPr>
        <w:numPr>
          <w:ilvl w:val="0"/>
          <w:numId w:val="16"/>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Choice:</w:t>
      </w:r>
      <w:r w:rsidRPr="00841509">
        <w:rPr>
          <w:rFonts w:ascii="Arial" w:eastAsia="Times New Roman" w:hAnsi="Arial" w:cs="Arial"/>
          <w:kern w:val="0"/>
          <w:sz w:val="24"/>
          <w:szCs w:val="24"/>
          <w:lang w:val="en-GB" w:eastAsia="en-GB"/>
          <w14:ligatures w14:val="none"/>
        </w:rPr>
        <w:t xml:space="preserve"> A transaction cost of </w:t>
      </w:r>
      <w:r w:rsidRPr="00841509">
        <w:rPr>
          <w:rFonts w:ascii="Arial" w:eastAsia="Times New Roman" w:hAnsi="Arial" w:cs="Arial"/>
          <w:b/>
          <w:bCs/>
          <w:kern w:val="0"/>
          <w:sz w:val="24"/>
          <w:szCs w:val="24"/>
          <w:lang w:val="en-GB" w:eastAsia="en-GB"/>
          <w14:ligatures w14:val="none"/>
        </w:rPr>
        <w:t>15 basis points (0.15%)</w:t>
      </w:r>
      <w:r w:rsidRPr="00841509">
        <w:rPr>
          <w:rFonts w:ascii="Arial" w:eastAsia="Times New Roman" w:hAnsi="Arial" w:cs="Arial"/>
          <w:kern w:val="0"/>
          <w:sz w:val="24"/>
          <w:szCs w:val="24"/>
          <w:lang w:val="en-GB" w:eastAsia="en-GB"/>
          <w14:ligatures w14:val="none"/>
        </w:rPr>
        <w:t xml:space="preserve"> was applied. Crucially, this fee was not blindly subtracted from the total return. It was dynamically multiplied by the </w:t>
      </w:r>
      <w:r w:rsidRPr="00841509">
        <w:rPr>
          <w:rFonts w:ascii="Arial" w:eastAsia="Times New Roman" w:hAnsi="Arial" w:cs="Arial"/>
          <w:b/>
          <w:bCs/>
          <w:kern w:val="0"/>
          <w:sz w:val="24"/>
          <w:szCs w:val="24"/>
          <w:lang w:val="en-GB" w:eastAsia="en-GB"/>
          <w14:ligatures w14:val="none"/>
        </w:rPr>
        <w:t>Portfolio Turnover</w:t>
      </w:r>
      <w:r w:rsidRPr="00841509">
        <w:rPr>
          <w:rFonts w:ascii="Arial" w:eastAsia="Times New Roman" w:hAnsi="Arial" w:cs="Arial"/>
          <w:kern w:val="0"/>
          <w:sz w:val="24"/>
          <w:szCs w:val="24"/>
          <w:lang w:val="en-GB" w:eastAsia="en-GB"/>
          <w14:ligatures w14:val="none"/>
        </w:rPr>
        <w:t xml:space="preserve"> (the absolute percentage of weights that changed from month $t-1$ to month $t$).</w:t>
      </w:r>
    </w:p>
    <w:p w14:paraId="1EA5FC3D" w14:textId="77777777" w:rsidR="00841509" w:rsidRPr="00841509" w:rsidRDefault="00841509" w:rsidP="00841509">
      <w:pPr>
        <w:numPr>
          <w:ilvl w:val="0"/>
          <w:numId w:val="16"/>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Justification:</w:t>
      </w:r>
      <w:r w:rsidRPr="00841509">
        <w:rPr>
          <w:rFonts w:ascii="Arial" w:eastAsia="Times New Roman" w:hAnsi="Arial" w:cs="Arial"/>
          <w:kern w:val="0"/>
          <w:sz w:val="24"/>
          <w:szCs w:val="24"/>
          <w:lang w:val="en-GB" w:eastAsia="en-GB"/>
          <w14:ligatures w14:val="none"/>
        </w:rPr>
        <w:t xml:space="preserve"> Many ML anomalies disappear in real life due to frantic over-trading. By strictly penalizing turnover, we proved the model's alpha survives real-world broker fees and bid-ask spreads. The 15 bps rate is justified because the dataset already enforces a strict liquidity and volume filter, meaning we are only trading highly liquid Norwegian equities.</w:t>
      </w:r>
    </w:p>
    <w:p w14:paraId="60CA7026" w14:textId="77777777" w:rsidR="00841509" w:rsidRPr="00841509" w:rsidRDefault="00841509" w:rsidP="00841509">
      <w:pPr>
        <w:numPr>
          <w:ilvl w:val="0"/>
          <w:numId w:val="16"/>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Sources:</w:t>
      </w:r>
    </w:p>
    <w:p w14:paraId="513D404A" w14:textId="77777777" w:rsidR="00841509" w:rsidRPr="00841509" w:rsidRDefault="00841509" w:rsidP="00841509">
      <w:pPr>
        <w:numPr>
          <w:ilvl w:val="1"/>
          <w:numId w:val="16"/>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Frazzini, Israel, and Moskowitz (2015), "Trading Costs of Asset Pricing Anomalies"</w:t>
      </w:r>
      <w:r w:rsidRPr="00841509">
        <w:rPr>
          <w:rFonts w:ascii="Arial" w:eastAsia="Times New Roman" w:hAnsi="Arial" w:cs="Arial"/>
          <w:kern w:val="0"/>
          <w:sz w:val="24"/>
          <w:szCs w:val="24"/>
          <w:lang w:val="en-GB" w:eastAsia="en-GB"/>
          <w14:ligatures w14:val="none"/>
        </w:rPr>
        <w:t xml:space="preserve"> – </w:t>
      </w:r>
      <w:proofErr w:type="spellStart"/>
      <w:r w:rsidRPr="00841509">
        <w:rPr>
          <w:rFonts w:ascii="Arial" w:eastAsia="Times New Roman" w:hAnsi="Arial" w:cs="Arial"/>
          <w:kern w:val="0"/>
          <w:sz w:val="24"/>
          <w:szCs w:val="24"/>
          <w:lang w:val="en-GB" w:eastAsia="en-GB"/>
          <w14:ligatures w14:val="none"/>
        </w:rPr>
        <w:t>Analyzed</w:t>
      </w:r>
      <w:proofErr w:type="spellEnd"/>
      <w:r w:rsidRPr="00841509">
        <w:rPr>
          <w:rFonts w:ascii="Arial" w:eastAsia="Times New Roman" w:hAnsi="Arial" w:cs="Arial"/>
          <w:kern w:val="0"/>
          <w:sz w:val="24"/>
          <w:szCs w:val="24"/>
          <w:lang w:val="en-GB" w:eastAsia="en-GB"/>
          <w14:ligatures w14:val="none"/>
        </w:rPr>
        <w:t xml:space="preserve"> $1 trillion in live institutional trades to prove that real-world trading costs for liquid equities are roughly 9 to 15 basis points.</w:t>
      </w:r>
    </w:p>
    <w:p w14:paraId="35D83299" w14:textId="77777777" w:rsidR="00841509" w:rsidRPr="00841509" w:rsidRDefault="00841509" w:rsidP="00841509">
      <w:pPr>
        <w:numPr>
          <w:ilvl w:val="1"/>
          <w:numId w:val="16"/>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Novy-Marx and Velikov (2016), "A Taxonomy of Anomalies and Their Trading Costs"</w:t>
      </w:r>
      <w:r w:rsidRPr="00841509">
        <w:rPr>
          <w:rFonts w:ascii="Arial" w:eastAsia="Times New Roman" w:hAnsi="Arial" w:cs="Arial"/>
          <w:kern w:val="0"/>
          <w:sz w:val="24"/>
          <w:szCs w:val="24"/>
          <w:lang w:val="en-GB" w:eastAsia="en-GB"/>
          <w14:ligatures w14:val="none"/>
        </w:rPr>
        <w:t xml:space="preserve"> – Defines the mathematical standard for applying transaction costs strictly to strategy turnover rather than gross returns.</w:t>
      </w:r>
    </w:p>
    <w:p w14:paraId="4219D7A5" w14:textId="77777777" w:rsidR="00841509" w:rsidRPr="00841509" w:rsidRDefault="00841509" w:rsidP="00841509">
      <w:pPr>
        <w:spacing w:after="100" w:afterAutospacing="1" w:line="240" w:lineRule="auto"/>
        <w:outlineLvl w:val="2"/>
        <w:rPr>
          <w:rFonts w:ascii="Arial" w:eastAsia="Times New Roman" w:hAnsi="Arial" w:cs="Arial"/>
          <w:b/>
          <w:bCs/>
          <w:kern w:val="0"/>
          <w:sz w:val="27"/>
          <w:szCs w:val="27"/>
          <w:lang w:val="en-GB" w:eastAsia="en-GB"/>
          <w14:ligatures w14:val="none"/>
        </w:rPr>
      </w:pPr>
      <w:r w:rsidRPr="00841509">
        <w:rPr>
          <w:rFonts w:ascii="Arial" w:eastAsia="Times New Roman" w:hAnsi="Arial" w:cs="Arial"/>
          <w:b/>
          <w:bCs/>
          <w:kern w:val="0"/>
          <w:sz w:val="27"/>
          <w:szCs w:val="27"/>
          <w:lang w:val="en-GB" w:eastAsia="en-GB"/>
          <w14:ligatures w14:val="none"/>
        </w:rPr>
        <w:t>4. The Baselines: Traditional Momentum and The Market</w:t>
      </w:r>
    </w:p>
    <w:p w14:paraId="7472BA64" w14:textId="77777777" w:rsidR="00841509" w:rsidRPr="00841509" w:rsidRDefault="00841509" w:rsidP="00841509">
      <w:pPr>
        <w:numPr>
          <w:ilvl w:val="0"/>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Choice:</w:t>
      </w:r>
      <w:r w:rsidRPr="00841509">
        <w:rPr>
          <w:rFonts w:ascii="Arial" w:eastAsia="Times New Roman" w:hAnsi="Arial" w:cs="Arial"/>
          <w:kern w:val="0"/>
          <w:sz w:val="24"/>
          <w:szCs w:val="24"/>
          <w:lang w:val="en-GB" w:eastAsia="en-GB"/>
          <w14:ligatures w14:val="none"/>
        </w:rPr>
        <w:t xml:space="preserve"> The ML models were benchmarked against three distinct baselines: An Equal-Weighted (EW) internal universe portfolio, a Traditional </w:t>
      </w:r>
      <w:r w:rsidRPr="00841509">
        <w:rPr>
          <w:rFonts w:ascii="Arial" w:eastAsia="Times New Roman" w:hAnsi="Arial" w:cs="Arial"/>
          <w:kern w:val="0"/>
          <w:sz w:val="24"/>
          <w:szCs w:val="24"/>
          <w:lang w:val="en-GB" w:eastAsia="en-GB"/>
          <w14:ligatures w14:val="none"/>
        </w:rPr>
        <w:lastRenderedPageBreak/>
        <w:t xml:space="preserve">Fama-French Momentum strategy (sorting purely on </w:t>
      </w:r>
      <w:r w:rsidRPr="00841509">
        <w:rPr>
          <w:rFonts w:ascii="Arial" w:eastAsia="Times New Roman" w:hAnsi="Arial" w:cs="Arial"/>
          <w:kern w:val="0"/>
          <w:sz w:val="20"/>
          <w:szCs w:val="20"/>
          <w:lang w:val="en-GB" w:eastAsia="en-GB"/>
          <w14:ligatures w14:val="none"/>
        </w:rPr>
        <w:t>mom_12m_z</w:t>
      </w:r>
      <w:r w:rsidRPr="00841509">
        <w:rPr>
          <w:rFonts w:ascii="Arial" w:eastAsia="Times New Roman" w:hAnsi="Arial" w:cs="Arial"/>
          <w:kern w:val="0"/>
          <w:sz w:val="24"/>
          <w:szCs w:val="24"/>
          <w:lang w:val="en-GB" w:eastAsia="en-GB"/>
          <w14:ligatures w14:val="none"/>
        </w:rPr>
        <w:t>), and Professor Ødegaard's Value-Weighted (VW) Market Portfolio.</w:t>
      </w:r>
    </w:p>
    <w:p w14:paraId="70658C48" w14:textId="77777777" w:rsidR="00841509" w:rsidRPr="00841509" w:rsidRDefault="00841509" w:rsidP="00841509">
      <w:pPr>
        <w:numPr>
          <w:ilvl w:val="0"/>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The Justification:</w:t>
      </w:r>
      <w:r w:rsidRPr="00841509">
        <w:rPr>
          <w:rFonts w:ascii="Arial" w:eastAsia="Times New Roman" w:hAnsi="Arial" w:cs="Arial"/>
          <w:kern w:val="0"/>
          <w:sz w:val="24"/>
          <w:szCs w:val="24"/>
          <w:lang w:val="en-GB" w:eastAsia="en-GB"/>
          <w14:ligatures w14:val="none"/>
        </w:rPr>
        <w:t xml:space="preserve"> * </w:t>
      </w:r>
      <w:r w:rsidRPr="00841509">
        <w:rPr>
          <w:rFonts w:ascii="Arial" w:eastAsia="Times New Roman" w:hAnsi="Arial" w:cs="Arial"/>
          <w:b/>
          <w:bCs/>
          <w:kern w:val="0"/>
          <w:sz w:val="24"/>
          <w:szCs w:val="24"/>
          <w:lang w:val="en-GB" w:eastAsia="en-GB"/>
          <w14:ligatures w14:val="none"/>
        </w:rPr>
        <w:t>The EW Benchmark:</w:t>
      </w:r>
      <w:r w:rsidRPr="00841509">
        <w:rPr>
          <w:rFonts w:ascii="Arial" w:eastAsia="Times New Roman" w:hAnsi="Arial" w:cs="Arial"/>
          <w:kern w:val="0"/>
          <w:sz w:val="24"/>
          <w:szCs w:val="24"/>
          <w:lang w:val="en-GB" w:eastAsia="en-GB"/>
          <w14:ligatures w14:val="none"/>
        </w:rPr>
        <w:t xml:space="preserve"> Proves the ML model is picking stocks better than random chance within its own investable universe.</w:t>
      </w:r>
    </w:p>
    <w:p w14:paraId="02C38D09" w14:textId="77777777" w:rsidR="00841509" w:rsidRPr="00841509" w:rsidRDefault="00841509" w:rsidP="00841509">
      <w:pPr>
        <w:numPr>
          <w:ilvl w:val="1"/>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Traditional Momentum:</w:t>
      </w:r>
      <w:r w:rsidRPr="00841509">
        <w:rPr>
          <w:rFonts w:ascii="Arial" w:eastAsia="Times New Roman" w:hAnsi="Arial" w:cs="Arial"/>
          <w:kern w:val="0"/>
          <w:sz w:val="24"/>
          <w:szCs w:val="24"/>
          <w:lang w:val="en-GB" w:eastAsia="en-GB"/>
          <w14:ligatures w14:val="none"/>
        </w:rPr>
        <w:t xml:space="preserve"> Proves that complex tree-based models and neural networks are actually finding non-linear, multi-factor alpha, rather than just acting as computationally expensive momentum screeners.</w:t>
      </w:r>
    </w:p>
    <w:p w14:paraId="230654E2" w14:textId="77777777" w:rsidR="00841509" w:rsidRPr="00841509" w:rsidRDefault="00841509" w:rsidP="00841509">
      <w:pPr>
        <w:numPr>
          <w:ilvl w:val="1"/>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Ødegaard's VW Market:</w:t>
      </w:r>
      <w:r w:rsidRPr="00841509">
        <w:rPr>
          <w:rFonts w:ascii="Arial" w:eastAsia="Times New Roman" w:hAnsi="Arial" w:cs="Arial"/>
          <w:kern w:val="0"/>
          <w:sz w:val="24"/>
          <w:szCs w:val="24"/>
          <w:lang w:val="en-GB" w:eastAsia="en-GB"/>
          <w14:ligatures w14:val="none"/>
        </w:rPr>
        <w:t xml:space="preserve"> Serves as the academically rigorous "Market Portfolio" required for Fama-French regressions, accurately representing the aggregate wealth of the Oslo Stock Exchange.</w:t>
      </w:r>
    </w:p>
    <w:p w14:paraId="44F327F0" w14:textId="77777777" w:rsidR="00841509" w:rsidRPr="00841509" w:rsidRDefault="00841509" w:rsidP="00841509">
      <w:pPr>
        <w:numPr>
          <w:ilvl w:val="0"/>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b/>
          <w:bCs/>
          <w:kern w:val="0"/>
          <w:sz w:val="24"/>
          <w:szCs w:val="24"/>
          <w:lang w:val="en-GB" w:eastAsia="en-GB"/>
          <w14:ligatures w14:val="none"/>
        </w:rPr>
        <w:t>Sources:</w:t>
      </w:r>
    </w:p>
    <w:p w14:paraId="3F4FF7C2" w14:textId="77777777" w:rsidR="00841509" w:rsidRPr="00841509" w:rsidRDefault="00841509" w:rsidP="00841509">
      <w:pPr>
        <w:numPr>
          <w:ilvl w:val="1"/>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Jegadeesh and Titman (1993), "Returns to Buying Winners and Selling Losers"</w:t>
      </w:r>
      <w:r w:rsidRPr="00841509">
        <w:rPr>
          <w:rFonts w:ascii="Arial" w:eastAsia="Times New Roman" w:hAnsi="Arial" w:cs="Arial"/>
          <w:kern w:val="0"/>
          <w:sz w:val="24"/>
          <w:szCs w:val="24"/>
          <w:lang w:val="en-GB" w:eastAsia="en-GB"/>
          <w14:ligatures w14:val="none"/>
        </w:rPr>
        <w:t xml:space="preserve"> – The seminal paper defining the standard 12-month momentum strategy we use as our traditional baseline.</w:t>
      </w:r>
    </w:p>
    <w:p w14:paraId="79E09195" w14:textId="77777777" w:rsidR="00841509" w:rsidRPr="00841509" w:rsidRDefault="00841509" w:rsidP="00841509">
      <w:pPr>
        <w:numPr>
          <w:ilvl w:val="1"/>
          <w:numId w:val="17"/>
        </w:numPr>
        <w:spacing w:after="100" w:afterAutospacing="1" w:line="240" w:lineRule="auto"/>
        <w:rPr>
          <w:rFonts w:ascii="Arial" w:eastAsia="Times New Roman" w:hAnsi="Arial" w:cs="Arial"/>
          <w:kern w:val="0"/>
          <w:sz w:val="24"/>
          <w:szCs w:val="24"/>
          <w:lang w:val="en-GB" w:eastAsia="en-GB"/>
          <w14:ligatures w14:val="none"/>
        </w:rPr>
      </w:pPr>
      <w:r w:rsidRPr="00841509">
        <w:rPr>
          <w:rFonts w:ascii="Arial" w:eastAsia="Times New Roman" w:hAnsi="Arial" w:cs="Arial"/>
          <w:i/>
          <w:iCs/>
          <w:kern w:val="0"/>
          <w:sz w:val="24"/>
          <w:szCs w:val="24"/>
          <w:lang w:val="en-GB" w:eastAsia="en-GB"/>
          <w14:ligatures w14:val="none"/>
        </w:rPr>
        <w:t>Ødegaard, B. A. (2020), "Asset Pricing Data at the Oslo Stock Exchange"</w:t>
      </w:r>
      <w:r w:rsidRPr="00841509">
        <w:rPr>
          <w:rFonts w:ascii="Arial" w:eastAsia="Times New Roman" w:hAnsi="Arial" w:cs="Arial"/>
          <w:kern w:val="0"/>
          <w:sz w:val="24"/>
          <w:szCs w:val="24"/>
          <w:lang w:val="en-GB" w:eastAsia="en-GB"/>
          <w14:ligatures w14:val="none"/>
        </w:rPr>
        <w:t xml:space="preserve"> – The definitive academic source for Norwegian market benchmarks and factor data.</w:t>
      </w:r>
    </w:p>
    <w:p w14:paraId="652F1682" w14:textId="77777777" w:rsidR="00665CE0" w:rsidRPr="00665CE0" w:rsidRDefault="00665CE0">
      <w:pPr>
        <w:rPr>
          <w:lang w:val="en-GB"/>
        </w:rPr>
      </w:pPr>
    </w:p>
    <w:sectPr w:rsidR="00665CE0" w:rsidRPr="00665C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5EC0"/>
    <w:multiLevelType w:val="multilevel"/>
    <w:tmpl w:val="6F2E9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B1B"/>
    <w:multiLevelType w:val="multilevel"/>
    <w:tmpl w:val="69708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5683"/>
    <w:multiLevelType w:val="multilevel"/>
    <w:tmpl w:val="7438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E7EAC"/>
    <w:multiLevelType w:val="multilevel"/>
    <w:tmpl w:val="C18C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72ACC"/>
    <w:multiLevelType w:val="multilevel"/>
    <w:tmpl w:val="0E005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B49D3"/>
    <w:multiLevelType w:val="multilevel"/>
    <w:tmpl w:val="B4CA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02C13"/>
    <w:multiLevelType w:val="multilevel"/>
    <w:tmpl w:val="C39E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205D1"/>
    <w:multiLevelType w:val="multilevel"/>
    <w:tmpl w:val="85E2A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668FE"/>
    <w:multiLevelType w:val="multilevel"/>
    <w:tmpl w:val="26D8A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21C5F"/>
    <w:multiLevelType w:val="multilevel"/>
    <w:tmpl w:val="3060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C70E3"/>
    <w:multiLevelType w:val="multilevel"/>
    <w:tmpl w:val="01B8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C7E79"/>
    <w:multiLevelType w:val="multilevel"/>
    <w:tmpl w:val="9176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E0A0C"/>
    <w:multiLevelType w:val="multilevel"/>
    <w:tmpl w:val="4FD6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553A0"/>
    <w:multiLevelType w:val="multilevel"/>
    <w:tmpl w:val="B59C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31CEA"/>
    <w:multiLevelType w:val="multilevel"/>
    <w:tmpl w:val="0968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40602"/>
    <w:multiLevelType w:val="multilevel"/>
    <w:tmpl w:val="3EF8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E1B85"/>
    <w:multiLevelType w:val="multilevel"/>
    <w:tmpl w:val="E45C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16388">
    <w:abstractNumId w:val="6"/>
  </w:num>
  <w:num w:numId="2" w16cid:durableId="153491936">
    <w:abstractNumId w:val="12"/>
  </w:num>
  <w:num w:numId="3" w16cid:durableId="749160462">
    <w:abstractNumId w:val="9"/>
  </w:num>
  <w:num w:numId="4" w16cid:durableId="2033921584">
    <w:abstractNumId w:val="16"/>
  </w:num>
  <w:num w:numId="5" w16cid:durableId="926381371">
    <w:abstractNumId w:val="1"/>
  </w:num>
  <w:num w:numId="6" w16cid:durableId="729841454">
    <w:abstractNumId w:val="4"/>
  </w:num>
  <w:num w:numId="7" w16cid:durableId="175507666">
    <w:abstractNumId w:val="11"/>
  </w:num>
  <w:num w:numId="8" w16cid:durableId="1745714001">
    <w:abstractNumId w:val="13"/>
  </w:num>
  <w:num w:numId="9" w16cid:durableId="863904792">
    <w:abstractNumId w:val="2"/>
  </w:num>
  <w:num w:numId="10" w16cid:durableId="151408507">
    <w:abstractNumId w:val="15"/>
  </w:num>
  <w:num w:numId="11" w16cid:durableId="1930233610">
    <w:abstractNumId w:val="14"/>
  </w:num>
  <w:num w:numId="12" w16cid:durableId="630288253">
    <w:abstractNumId w:val="8"/>
  </w:num>
  <w:num w:numId="13" w16cid:durableId="1716611995">
    <w:abstractNumId w:val="10"/>
  </w:num>
  <w:num w:numId="14" w16cid:durableId="145053416">
    <w:abstractNumId w:val="7"/>
  </w:num>
  <w:num w:numId="15" w16cid:durableId="570193117">
    <w:abstractNumId w:val="5"/>
  </w:num>
  <w:num w:numId="16" w16cid:durableId="2039233543">
    <w:abstractNumId w:val="3"/>
  </w:num>
  <w:num w:numId="17" w16cid:durableId="52121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65"/>
    <w:rsid w:val="00303E65"/>
    <w:rsid w:val="003B5D99"/>
    <w:rsid w:val="00425063"/>
    <w:rsid w:val="0051299B"/>
    <w:rsid w:val="005912C0"/>
    <w:rsid w:val="00665CE0"/>
    <w:rsid w:val="00720677"/>
    <w:rsid w:val="00841509"/>
    <w:rsid w:val="009F5362"/>
    <w:rsid w:val="00A1350B"/>
    <w:rsid w:val="00A929A5"/>
    <w:rsid w:val="00AE0381"/>
    <w:rsid w:val="00D567A8"/>
    <w:rsid w:val="00F0503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6156"/>
  <w15:chartTrackingRefBased/>
  <w15:docId w15:val="{E5F63687-5706-458A-941B-24A066F0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0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0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303E6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03E6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03E6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03E6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03E6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03E6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03E6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03E6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03E6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303E6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03E6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03E6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03E6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03E6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03E6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03E65"/>
    <w:rPr>
      <w:rFonts w:eastAsiaTheme="majorEastAsia" w:cstheme="majorBidi"/>
      <w:color w:val="272727" w:themeColor="text1" w:themeTint="D8"/>
    </w:rPr>
  </w:style>
  <w:style w:type="paragraph" w:styleId="Nzev">
    <w:name w:val="Title"/>
    <w:basedOn w:val="Normln"/>
    <w:next w:val="Normln"/>
    <w:link w:val="NzevChar"/>
    <w:uiPriority w:val="10"/>
    <w:qFormat/>
    <w:rsid w:val="0030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03E6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03E6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03E6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03E65"/>
    <w:pPr>
      <w:spacing w:before="160"/>
      <w:jc w:val="center"/>
    </w:pPr>
    <w:rPr>
      <w:i/>
      <w:iCs/>
      <w:color w:val="404040" w:themeColor="text1" w:themeTint="BF"/>
    </w:rPr>
  </w:style>
  <w:style w:type="character" w:customStyle="1" w:styleId="CittChar">
    <w:name w:val="Citát Char"/>
    <w:basedOn w:val="Standardnpsmoodstavce"/>
    <w:link w:val="Citt"/>
    <w:uiPriority w:val="29"/>
    <w:rsid w:val="00303E65"/>
    <w:rPr>
      <w:i/>
      <w:iCs/>
      <w:color w:val="404040" w:themeColor="text1" w:themeTint="BF"/>
    </w:rPr>
  </w:style>
  <w:style w:type="paragraph" w:styleId="Odstavecseseznamem">
    <w:name w:val="List Paragraph"/>
    <w:basedOn w:val="Normln"/>
    <w:uiPriority w:val="34"/>
    <w:qFormat/>
    <w:rsid w:val="00303E65"/>
    <w:pPr>
      <w:ind w:left="720"/>
      <w:contextualSpacing/>
    </w:pPr>
  </w:style>
  <w:style w:type="character" w:styleId="Zdraznnintenzivn">
    <w:name w:val="Intense Emphasis"/>
    <w:basedOn w:val="Standardnpsmoodstavce"/>
    <w:uiPriority w:val="21"/>
    <w:qFormat/>
    <w:rsid w:val="00303E65"/>
    <w:rPr>
      <w:i/>
      <w:iCs/>
      <w:color w:val="0F4761" w:themeColor="accent1" w:themeShade="BF"/>
    </w:rPr>
  </w:style>
  <w:style w:type="paragraph" w:styleId="Vrazncitt">
    <w:name w:val="Intense Quote"/>
    <w:basedOn w:val="Normln"/>
    <w:next w:val="Normln"/>
    <w:link w:val="VrazncittChar"/>
    <w:uiPriority w:val="30"/>
    <w:qFormat/>
    <w:rsid w:val="0030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03E65"/>
    <w:rPr>
      <w:i/>
      <w:iCs/>
      <w:color w:val="0F4761" w:themeColor="accent1" w:themeShade="BF"/>
    </w:rPr>
  </w:style>
  <w:style w:type="character" w:styleId="Odkazintenzivn">
    <w:name w:val="Intense Reference"/>
    <w:basedOn w:val="Standardnpsmoodstavce"/>
    <w:uiPriority w:val="32"/>
    <w:qFormat/>
    <w:rsid w:val="00303E65"/>
    <w:rPr>
      <w:b/>
      <w:bCs/>
      <w:smallCaps/>
      <w:color w:val="0F4761" w:themeColor="accent1" w:themeShade="BF"/>
      <w:spacing w:val="5"/>
    </w:rPr>
  </w:style>
  <w:style w:type="paragraph" w:styleId="Normlnweb">
    <w:name w:val="Normal (Web)"/>
    <w:basedOn w:val="Normln"/>
    <w:uiPriority w:val="99"/>
    <w:semiHidden/>
    <w:unhideWhenUsed/>
    <w:rsid w:val="00A1350B"/>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dHTML">
    <w:name w:val="HTML Code"/>
    <w:basedOn w:val="Standardnpsmoodstavce"/>
    <w:uiPriority w:val="99"/>
    <w:semiHidden/>
    <w:unhideWhenUsed/>
    <w:rsid w:val="00A1350B"/>
    <w:rPr>
      <w:rFonts w:ascii="Courier New" w:eastAsia="Times New Roman" w:hAnsi="Courier New" w:cs="Courier New"/>
      <w:sz w:val="20"/>
      <w:szCs w:val="20"/>
    </w:rPr>
  </w:style>
  <w:style w:type="character" w:customStyle="1" w:styleId="math-inline">
    <w:name w:val="math-inline"/>
    <w:basedOn w:val="Standardnpsmoodstavce"/>
    <w:rsid w:val="00A13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2390</Words>
  <Characters>13629</Characters>
  <Application>Microsoft Office Word</Application>
  <DocSecurity>0</DocSecurity>
  <Lines>113</Lines>
  <Paragraphs>31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Šišma</dc:creator>
  <cp:keywords/>
  <dc:description/>
  <cp:lastModifiedBy>Jakub Šišma</cp:lastModifiedBy>
  <cp:revision>4</cp:revision>
  <dcterms:created xsi:type="dcterms:W3CDTF">2026-03-13T17:00:00Z</dcterms:created>
  <dcterms:modified xsi:type="dcterms:W3CDTF">2026-03-15T09:15:00Z</dcterms:modified>
</cp:coreProperties>
</file>