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rFonts w:ascii="Calibri" w:cs="Calibri" w:eastAsia="Calibri" w:hAnsi="Calibri"/>
          <w:b/>
          <w:bCs/>
          <w:color w:val="2E5C8A"/>
          <w:spacing w:val="60"/>
          <w:sz w:val="22"/>
          <w:szCs w:val="22"/>
        </w:rPr>
        <w:t xml:space="preserve">SEN381 SOFTWARE ENGINEERING 381</w:t>
      </w:r>
    </w:p>
    <w:p>
      <w:pPr>
        <w:spacing w:after="0" w:before="240"/>
        <w:jc w:val="center"/>
      </w:pPr>
      <w:r>
        <w:rPr>
          <w:rFonts w:ascii="Calibri" w:cs="Calibri" w:eastAsia="Calibri" w:hAnsi="Calibri"/>
          <w:b/>
          <w:bCs/>
          <w:color w:val="1F3864"/>
          <w:sz w:val="50"/>
          <w:szCs w:val="50"/>
        </w:rPr>
        <w:t xml:space="preserve">PROJECT ENGINEERING DOCUMENT</w:t>
      </w:r>
    </w:p>
    <w:p>
      <w:pPr>
        <w:spacing w:after="300" w:before="60"/>
        <w:jc w:val="center"/>
      </w:pPr>
      <w:r>
        <w:rPr>
          <w:rFonts w:ascii="Calibri" w:cs="Calibri" w:eastAsia="Calibri" w:hAnsi="Calibri"/>
          <w:color w:val="404040"/>
          <w:sz w:val="25"/>
          <w:szCs w:val="25"/>
        </w:rPr>
        <w:t xml:space="preserve">CivicConnect — Community Service Request Management Platform</w:t>
      </w:r>
    </w:p>
    <w:p>
      <w:pPr>
        <w:pBdr>
          <w:top w:val="single" w:color="1F3864" w:sz="12" w:space="10"/>
          <w:bottom w:val="single" w:color="1F3864" w:sz="12" w:space="10"/>
        </w:pBdr>
        <w:spacing w:after="700"/>
        <w:jc w:val="center"/>
      </w:pPr>
      <w:r>
        <w:rPr>
          <w:rFonts w:ascii="Calibri" w:cs="Calibri" w:eastAsia="Calibri" w:hAnsi="Calibri"/>
          <w:b/>
          <w:bCs/>
          <w:color w:val="1F3864"/>
          <w:sz w:val="26"/>
          <w:szCs w:val="26"/>
        </w:rPr>
        <w:t xml:space="preserve">Version 1.0  —  Engineering Baseline  ·  Milestone 1</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166"/>
        <w:gridCol w:w="6860"/>
      </w:tblGrid>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8"/>
                <w:szCs w:val="18"/>
              </w:rPr>
              <w:t xml:space="preserve">Module</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8"/>
                <w:szCs w:val="18"/>
              </w:rPr>
              <w:t xml:space="preserve">SEN381 Software Engineering 381 (NQF 8), Belgium Campus ITversity</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8"/>
                <w:szCs w:val="18"/>
              </w:rPr>
              <w:t xml:space="preserve">Team</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8"/>
                <w:szCs w:val="18"/>
              </w:rPr>
              <w:t xml:space="preserve">Masego (Workstream A) · Don (Workstream B) · Emile (Workstream C)</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8"/>
                <w:szCs w:val="18"/>
              </w:rPr>
              <w:t xml:space="preserve">Repository</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8"/>
                <w:szCs w:val="18"/>
              </w:rPr>
              <w:t xml:space="preserve">https://github.com/DonLukus/Civic-connect</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8"/>
                <w:szCs w:val="18"/>
              </w:rPr>
              <w:t xml:space="preserve">Baseline date</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8"/>
                <w:szCs w:val="18"/>
              </w:rPr>
              <w:t xml:space="preserve">8 September 2026</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8"/>
                <w:szCs w:val="18"/>
              </w:rPr>
              <w:t xml:space="preserve">Governing document</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8"/>
                <w:szCs w:val="18"/>
              </w:rPr>
              <w:t xml:space="preserve">SEN381 CivicConnect Master Project Brief v1.1 (2026)</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8"/>
                <w:szCs w:val="18"/>
              </w:rPr>
              <w:t xml:space="preserve">Status</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8"/>
                <w:szCs w:val="18"/>
              </w:rPr>
              <w:t xml:space="preserve">Baselined — submitted for the M1 gate decision</w:t>
            </w:r>
          </w:p>
        </w:tc>
      </w:tr>
    </w:tbl>
    <w:p>
      <w:r>
        <w:br w:type="page"/>
      </w:r>
    </w:p>
    <w:p>
      <w:pPr>
        <w:pStyle w:val="Heading1"/>
        <w:spacing w:after="160" w:before="320"/>
      </w:pPr>
      <w:r>
        <w:rPr>
          <w:rFonts w:ascii="Calibri" w:cs="Calibri" w:eastAsia="Calibri" w:hAnsi="Calibri"/>
          <w:b/>
          <w:bCs/>
          <w:color w:val="1F3864"/>
          <w:sz w:val="30"/>
          <w:szCs w:val="30"/>
        </w:rPr>
        <w:t xml:space="preserve">Document Control</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42"/>
        <w:gridCol w:w="993"/>
        <w:gridCol w:w="903"/>
        <w:gridCol w:w="3971"/>
        <w:gridCol w:w="1264"/>
        <w:gridCol w:w="1353"/>
      </w:tblGrid>
      <w:tr>
        <w:trPr>
          <w:tblHeader/>
        </w:trPr>
        <w:tc>
          <w:tcPr>
            <w:tcW w:type="dxa" w:w="54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Ver</w:t>
            </w:r>
          </w:p>
        </w:tc>
        <w:tc>
          <w:tcPr>
            <w:tcW w:type="dxa" w:w="99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Date</w:t>
            </w:r>
          </w:p>
        </w:tc>
        <w:tc>
          <w:tcPr>
            <w:tcW w:type="dxa" w:w="90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Author</w:t>
            </w:r>
          </w:p>
        </w:tc>
        <w:tc>
          <w:tcPr>
            <w:tcW w:type="dxa" w:w="397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Change</w:t>
            </w:r>
          </w:p>
        </w:tc>
        <w:tc>
          <w:tcPr>
            <w:tcW w:type="dxa" w:w="126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Reviewed by</w:t>
            </w:r>
          </w:p>
        </w:tc>
        <w:tc>
          <w:tcPr>
            <w:tcW w:type="dxa" w:w="135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Status</w:t>
            </w:r>
          </w:p>
        </w:tc>
      </w:tr>
      <w:tr>
        <w:tc>
          <w:tcPr>
            <w:tcW w:type="dxa" w:w="54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0.1</w:t>
            </w:r>
          </w:p>
        </w:tc>
        <w:tc>
          <w:tcPr>
            <w:tcW w:type="dxa" w:w="99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2026-09-08</w:t>
            </w:r>
          </w:p>
        </w:tc>
        <w:tc>
          <w:tcPr>
            <w:tcW w:type="dxa" w:w="9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Masego</w:t>
            </w:r>
          </w:p>
        </w:tc>
        <w:tc>
          <w:tcPr>
            <w:tcW w:type="dxa" w:w="397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Problem, stakeholders, scope, constraints, decisions</w:t>
            </w:r>
          </w:p>
        </w:tc>
        <w:tc>
          <w:tcPr>
            <w:tcW w:type="dxa" w:w="126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Don, Emile</w:t>
            </w:r>
          </w:p>
        </w:tc>
        <w:tc>
          <w:tcPr>
            <w:tcW w:type="dxa" w:w="135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Draft</w:t>
            </w:r>
          </w:p>
        </w:tc>
      </w:tr>
      <w:tr>
        <w:tc>
          <w:tcPr>
            <w:tcW w:type="dxa" w:w="54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0.2</w:t>
            </w:r>
          </w:p>
        </w:tc>
        <w:tc>
          <w:tcPr>
            <w:tcW w:type="dxa" w:w="99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2026-09-08</w:t>
            </w:r>
          </w:p>
        </w:tc>
        <w:tc>
          <w:tcPr>
            <w:tcW w:type="dxa" w:w="9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Don</w:t>
            </w:r>
          </w:p>
        </w:tc>
        <w:tc>
          <w:tcPr>
            <w:tcW w:type="dxa" w:w="397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Requirements, acceptance criteria, RTM, forward engineering, repository governance</w:t>
            </w:r>
          </w:p>
        </w:tc>
        <w:tc>
          <w:tcPr>
            <w:tcW w:type="dxa" w:w="126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Masego, Emile</w:t>
            </w:r>
          </w:p>
        </w:tc>
        <w:tc>
          <w:tcPr>
            <w:tcW w:type="dxa" w:w="135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Draft</w:t>
            </w:r>
          </w:p>
        </w:tc>
      </w:tr>
      <w:tr>
        <w:tc>
          <w:tcPr>
            <w:tcW w:type="dxa" w:w="54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0.3</w:t>
            </w:r>
          </w:p>
        </w:tc>
        <w:tc>
          <w:tcPr>
            <w:tcW w:type="dxa" w:w="99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2026-09-08</w:t>
            </w:r>
          </w:p>
        </w:tc>
        <w:tc>
          <w:tcPr>
            <w:tcW w:type="dxa" w:w="9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Emile</w:t>
            </w:r>
          </w:p>
        </w:tc>
        <w:tc>
          <w:tcPr>
            <w:tcW w:type="dxa" w:w="397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Risk, AI control, working agreement, document control</w:t>
            </w:r>
          </w:p>
        </w:tc>
        <w:tc>
          <w:tcPr>
            <w:tcW w:type="dxa" w:w="126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Masego, Don</w:t>
            </w:r>
          </w:p>
        </w:tc>
        <w:tc>
          <w:tcPr>
            <w:tcW w:type="dxa" w:w="135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Draft</w:t>
            </w:r>
          </w:p>
        </w:tc>
      </w:tr>
      <w:tr>
        <w:tc>
          <w:tcPr>
            <w:tcW w:type="dxa" w:w="54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0.9</w:t>
            </w:r>
          </w:p>
        </w:tc>
        <w:tc>
          <w:tcPr>
            <w:tcW w:type="dxa" w:w="99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2026-09-08</w:t>
            </w:r>
          </w:p>
        </w:tc>
        <w:tc>
          <w:tcPr>
            <w:tcW w:type="dxa" w:w="9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Emile</w:t>
            </w:r>
          </w:p>
        </w:tc>
        <w:tc>
          <w:tcPr>
            <w:tcW w:type="dxa" w:w="397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Sections integrated; identifiers reconciled across all registers</w:t>
            </w:r>
          </w:p>
        </w:tc>
        <w:tc>
          <w:tcPr>
            <w:tcW w:type="dxa" w:w="126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Masego, Don</w:t>
            </w:r>
          </w:p>
        </w:tc>
        <w:tc>
          <w:tcPr>
            <w:tcW w:type="dxa" w:w="135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In review</w:t>
            </w:r>
          </w:p>
        </w:tc>
      </w:tr>
      <w:tr>
        <w:tc>
          <w:tcPr>
            <w:tcW w:type="dxa" w:w="54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1.0</w:t>
            </w:r>
          </w:p>
        </w:tc>
        <w:tc>
          <w:tcPr>
            <w:tcW w:type="dxa" w:w="99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8 September 2026</w:t>
            </w:r>
          </w:p>
        </w:tc>
        <w:tc>
          <w:tcPr>
            <w:tcW w:type="dxa" w:w="9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Team</w:t>
            </w:r>
          </w:p>
        </w:tc>
        <w:tc>
          <w:tcPr>
            <w:tcW w:type="dxa" w:w="397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Baselined. Scope, requirements and acceptance criteria under change control.</w:t>
            </w:r>
          </w:p>
        </w:tc>
        <w:tc>
          <w:tcPr>
            <w:tcW w:type="dxa" w:w="126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All three</w:t>
            </w:r>
          </w:p>
        </w:tc>
        <w:tc>
          <w:tcPr>
            <w:tcW w:type="dxa" w:w="135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BASELINED</w:t>
            </w:r>
          </w:p>
        </w:tc>
      </w:tr>
    </w:tbl>
    <w:p>
      <w:pPr>
        <w:pStyle w:val="Heading2"/>
        <w:spacing w:after="110" w:before="240"/>
      </w:pPr>
      <w:r>
        <w:rPr>
          <w:rFonts w:ascii="Calibri" w:cs="Calibri" w:eastAsia="Calibri" w:hAnsi="Calibri"/>
          <w:b/>
          <w:bCs/>
          <w:color w:val="2E5C8A"/>
          <w:sz w:val="24"/>
          <w:szCs w:val="24"/>
        </w:rPr>
        <w:t xml:space="preserve">Authorship, review and approval</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264"/>
        <w:gridCol w:w="2527"/>
        <w:gridCol w:w="2527"/>
        <w:gridCol w:w="2708"/>
      </w:tblGrid>
      <w:tr>
        <w:trPr>
          <w:tblHeader/>
        </w:trPr>
        <w:tc>
          <w:tcPr>
            <w:tcW w:type="dxa" w:w="126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Member</w:t>
            </w:r>
          </w:p>
        </w:tc>
        <w:tc>
          <w:tcPr>
            <w:tcW w:type="dxa" w:w="252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Authored</w:t>
            </w:r>
          </w:p>
        </w:tc>
        <w:tc>
          <w:tcPr>
            <w:tcW w:type="dxa" w:w="252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Reviewed</w:t>
            </w:r>
          </w:p>
        </w:tc>
        <w:tc>
          <w:tcPr>
            <w:tcW w:type="dxa" w:w="270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Approval</w:t>
            </w:r>
          </w:p>
        </w:tc>
      </w:tr>
      <w:tr>
        <w:tc>
          <w:tcPr>
            <w:tcW w:type="dxa" w:w="126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Masego</w:t>
            </w:r>
          </w:p>
        </w:tc>
        <w:tc>
          <w:tcPr>
            <w:tcW w:type="dxa" w:w="25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§2, 3, 4, 5, 10</w:t>
            </w:r>
          </w:p>
        </w:tc>
        <w:tc>
          <w:tcPr>
            <w:tcW w:type="dxa" w:w="25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§6, 7, 8, 9, 11–13</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Approved 8 September 2026</w:t>
            </w:r>
          </w:p>
        </w:tc>
      </w:tr>
      <w:tr>
        <w:tc>
          <w:tcPr>
            <w:tcW w:type="dxa" w:w="126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Don</w:t>
            </w:r>
          </w:p>
        </w:tc>
        <w:tc>
          <w:tcPr>
            <w:tcW w:type="dxa" w:w="25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§6, 7, 9, 12</w:t>
            </w:r>
          </w:p>
        </w:tc>
        <w:tc>
          <w:tcPr>
            <w:tcW w:type="dxa" w:w="25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§2–5, 10, 11, 13</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Approved 8 September 2026</w:t>
            </w:r>
          </w:p>
        </w:tc>
      </w:tr>
      <w:tr>
        <w:tc>
          <w:tcPr>
            <w:tcW w:type="dxa" w:w="126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Emile</w:t>
            </w:r>
          </w:p>
        </w:tc>
        <w:tc>
          <w:tcPr>
            <w:tcW w:type="dxa" w:w="25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§1, 8, 11, 13, 14, 15</w:t>
            </w:r>
          </w:p>
        </w:tc>
        <w:tc>
          <w:tcPr>
            <w:tcW w:type="dxa" w:w="25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§2–7, 9, 10, 12</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Approved 8 September 2026</w:t>
            </w:r>
          </w:p>
        </w:tc>
      </w:tr>
    </w:tbl>
    <w:p>
      <w:pPr>
        <w:spacing w:after="100" w:before="0" w:line="264"/>
        <w:jc w:val="left"/>
      </w:pPr>
      <w:r>
        <w:rPr>
          <w:rFonts w:ascii="Calibri" w:cs="Calibri" w:eastAsia="Calibri" w:hAnsi="Calibri"/>
          <w:b w:val="false"/>
          <w:bCs w:val="false"/>
          <w:i/>
          <w:iCs/>
          <w:color w:val="000000"/>
          <w:sz w:val="17"/>
          <w:szCs w:val="17"/>
        </w:rPr>
        <w:t xml:space="preserve">Every section was reviewed by two members other than its author, through pull requests. Authorship identifies who drafted a section; all three members are accountable for the whole document. The gate decision rests with the assessor.</w:t>
      </w:r>
    </w:p>
    <w:p>
      <w:pPr>
        <w:pStyle w:val="Heading2"/>
        <w:spacing w:after="110" w:before="240"/>
      </w:pPr>
      <w:r>
        <w:rPr>
          <w:rFonts w:ascii="Calibri" w:cs="Calibri" w:eastAsia="Calibri" w:hAnsi="Calibri"/>
          <w:b/>
          <w:bCs/>
          <w:color w:val="2E5C8A"/>
          <w:sz w:val="24"/>
          <w:szCs w:val="24"/>
        </w:rPr>
        <w:t xml:space="preserve">Linked controlled artefacts</w:t>
      </w:r>
    </w:p>
    <w:p>
      <w:pPr>
        <w:spacing w:after="100" w:before="0" w:line="264"/>
        <w:jc w:val="left"/>
      </w:pPr>
      <w:r>
        <w:rPr>
          <w:rFonts w:ascii="Calibri" w:cs="Calibri" w:eastAsia="Calibri" w:hAnsi="Calibri"/>
          <w:b w:val="false"/>
          <w:bCs w:val="false"/>
          <w:i w:val="false"/>
          <w:iCs w:val="false"/>
          <w:color w:val="000000"/>
          <w:sz w:val="19"/>
          <w:szCs w:val="19"/>
        </w:rPr>
        <w:t xml:space="preserve">Registers reproduced here are extracts taken at baseline. The CSV set in the repository is the source of truth (DEC-005).</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069"/>
        <w:gridCol w:w="3069"/>
        <w:gridCol w:w="2888"/>
      </w:tblGrid>
      <w:tr>
        <w:trPr>
          <w:tblHeader/>
        </w:trPr>
        <w:tc>
          <w:tcPr>
            <w:tcW w:type="dxa" w:w="3069"/>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Artefact</w:t>
            </w:r>
          </w:p>
        </w:tc>
        <w:tc>
          <w:tcPr>
            <w:tcW w:type="dxa" w:w="3069"/>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Location</w:t>
            </w:r>
          </w:p>
        </w:tc>
        <w:tc>
          <w:tcPr>
            <w:tcW w:type="dxa" w:w="288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State at v1.0</w:t>
            </w:r>
          </w:p>
        </w:tc>
      </w:tr>
      <w:tr>
        <w:tc>
          <w:tcPr>
            <w:tcW w:type="dxa" w:w="3069"/>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Requirements, scope, constraints</w:t>
            </w:r>
          </w:p>
        </w:tc>
        <w:tc>
          <w:tcPr>
            <w:tcW w:type="dxa" w:w="306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docs/requirements/</w:t>
            </w:r>
          </w:p>
        </w:tc>
        <w:tc>
          <w:tcPr>
            <w:tcW w:type="dxa" w:w="288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Baselined</w:t>
            </w:r>
          </w:p>
        </w:tc>
      </w:tr>
      <w:tr>
        <w:tc>
          <w:tcPr>
            <w:tcW w:type="dxa" w:w="306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Traceability matrix</w:t>
            </w:r>
          </w:p>
        </w:tc>
        <w:tc>
          <w:tcPr>
            <w:tcW w:type="dxa" w:w="306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docs/requirements/RTM.csv</w:t>
            </w:r>
          </w:p>
        </w:tc>
        <w:tc>
          <w:tcPr>
            <w:tcW w:type="dxa" w:w="288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40 of 40 traced</w:t>
            </w:r>
          </w:p>
        </w:tc>
      </w:tr>
      <w:tr>
        <w:tc>
          <w:tcPr>
            <w:tcW w:type="dxa" w:w="3069"/>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 and assumption registers</w:t>
            </w:r>
          </w:p>
        </w:tc>
        <w:tc>
          <w:tcPr>
            <w:tcW w:type="dxa" w:w="306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docs/risk/</w:t>
            </w:r>
          </w:p>
        </w:tc>
        <w:tc>
          <w:tcPr>
            <w:tcW w:type="dxa" w:w="288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14 risks, 5 assumptions</w:t>
            </w:r>
          </w:p>
        </w:tc>
      </w:tr>
      <w:tr>
        <w:tc>
          <w:tcPr>
            <w:tcW w:type="dxa" w:w="306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Decision log</w:t>
            </w:r>
          </w:p>
        </w:tc>
        <w:tc>
          <w:tcPr>
            <w:tcW w:type="dxa" w:w="306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docs/decisions/</w:t>
            </w:r>
          </w:p>
        </w:tc>
        <w:tc>
          <w:tcPr>
            <w:tcW w:type="dxa" w:w="288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10 decided, 2 deferred</w:t>
            </w:r>
          </w:p>
        </w:tc>
      </w:tr>
      <w:tr>
        <w:tc>
          <w:tcPr>
            <w:tcW w:type="dxa" w:w="3069"/>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Forward engineering register</w:t>
            </w:r>
          </w:p>
        </w:tc>
        <w:tc>
          <w:tcPr>
            <w:tcW w:type="dxa" w:w="306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docs/forward-engineering/</w:t>
            </w:r>
          </w:p>
        </w:tc>
        <w:tc>
          <w:tcPr>
            <w:tcW w:type="dxa" w:w="288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7 considerations</w:t>
            </w:r>
          </w:p>
        </w:tc>
      </w:tr>
      <w:tr>
        <w:tc>
          <w:tcPr>
            <w:tcW w:type="dxa" w:w="306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AI usage register, governance, sign-off</w:t>
            </w:r>
          </w:p>
        </w:tc>
        <w:tc>
          <w:tcPr>
            <w:tcW w:type="dxa" w:w="306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docs/governance/, docs/baseline/</w:t>
            </w:r>
          </w:p>
        </w:tc>
        <w:tc>
          <w:tcPr>
            <w:tcW w:type="dxa" w:w="288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Live and controlled</w:t>
            </w:r>
          </w:p>
        </w:tc>
      </w:tr>
    </w:tbl>
    <w:p>
      <w:r>
        <w:br w:type="page"/>
      </w:r>
    </w:p>
    <w:p>
      <w:pPr>
        <w:pStyle w:val="Heading1"/>
        <w:spacing w:after="160" w:before="320"/>
      </w:pPr>
      <w:r>
        <w:rPr>
          <w:rFonts w:ascii="Calibri" w:cs="Calibri" w:eastAsia="Calibri" w:hAnsi="Calibri"/>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00" w:before="160" w:line="264"/>
        <w:jc w:val="left"/>
      </w:pPr>
      <w:r>
        <w:rPr>
          <w:rFonts w:ascii="Calibri" w:cs="Calibri" w:eastAsia="Calibri" w:hAnsi="Calibri"/>
          <w:b w:val="false"/>
          <w:bCs w:val="false"/>
          <w:i/>
          <w:iCs/>
          <w:color w:val="808080"/>
          <w:sz w:val="15"/>
          <w:szCs w:val="15"/>
        </w:rPr>
        <w:t xml:space="preserve">Empty? Press Ctrl+A then F9 in Word.</w:t>
      </w:r>
    </w:p>
    <w:p>
      <w:pPr>
        <w:pStyle w:val="Heading1"/>
        <w:pageBreakBefore/>
        <w:spacing w:after="160" w:before="320"/>
      </w:pPr>
      <w:r>
        <w:rPr>
          <w:rFonts w:ascii="Calibri" w:cs="Calibri" w:eastAsia="Calibri" w:hAnsi="Calibri"/>
          <w:b/>
          <w:bCs/>
          <w:color w:val="1F3864"/>
          <w:sz w:val="30"/>
          <w:szCs w:val="30"/>
        </w:rPr>
        <w:t xml:space="preserve">1. Introduction</w:t>
      </w:r>
    </w:p>
    <w:p>
      <w:pPr>
        <w:spacing w:after="100" w:before="0" w:line="264"/>
        <w:jc w:val="left"/>
      </w:pPr>
      <w:r>
        <w:rPr>
          <w:rFonts w:ascii="Calibri" w:cs="Calibri" w:eastAsia="Calibri" w:hAnsi="Calibri"/>
          <w:b w:val="false"/>
          <w:bCs w:val="false"/>
          <w:i w:val="false"/>
          <w:iCs w:val="false"/>
          <w:color w:val="000000"/>
          <w:sz w:val="19"/>
          <w:szCs w:val="19"/>
        </w:rPr>
        <w:t xml:space="preserve">This is the single evolving engineering record for CivicConnect [1, §6]. Version 1.0 establishes the baseline: what the team commits to build, for whom, within what constraints, what it has deliberately not decided, and how change will be controlled. It is extended, not replaced, at each milestone — v2.0 adds architecture and design, v3.0 construction and quality evidence, v4.0 the final success evaluation.</w:t>
      </w:r>
    </w:p>
    <w:p>
      <w:pPr>
        <w:spacing w:after="100" w:before="0" w:line="264"/>
        <w:jc w:val="left"/>
      </w:pPr>
      <w:r>
        <w:rPr>
          <w:rFonts w:ascii="Calibri" w:cs="Calibri" w:eastAsia="Calibri" w:hAnsi="Calibri"/>
          <w:b w:val="false"/>
          <w:bCs w:val="false"/>
          <w:i w:val="false"/>
          <w:iCs w:val="false"/>
          <w:color w:val="000000"/>
          <w:sz w:val="19"/>
          <w:szCs w:val="19"/>
        </w:rPr>
        <w:t xml:space="preserve">M1 is a foundation milestone. Technology stack, architecture, database schema, UI, API contracts, CI pipeline and deployment are outside its boundary. Section 14 records what is deferred and why.</w:t>
      </w:r>
    </w:p>
    <w:p>
      <w:pPr>
        <w:pStyle w:val="Heading2"/>
        <w:spacing w:after="110" w:before="240"/>
      </w:pPr>
      <w:r>
        <w:rPr>
          <w:rFonts w:ascii="Calibri" w:cs="Calibri" w:eastAsia="Calibri" w:hAnsi="Calibri"/>
          <w:b/>
          <w:bCs/>
          <w:color w:val="2E5C8A"/>
          <w:sz w:val="24"/>
          <w:szCs w:val="24"/>
        </w:rPr>
        <w:t xml:space="preserve">1.1 Identifier scheme</w:t>
      </w:r>
    </w:p>
    <w:p>
      <w:pPr>
        <w:spacing w:after="100" w:before="0" w:line="264"/>
        <w:jc w:val="left"/>
      </w:pPr>
      <w:r>
        <w:rPr>
          <w:rFonts w:ascii="Calibri" w:cs="Calibri" w:eastAsia="Calibri" w:hAnsi="Calibri"/>
          <w:b w:val="false"/>
          <w:bCs w:val="false"/>
          <w:i w:val="false"/>
          <w:iCs w:val="false"/>
          <w:color w:val="000000"/>
          <w:sz w:val="19"/>
          <w:szCs w:val="19"/>
        </w:rPr>
        <w:t xml:space="preserve">Stable identifiers make traceability possible across four milestones (DEC-003). They are never reused or renumbered after baseline, because every later artefact attaches to them.</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625"/>
        <w:gridCol w:w="2708"/>
        <w:gridCol w:w="1805"/>
        <w:gridCol w:w="2888"/>
      </w:tblGrid>
      <w:tr>
        <w:trPr>
          <w:tblHeader/>
        </w:trPr>
        <w:tc>
          <w:tcPr>
            <w:tcW w:type="dxa" w:w="162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Prefix</w:t>
            </w:r>
          </w:p>
        </w:tc>
        <w:tc>
          <w:tcPr>
            <w:tcW w:type="dxa" w:w="270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Artefact</w:t>
            </w:r>
          </w:p>
        </w:tc>
        <w:tc>
          <w:tcPr>
            <w:tcW w:type="dxa" w:w="180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Prefix</w:t>
            </w:r>
          </w:p>
        </w:tc>
        <w:tc>
          <w:tcPr>
            <w:tcW w:type="dxa" w:w="288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Artefact</w:t>
            </w:r>
          </w:p>
        </w:tc>
      </w:tr>
      <w:tr>
        <w:tc>
          <w:tcPr>
            <w:tcW w:type="dxa" w:w="162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SH-nn</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Stakeholder</w:t>
            </w:r>
          </w:p>
        </w:tc>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RSK-nn</w:t>
            </w:r>
          </w:p>
        </w:tc>
        <w:tc>
          <w:tcPr>
            <w:tcW w:type="dxa" w:w="288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Risk</w:t>
            </w:r>
          </w:p>
        </w:tc>
      </w:tr>
      <w:tr>
        <w:tc>
          <w:tcPr>
            <w:tcW w:type="dxa" w:w="162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CF-nn</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Stakeholder conflict</w:t>
            </w:r>
          </w:p>
        </w:tc>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AS-nn</w:t>
            </w:r>
          </w:p>
        </w:tc>
        <w:tc>
          <w:tcPr>
            <w:tcW w:type="dxa" w:w="288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Assumption</w:t>
            </w:r>
          </w:p>
        </w:tc>
      </w:tr>
      <w:tr>
        <w:tc>
          <w:tcPr>
            <w:tcW w:type="dxa" w:w="162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SCOPE-I/O/D-nn</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Scope: in, out, deferred</w:t>
            </w:r>
          </w:p>
        </w:tc>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DEC-nnn</w:t>
            </w:r>
          </w:p>
        </w:tc>
        <w:tc>
          <w:tcPr>
            <w:tcW w:type="dxa" w:w="288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Engineering decision</w:t>
            </w:r>
          </w:p>
        </w:tc>
      </w:tr>
      <w:tr>
        <w:tc>
          <w:tcPr>
            <w:tcW w:type="dxa" w:w="162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CN-nn</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Constraint</w:t>
            </w:r>
          </w:p>
        </w:tc>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FEC-nn</w:t>
            </w:r>
          </w:p>
        </w:tc>
        <w:tc>
          <w:tcPr>
            <w:tcW w:type="dxa" w:w="288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Forward engineering consideration</w:t>
            </w:r>
          </w:p>
        </w:tc>
      </w:tr>
      <w:tr>
        <w:tc>
          <w:tcPr>
            <w:tcW w:type="dxa" w:w="162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FR-nnn / NFR-nnn</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Requirement</w:t>
            </w:r>
          </w:p>
        </w:tc>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AI-nnn</w:t>
            </w:r>
          </w:p>
        </w:tc>
        <w:tc>
          <w:tcPr>
            <w:tcW w:type="dxa" w:w="288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AI usage entry</w:t>
            </w:r>
          </w:p>
        </w:tc>
      </w:tr>
      <w:tr>
        <w:tc>
          <w:tcPr>
            <w:tcW w:type="dxa" w:w="162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AC-nnn / AC-Nnnn</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Acceptance criterion</w:t>
            </w:r>
          </w:p>
        </w:tc>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CHG / TST / DEF-nnn</w:t>
            </w:r>
          </w:p>
        </w:tc>
        <w:tc>
          <w:tcPr>
            <w:tcW w:type="dxa" w:w="288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Change, test, defect (reserved)</w:t>
            </w:r>
          </w:p>
        </w:tc>
      </w:tr>
      <w:tr>
        <w:tc>
          <w:tcPr>
            <w:tcW w:type="dxa" w:w="162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TR-nnn</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Traceability record</w:t>
            </w:r>
          </w:p>
        </w:tc>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
            </w:r>
          </w:p>
        </w:tc>
        <w:tc>
          <w:tcPr>
            <w:tcW w:type="dxa" w:w="288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
            </w:r>
          </w:p>
        </w:tc>
      </w:tr>
    </w:tbl>
    <w:p>
      <w:pPr>
        <w:pStyle w:val="Heading2"/>
        <w:spacing w:after="110" w:before="240"/>
      </w:pPr>
      <w:r>
        <w:rPr>
          <w:rFonts w:ascii="Calibri" w:cs="Calibri" w:eastAsia="Calibri" w:hAnsi="Calibri"/>
          <w:b/>
          <w:bCs/>
          <w:color w:val="2E5C8A"/>
          <w:sz w:val="24"/>
          <w:szCs w:val="24"/>
        </w:rPr>
        <w:t xml:space="preserve">1.2 References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32"/>
        <w:gridCol w:w="3971"/>
        <w:gridCol w:w="4423"/>
      </w:tblGrid>
      <w:tr>
        <w:trPr>
          <w:tblHeader/>
        </w:trPr>
        <w:tc>
          <w:tcPr>
            <w:tcW w:type="dxa" w:w="63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Ref</w:t>
            </w:r>
          </w:p>
        </w:tc>
        <w:tc>
          <w:tcPr>
            <w:tcW w:type="dxa" w:w="397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Source</w:t>
            </w:r>
          </w:p>
        </w:tc>
        <w:tc>
          <w:tcPr>
            <w:tcW w:type="dxa" w:w="442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Used for</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[1]</w:t>
            </w:r>
          </w:p>
        </w:tc>
        <w:tc>
          <w:tcPr>
            <w:tcW w:type="dxa" w:w="397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SEN381 CivicConnect Master Project Brief v1.1 (2026)</w:t>
            </w:r>
          </w:p>
        </w:tc>
        <w:tc>
          <w:tcPr>
            <w:tcW w:type="dxa" w:w="442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Project-wide controls; scenario; minimum business capabilities</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[2]</w:t>
            </w:r>
          </w:p>
        </w:tc>
        <w:tc>
          <w:tcPr>
            <w:tcW w:type="dxa" w:w="397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SEN381 Milestone 1 Brief (2026)</w:t>
            </w:r>
          </w:p>
        </w:tc>
        <w:tc>
          <w:tcPr>
            <w:tcW w:type="dxa" w:w="442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Required M1 outputs and the milestone gate</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[3]</w:t>
            </w:r>
          </w:p>
        </w:tc>
        <w:tc>
          <w:tcPr>
            <w:tcW w:type="dxa" w:w="397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ISO/IEC/IEEE 29148:2018 — Requirements engineering</w:t>
            </w:r>
          </w:p>
        </w:tc>
        <w:tc>
          <w:tcPr>
            <w:tcW w:type="dxa" w:w="442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Requirement quality attributes applied in §6</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[4]</w:t>
            </w:r>
          </w:p>
        </w:tc>
        <w:tc>
          <w:tcPr>
            <w:tcW w:type="dxa" w:w="397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ISO/IEC 25010:2011 — System and software quality models</w:t>
            </w:r>
          </w:p>
        </w:tc>
        <w:tc>
          <w:tcPr>
            <w:tcW w:type="dxa" w:w="442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Quality attribute categories structuring the NFRs</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[5]</w:t>
            </w:r>
          </w:p>
        </w:tc>
        <w:tc>
          <w:tcPr>
            <w:tcW w:type="dxa" w:w="397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PMBOK Guide, 7th ed. (PMI, 2021)</w:t>
            </w:r>
          </w:p>
        </w:tc>
        <w:tc>
          <w:tcPr>
            <w:tcW w:type="dxa" w:w="442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Probability × impact risk scoring in §8</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[6]</w:t>
            </w:r>
          </w:p>
        </w:tc>
        <w:tc>
          <w:tcPr>
            <w:tcW w:type="dxa" w:w="397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W3C WCAG 2.1 Level AA</w:t>
            </w:r>
          </w:p>
        </w:tc>
        <w:tc>
          <w:tcPr>
            <w:tcW w:type="dxa" w:w="442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Accessibility criteria in NFR-008</w:t>
            </w:r>
          </w:p>
        </w:tc>
      </w:tr>
    </w:tbl>
    <w:p>
      <w:pPr>
        <w:spacing w:after="100" w:before="0" w:line="264"/>
        <w:jc w:val="left"/>
      </w:pPr>
      <w:r>
        <w:rPr>
          <w:rFonts w:ascii="Calibri" w:cs="Calibri" w:eastAsia="Calibri" w:hAnsi="Calibri"/>
          <w:b w:val="false"/>
          <w:bCs w:val="false"/>
          <w:i/>
          <w:iCs/>
          <w:color w:val="000000"/>
          <w:sz w:val="17"/>
          <w:szCs w:val="17"/>
        </w:rPr>
        <w:t xml:space="preserve">Citations support why a practice is appropriate; they are not evidence that a control was implemented. Implementation claims rest on repository history, register entries and configuration evidence [2, §9.1].</w:t>
      </w:r>
    </w:p>
    <w:p>
      <w:pPr>
        <w:pStyle w:val="Heading1"/>
        <w:pageBreakBefore/>
        <w:spacing w:after="160" w:before="320"/>
      </w:pPr>
      <w:r>
        <w:rPr>
          <w:rFonts w:ascii="Calibri" w:cs="Calibri" w:eastAsia="Calibri" w:hAnsi="Calibri"/>
          <w:b/>
          <w:bCs/>
          <w:color w:val="1F3864"/>
          <w:sz w:val="30"/>
          <w:szCs w:val="30"/>
        </w:rPr>
        <w:t xml:space="preserve">2. Problem and Business Need</w:t>
      </w:r>
    </w:p>
    <w:p>
      <w:pPr>
        <w:spacing w:after="120" w:before="0" w:line="264"/>
        <w:jc w:val="left"/>
      </w:pPr>
      <w:r>
        <w:rPr>
          <w:rFonts w:ascii="Calibri" w:cs="Calibri" w:eastAsia="Calibri" w:hAnsi="Calibri"/>
          <w:b w:val="false"/>
          <w:bCs w:val="false"/>
          <w:i w:val="false"/>
          <w:iCs w:val="false"/>
          <w:color w:val="000000"/>
          <w:sz w:val="19"/>
          <w:szCs w:val="19"/>
        </w:rPr>
        <w:t xml:space="preserve">The organisation does not have a service request problem; it has an information control problem. Requests arrive by email, telephone, WhatsApp, spreadsheet and paper. Each channel holds a partial record, none holds the whole record, and none enforces a lifecycle. Every symptom follows from that single cause.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249"/>
        <w:gridCol w:w="3249"/>
        <w:gridCol w:w="2528"/>
      </w:tblGrid>
      <w:tr>
        <w:trPr>
          <w:tblHeader/>
        </w:trPr>
        <w:tc>
          <w:tcPr>
            <w:tcW w:type="dxa" w:w="3249"/>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Symptom [1, §2]</w:t>
            </w:r>
          </w:p>
        </w:tc>
        <w:tc>
          <w:tcPr>
            <w:tcW w:type="dxa" w:w="3249"/>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Engineering cause</w:t>
            </w:r>
          </w:p>
        </w:tc>
        <w:tc>
          <w:tcPr>
            <w:tcW w:type="dxa" w:w="252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Addressed by</w:t>
            </w:r>
          </w:p>
        </w:tc>
      </w:tr>
      <w:tr>
        <w:tc>
          <w:tcPr>
            <w:tcW w:type="dxa" w:w="3249"/>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Requests duplicated, overlooked, misassigned or lost</w:t>
            </w:r>
          </w:p>
        </w:tc>
        <w:tc>
          <w:tcPr>
            <w:tcW w:type="dxa" w:w="324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authoritative record; no controlled intake point</w:t>
            </w:r>
          </w:p>
        </w:tc>
        <w:tc>
          <w:tcPr>
            <w:tcW w:type="dxa" w:w="252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FR-005, FR-026</w:t>
            </w:r>
          </w:p>
        </w:tc>
      </w:tr>
      <w:tr>
        <w:tc>
          <w:tcPr>
            <w:tcW w:type="dxa" w:w="324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Requesters cannot see status</w:t>
            </w:r>
          </w:p>
        </w:tc>
        <w:tc>
          <w:tcPr>
            <w:tcW w:type="dxa" w:w="324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Status held in people, not in a queryable system</w:t>
            </w:r>
          </w:p>
        </w:tc>
        <w:tc>
          <w:tcPr>
            <w:tcW w:type="dxa" w:w="252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FR-007, FR-008, FR-009</w:t>
            </w:r>
          </w:p>
        </w:tc>
      </w:tr>
      <w:tr>
        <w:tc>
          <w:tcPr>
            <w:tcW w:type="dxa" w:w="3249"/>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Staff cannot prioritise or identify ownership</w:t>
            </w:r>
          </w:p>
        </w:tc>
        <w:tc>
          <w:tcPr>
            <w:tcW w:type="dxa" w:w="324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assignment model; no shared prioritised view</w:t>
            </w:r>
          </w:p>
        </w:tc>
        <w:tc>
          <w:tcPr>
            <w:tcW w:type="dxa" w:w="252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FR-011, FR-012, FR-014</w:t>
            </w:r>
          </w:p>
        </w:tc>
      </w:tr>
      <w:tr>
        <w:tc>
          <w:tcPr>
            <w:tcW w:type="dxa" w:w="324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Weak accountability for status changes</w:t>
            </w:r>
          </w:p>
        </w:tc>
        <w:tc>
          <w:tcPr>
            <w:tcW w:type="dxa" w:w="324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audit of who changed what and when</w:t>
            </w:r>
          </w:p>
        </w:tc>
        <w:tc>
          <w:tcPr>
            <w:tcW w:type="dxa" w:w="252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FR-025, NFR-006</w:t>
            </w:r>
          </w:p>
        </w:tc>
      </w:tr>
      <w:tr>
        <w:tc>
          <w:tcPr>
            <w:tcW w:type="dxa" w:w="3249"/>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Management lacks outstanding/overdue information</w:t>
            </w:r>
          </w:p>
        </w:tc>
        <w:tc>
          <w:tcPr>
            <w:tcW w:type="dxa" w:w="324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consistent state model, so aggregation is impossible</w:t>
            </w:r>
          </w:p>
        </w:tc>
        <w:tc>
          <w:tcPr>
            <w:tcW w:type="dxa" w:w="252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FR-019, FR-020, FR-021</w:t>
            </w:r>
          </w:p>
        </w:tc>
      </w:tr>
      <w:tr>
        <w:tc>
          <w:tcPr>
            <w:tcW w:type="dxa" w:w="324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Reporting is manual and hard to audit</w:t>
            </w:r>
          </w:p>
        </w:tc>
        <w:tc>
          <w:tcPr>
            <w:tcW w:type="dxa" w:w="324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Data re-keyed between channels; no single source</w:t>
            </w:r>
          </w:p>
        </w:tc>
        <w:tc>
          <w:tcPr>
            <w:tcW w:type="dxa" w:w="252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FR-020, FR-022</w:t>
            </w:r>
          </w:p>
        </w:tc>
      </w:tr>
      <w:tr>
        <w:tc>
          <w:tcPr>
            <w:tcW w:type="dxa" w:w="3249"/>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Sensitive information handled inconsistently</w:t>
            </w:r>
          </w:p>
        </w:tc>
        <w:tc>
          <w:tcPr>
            <w:tcW w:type="dxa" w:w="324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access boundary around request content</w:t>
            </w:r>
          </w:p>
        </w:tc>
        <w:tc>
          <w:tcPr>
            <w:tcW w:type="dxa" w:w="252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FR-003, NFR-004, NFR-012</w:t>
            </w:r>
          </w:p>
        </w:tc>
      </w:tr>
      <w:tr>
        <w:tc>
          <w:tcPr>
            <w:tcW w:type="dxa" w:w="324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No controlled record of a request lifecycle</w:t>
            </w:r>
          </w:p>
        </w:tc>
        <w:tc>
          <w:tcPr>
            <w:tcW w:type="dxa" w:w="324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The lifecycle is undefined and therefore unenforceable</w:t>
            </w:r>
          </w:p>
        </w:tc>
        <w:tc>
          <w:tcPr>
            <w:tcW w:type="dxa" w:w="252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FR-015</w:t>
            </w:r>
          </w:p>
        </w:tc>
      </w:tr>
    </w:tbl>
    <w:p>
      <w:pPr>
        <w:spacing w:after="100" w:before="100" w:line="264"/>
        <w:jc w:val="left"/>
      </w:pPr>
      <w:r>
        <w:rPr>
          <w:rFonts w:ascii="Calibri" w:cs="Calibri" w:eastAsia="Calibri" w:hAnsi="Calibri"/>
          <w:b w:val="false"/>
          <w:bCs w:val="false"/>
          <w:i w:val="false"/>
          <w:iCs w:val="false"/>
          <w:color w:val="000000"/>
          <w:sz w:val="19"/>
          <w:szCs w:val="19"/>
        </w:rPr>
        <w:t xml:space="preserve">This is why the scope baseline takes the shape it does. Consolidating onto one controlled record with an enforced lifecycle and an audit trail addresses the cause; adding channels would treat symptoms while worsening the cause, which is why SCOPE-O-02 excludes WhatsApp and SMS intake.</w:t>
      </w:r>
    </w:p>
    <w:p>
      <w:pPr>
        <w:pStyle w:val="Heading2"/>
        <w:spacing w:after="110" w:before="240"/>
      </w:pPr>
      <w:r>
        <w:rPr>
          <w:rFonts w:ascii="Calibri" w:cs="Calibri" w:eastAsia="Calibri" w:hAnsi="Calibri"/>
          <w:b/>
          <w:bCs/>
          <w:color w:val="2E5C8A"/>
          <w:sz w:val="24"/>
          <w:szCs w:val="24"/>
        </w:rPr>
        <w:t xml:space="preserve">2.1 Business need and value</w:t>
      </w:r>
    </w:p>
    <w:p>
      <w:pPr>
        <w:spacing w:after="120" w:before="0" w:line="264"/>
        <w:jc w:val="left"/>
      </w:pPr>
      <w:r>
        <w:rPr>
          <w:rFonts w:ascii="Calibri" w:cs="Calibri" w:eastAsia="Calibri" w:hAnsi="Calibri"/>
          <w:b w:val="false"/>
          <w:bCs w:val="false"/>
          <w:i w:val="false"/>
          <w:iCs w:val="false"/>
          <w:color w:val="000000"/>
          <w:sz w:val="19"/>
          <w:szCs w:val="19"/>
        </w:rPr>
        <w:t xml:space="preserve">The organisation needs a controlled platform to submit, manage, monitor and report on service requests, improving visibility and accountability "without creating an unsustainable technical, operational or financial burden" [1, §2.1]. The second clause is a constraint, not an aspiration: it makes CN-03 binding, rules out paid always-on infrastructure, and forces the deferment in SCOPE-D-01.</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430"/>
        <w:gridCol w:w="1264"/>
        <w:gridCol w:w="4332"/>
      </w:tblGrid>
      <w:tr>
        <w:trPr>
          <w:tblHeader/>
        </w:trPr>
        <w:tc>
          <w:tcPr>
            <w:tcW w:type="dxa" w:w="3430"/>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Value</w:t>
            </w:r>
          </w:p>
        </w:tc>
        <w:tc>
          <w:tcPr>
            <w:tcW w:type="dxa" w:w="126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For</w:t>
            </w:r>
          </w:p>
        </w:tc>
        <w:tc>
          <w:tcPr>
            <w:tcW w:type="dxa" w:w="433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Judged by</w:t>
            </w:r>
          </w:p>
        </w:tc>
      </w:tr>
      <w:tr>
        <w:tc>
          <w:tcPr>
            <w:tcW w:type="dxa" w:w="3430"/>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Requests stop being lost — one record replaces five channels</w:t>
            </w:r>
          </w:p>
        </w:tc>
        <w:tc>
          <w:tcPr>
            <w:tcW w:type="dxa" w:w="126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SH-01, 02, 06</w:t>
            </w:r>
          </w:p>
        </w:tc>
        <w:tc>
          <w:tcPr>
            <w:tcW w:type="dxa" w:w="433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Every request has a reference and a state at all times (FR-005, FR-015)</w:t>
            </w:r>
          </w:p>
        </w:tc>
      </w:tr>
      <w:tr>
        <w:tc>
          <w:tcPr>
            <w:tcW w:type="dxa" w:w="343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Visibility without chasing</w:t>
            </w:r>
          </w:p>
        </w:tc>
        <w:tc>
          <w:tcPr>
            <w:tcW w:type="dxa" w:w="126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SH-01</w:t>
            </w:r>
          </w:p>
        </w:tc>
        <w:tc>
          <w:tcPr>
            <w:tcW w:type="dxa" w:w="43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 requester answers "where is my request" unaided (NFR-007)</w:t>
            </w:r>
          </w:p>
        </w:tc>
      </w:tr>
      <w:tr>
        <w:tc>
          <w:tcPr>
            <w:tcW w:type="dxa" w:w="3430"/>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Ownership becomes explicit</w:t>
            </w:r>
          </w:p>
        </w:tc>
        <w:tc>
          <w:tcPr>
            <w:tcW w:type="dxa" w:w="126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SH-02, 03</w:t>
            </w:r>
          </w:p>
        </w:tc>
        <w:tc>
          <w:tcPr>
            <w:tcW w:type="dxa" w:w="433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request sits in a non-terminal state without an owner (FR-014)</w:t>
            </w:r>
          </w:p>
        </w:tc>
      </w:tr>
      <w:tr>
        <w:tc>
          <w:tcPr>
            <w:tcW w:type="dxa" w:w="343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Accountability becomes evidential</w:t>
            </w:r>
          </w:p>
        </w:tc>
        <w:tc>
          <w:tcPr>
            <w:tcW w:type="dxa" w:w="126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SH-04, 09</w:t>
            </w:r>
          </w:p>
        </w:tc>
        <w:tc>
          <w:tcPr>
            <w:tcW w:type="dxa" w:w="43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Any status change is attributable after the fact (FR-025, NFR-006)</w:t>
            </w:r>
          </w:p>
        </w:tc>
      </w:tr>
      <w:tr>
        <w:tc>
          <w:tcPr>
            <w:tcW w:type="dxa" w:w="3430"/>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Reporting stops being manual</w:t>
            </w:r>
          </w:p>
        </w:tc>
        <w:tc>
          <w:tcPr>
            <w:tcW w:type="dxa" w:w="126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SH-04</w:t>
            </w:r>
          </w:p>
        </w:tc>
        <w:tc>
          <w:tcPr>
            <w:tcW w:type="dxa" w:w="433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Dashboard figures reconcile to stored records (FR-019, FR-020)</w:t>
            </w:r>
          </w:p>
        </w:tc>
      </w:tr>
      <w:tr>
        <w:tc>
          <w:tcPr>
            <w:tcW w:type="dxa" w:w="343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Sensitive information is bounded</w:t>
            </w:r>
          </w:p>
        </w:tc>
        <w:tc>
          <w:tcPr>
            <w:tcW w:type="dxa" w:w="126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SH-09</w:t>
            </w:r>
          </w:p>
        </w:tc>
        <w:tc>
          <w:tcPr>
            <w:tcW w:type="dxa" w:w="43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Negative-access tests pass for every role (NFR-004, NFR-012)</w:t>
            </w:r>
          </w:p>
        </w:tc>
      </w:tr>
    </w:tbl>
    <w:p>
      <w:pPr>
        <w:pStyle w:val="Heading2"/>
        <w:spacing w:after="110" w:before="240"/>
      </w:pPr>
      <w:r>
        <w:rPr>
          <w:rFonts w:ascii="Calibri" w:cs="Calibri" w:eastAsia="Calibri" w:hAnsi="Calibri"/>
          <w:b/>
          <w:bCs/>
          <w:color w:val="2E5C8A"/>
          <w:sz w:val="24"/>
          <w:szCs w:val="24"/>
        </w:rPr>
        <w:t xml:space="preserve">2.2 Success beyond working code</w:t>
      </w:r>
    </w:p>
    <w:p>
      <w:pPr>
        <w:spacing w:after="80" w:before="0" w:line="264"/>
        <w:jc w:val="left"/>
      </w:pPr>
      <w:r>
        <w:rPr>
          <w:rFonts w:ascii="Calibri" w:cs="Calibri" w:eastAsia="Calibri" w:hAnsi="Calibri"/>
          <w:b w:val="false"/>
          <w:bCs w:val="false"/>
          <w:i w:val="false"/>
          <w:iCs w:val="false"/>
          <w:color w:val="000000"/>
          <w:sz w:val="19"/>
          <w:szCs w:val="19"/>
        </w:rPr>
        <w:t xml:space="preserve">Stated now so it can be evaluated honestly in M4 rather than invented then [1, §5]:</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Every request has a complete, attributable lifecycle record from submission to closure — evidenced by the audit trail, not asserted.</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A manager can answer what is outstanding, overdue and owned by whom from the system alone, and the figures reconcile to stored records.</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Delivered scope matches the approved baseline, and every deviation traces to an approved change request.</w:t>
      </w:r>
    </w:p>
    <w:p>
      <w:pPr>
        <w:pStyle w:val="Heading1"/>
        <w:pageBreakBefore/>
        <w:spacing w:after="160" w:before="320"/>
      </w:pPr>
      <w:r>
        <w:rPr>
          <w:rFonts w:ascii="Calibri" w:cs="Calibri" w:eastAsia="Calibri" w:hAnsi="Calibri"/>
          <w:b/>
          <w:bCs/>
          <w:color w:val="1F3864"/>
          <w:sz w:val="30"/>
          <w:szCs w:val="30"/>
        </w:rPr>
        <w:t xml:space="preserve">3. Stakeholder Analysis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32"/>
        <w:gridCol w:w="2166"/>
        <w:gridCol w:w="4784"/>
        <w:gridCol w:w="722"/>
        <w:gridCol w:w="722"/>
      </w:tblGrid>
      <w:tr>
        <w:trPr>
          <w:tblHeader/>
        </w:trPr>
        <w:tc>
          <w:tcPr>
            <w:tcW w:type="dxa" w:w="63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ID</w:t>
            </w:r>
          </w:p>
        </w:tc>
        <w:tc>
          <w:tcPr>
            <w:tcW w:type="dxa" w:w="2166"/>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Stakeholder</w:t>
            </w:r>
          </w:p>
        </w:tc>
        <w:tc>
          <w:tcPr>
            <w:tcW w:type="dxa" w:w="478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Primary needs</w:t>
            </w:r>
          </w:p>
        </w:tc>
        <w:tc>
          <w:tcPr>
            <w:tcW w:type="dxa" w:w="72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Infl.</w:t>
            </w:r>
          </w:p>
        </w:tc>
        <w:tc>
          <w:tcPr>
            <w:tcW w:type="dxa" w:w="72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Int.</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SH-01</w:t>
            </w:r>
          </w:p>
        </w:tc>
        <w:tc>
          <w:tcPr>
            <w:tcW w:type="dxa" w:w="216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Requester (community member / staff submitting)</w:t>
            </w:r>
          </w:p>
        </w:tc>
        <w:tc>
          <w:tcPr>
            <w:tcW w:type="dxa" w:w="478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Submit a request quickly; know it was received; see progress without phoning; be told when it is done</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Low</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SH-02</w:t>
            </w:r>
          </w:p>
        </w:tc>
        <w:tc>
          <w:tcPr>
            <w:tcW w:type="dxa" w:w="216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Service Staff / Technician</w:t>
            </w:r>
          </w:p>
        </w:tc>
        <w:tc>
          <w:tcPr>
            <w:tcW w:type="dxa" w:w="478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One prioritised queue; unambiguous ownership; full request detail; no duplicated or lost work</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Medium</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SH-03</w:t>
            </w:r>
          </w:p>
        </w:tc>
        <w:tc>
          <w:tcPr>
            <w:tcW w:type="dxa" w:w="216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Service Coordinator / Supervisor</w:t>
            </w:r>
          </w:p>
        </w:tc>
        <w:tc>
          <w:tcPr>
            <w:tcW w:type="dxa" w:w="478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Assign and rebalance work; see ageing requests; prevent unassigned backlog</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SH-04</w:t>
            </w:r>
          </w:p>
        </w:tc>
        <w:tc>
          <w:tcPr>
            <w:tcW w:type="dxa" w:w="216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Operations Manager / Management oversight</w:t>
            </w:r>
          </w:p>
        </w:tc>
        <w:tc>
          <w:tcPr>
            <w:tcW w:type="dxa" w:w="478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Reliable and auditable information on outstanding, overdue, resolved and closed work; accountability for status changes; reporting that is not manual</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SH-05</w:t>
            </w:r>
          </w:p>
        </w:tc>
        <w:tc>
          <w:tcPr>
            <w:tcW w:type="dxa" w:w="216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System Administrator</w:t>
            </w:r>
          </w:p>
        </w:tc>
        <w:tc>
          <w:tcPr>
            <w:tcW w:type="dxa" w:w="478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Manage users and roles; maintain the controlled category list; control security configuration</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Medium</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Medium</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SH-06</w:t>
            </w:r>
          </w:p>
        </w:tc>
        <w:tc>
          <w:tcPr>
            <w:tcW w:type="dxa" w:w="216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Organisation / Project Sponsor</w:t>
            </w:r>
          </w:p>
        </w:tc>
        <w:tc>
          <w:tcPr>
            <w:tcW w:type="dxa" w:w="478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Improved visibility and accountability without unsustainable technical, operational or financial burden</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Medium</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SH-07</w:t>
            </w:r>
          </w:p>
        </w:tc>
        <w:tc>
          <w:tcPr>
            <w:tcW w:type="dxa" w:w="216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Development Team (SEN381 registered team)</w:t>
            </w:r>
          </w:p>
        </w:tc>
        <w:tc>
          <w:tcPr>
            <w:tcW w:type="dxa" w:w="478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Deliverable scope within schedule and actual team capability; defensible engineering evidence</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SH-08</w:t>
            </w:r>
          </w:p>
        </w:tc>
        <w:tc>
          <w:tcPr>
            <w:tcW w:type="dxa" w:w="216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Lecturer / Assessor</w:t>
            </w:r>
          </w:p>
        </w:tc>
        <w:tc>
          <w:tcPr>
            <w:tcW w:type="dxa" w:w="478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Controlled, traceable and authentic engineering evidence produced progressively</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SH-09</w:t>
            </w:r>
          </w:p>
        </w:tc>
        <w:tc>
          <w:tcPr>
            <w:tcW w:type="dxa" w:w="216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Data subject (requester whose sensitive information is held)</w:t>
            </w:r>
          </w:p>
        </w:tc>
        <w:tc>
          <w:tcPr>
            <w:tcW w:type="dxa" w:w="478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Confidentiality of security-related, personal or HR-sensitive request content</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Low</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High</w:t>
            </w:r>
          </w:p>
        </w:tc>
      </w:tr>
    </w:tbl>
    <w:p>
      <w:pPr>
        <w:spacing w:after="100" w:before="100" w:line="264"/>
        <w:jc w:val="left"/>
      </w:pPr>
      <w:r>
        <w:rPr>
          <w:rFonts w:ascii="Calibri" w:cs="Calibri" w:eastAsia="Calibri" w:hAnsi="Calibri"/>
          <w:b w:val="false"/>
          <w:bCs w:val="false"/>
          <w:i w:val="false"/>
          <w:iCs w:val="false"/>
          <w:color w:val="000000"/>
          <w:sz w:val="19"/>
          <w:szCs w:val="19"/>
        </w:rPr>
        <w:t xml:space="preserve">Effort follows influence and interest. SH-03, SH-04, SH-07 and SH-08 are high on both and managed closely. SH-01 is low influence but high interest, and is the stakeholder most likely to abandon the system if visibility is poor — which is why status transparency is core scope rather than a convenience.</w:t>
      </w:r>
    </w:p>
    <w:p>
      <w:pPr>
        <w:pStyle w:val="Heading2"/>
        <w:spacing w:after="110" w:before="240"/>
      </w:pPr>
      <w:r>
        <w:rPr>
          <w:rFonts w:ascii="Calibri" w:cs="Calibri" w:eastAsia="Calibri" w:hAnsi="Calibri"/>
          <w:b/>
          <w:bCs/>
          <w:color w:val="2E5C8A"/>
          <w:sz w:val="24"/>
          <w:szCs w:val="24"/>
        </w:rPr>
        <w:t xml:space="preserve">3.1 Competing expectations</w:t>
      </w:r>
    </w:p>
    <w:p>
      <w:pPr>
        <w:spacing w:after="100" w:before="0" w:line="264"/>
        <w:jc w:val="left"/>
      </w:pPr>
      <w:r>
        <w:rPr>
          <w:rFonts w:ascii="Calibri" w:cs="Calibri" w:eastAsia="Calibri" w:hAnsi="Calibri"/>
          <w:b w:val="false"/>
          <w:bCs w:val="false"/>
          <w:i w:val="false"/>
          <w:iCs w:val="false"/>
          <w:color w:val="000000"/>
          <w:sz w:val="19"/>
          <w:szCs w:val="19"/>
        </w:rPr>
        <w:t xml:space="preserve">A conflict is recorded only where the scenario evidences that both positions are genuinely held. Positions invented for balance were discarded (AI-006).</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42"/>
        <w:gridCol w:w="2888"/>
        <w:gridCol w:w="3791"/>
        <w:gridCol w:w="1805"/>
      </w:tblGrid>
      <w:tr>
        <w:trPr>
          <w:tblHeader/>
        </w:trPr>
        <w:tc>
          <w:tcPr>
            <w:tcW w:type="dxa" w:w="54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ID</w:t>
            </w:r>
          </w:p>
        </w:tc>
        <w:tc>
          <w:tcPr>
            <w:tcW w:type="dxa" w:w="288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Conflict</w:t>
            </w:r>
          </w:p>
        </w:tc>
        <w:tc>
          <w:tcPr>
            <w:tcW w:type="dxa" w:w="379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Resolution</w:t>
            </w:r>
          </w:p>
        </w:tc>
        <w:tc>
          <w:tcPr>
            <w:tcW w:type="dxa" w:w="180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Implemented by</w:t>
            </w:r>
          </w:p>
        </w:tc>
      </w:tr>
      <w:tr>
        <w:tc>
          <w:tcPr>
            <w:tcW w:type="dxa" w:w="54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CF-01</w:t>
            </w:r>
          </w:p>
        </w:tc>
        <w:tc>
          <w:tcPr>
            <w:tcW w:type="dxa" w:w="288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Requesters reporting security concerns want to submit anonymously to avoid reprisal. Management requires every request to be attributable for accountability and audit.</w:t>
            </w:r>
          </w:p>
        </w:tc>
        <w:tc>
          <w:tcPr>
            <w:tcW w:type="dxa" w:w="379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Authenticated submission only in v1. Requester identity is restricted to the assigned staff member, Manager and Administrator (NFR-012). An anonymous channel is explicitly deferred, not rejected.</w:t>
            </w:r>
          </w:p>
        </w:tc>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DEC-006, FR-002, NFR-012, SCOPE-D-04, RSK-11</w:t>
            </w:r>
          </w:p>
        </w:tc>
      </w:tr>
      <w:tr>
        <w:tc>
          <w:tcPr>
            <w:tcW w:type="dxa" w:w="54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CF-02</w:t>
            </w:r>
          </w:p>
        </w:tc>
        <w:tc>
          <w:tcPr>
            <w:tcW w:type="dxa" w:w="288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Staff want the smallest possible submission form so requests are actually logged. Management wants rich structured data so reporting is meaningful.</w:t>
            </w:r>
          </w:p>
        </w:tc>
        <w:tc>
          <w:tcPr>
            <w:tcW w:type="dxa" w:w="379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Four mandatory fields only (title, description, category, location). Category is mandatory and drawn from a controlled single-level list; every other structured field is optional. Reporting depth is bought with category discipline rather than form length.</w:t>
            </w:r>
          </w:p>
        </w:tc>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FR-005, FR-006, FR-020, DEC-012</w:t>
            </w:r>
          </w:p>
        </w:tc>
      </w:tr>
      <w:tr>
        <w:tc>
          <w:tcPr>
            <w:tcW w:type="dxa" w:w="54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CF-03</w:t>
            </w:r>
          </w:p>
        </w:tc>
        <w:tc>
          <w:tcPr>
            <w:tcW w:type="dxa" w:w="288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Management expects SMS / WhatsApp escalation for overdue work. No paid messaging gateway is available within the cost constraint.</w:t>
            </w:r>
          </w:p>
        </w:tc>
        <w:tc>
          <w:tcPr>
            <w:tcW w:type="dxa" w:w="379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Notification limited to in-app and email in v1. SMS deferred. The unmet expectation is carried openly as a risk rather than silently dropped.</w:t>
            </w:r>
          </w:p>
        </w:tc>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FR-009, SCOPE-D-03, RSK-08</w:t>
            </w:r>
          </w:p>
        </w:tc>
      </w:tr>
      <w:tr>
        <w:tc>
          <w:tcPr>
            <w:tcW w:type="dxa" w:w="54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CF-04</w:t>
            </w:r>
          </w:p>
        </w:tc>
        <w:tc>
          <w:tcPr>
            <w:tcW w:type="dxa" w:w="288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Requesters want to contact the assigned technician directly. Staff and privacy interests require that personal contact details are not exposed.</w:t>
            </w:r>
          </w:p>
        </w:tc>
        <w:tc>
          <w:tcPr>
            <w:tcW w:type="dxa" w:w="379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All communication occurs in an in-app comment thread attached to the request record. No personal contact details are surfaced to requesters.</w:t>
            </w:r>
          </w:p>
        </w:tc>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FR-010, NFR-012</w:t>
            </w:r>
          </w:p>
        </w:tc>
      </w:tr>
      <w:tr>
        <w:tc>
          <w:tcPr>
            <w:tcW w:type="dxa" w:w="54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CF-05</w:t>
            </w:r>
          </w:p>
        </w:tc>
        <w:tc>
          <w:tcPr>
            <w:tcW w:type="dxa" w:w="288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The sponsor requires zero recurring cost. Free-tier hosting introduces cold-start latency and capacity ceilings that threaten the performance and availability expectations of daily users.</w:t>
            </w:r>
          </w:p>
        </w:tc>
        <w:tc>
          <w:tcPr>
            <w:tcW w:type="dxa" w:w="379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Cost constraint is treated as binding. NFR-001 is specified against a warm instance and cold-start behaviour is declared as a known limitation rather than hidden. The architecture decision that resolves this is deliberately deferred to M2.</w:t>
            </w:r>
          </w:p>
        </w:tc>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CN-03, NFR-001, NFR-002, RSK-02, DEC-008</w:t>
            </w:r>
          </w:p>
        </w:tc>
      </w:tr>
    </w:tbl>
    <w:p>
      <w:pPr>
        <w:pStyle w:val="Heading2"/>
        <w:spacing w:after="110" w:before="240"/>
      </w:pPr>
      <w:r>
        <w:rPr>
          <w:rFonts w:ascii="Calibri" w:cs="Calibri" w:eastAsia="Calibri" w:hAnsi="Calibri"/>
          <w:b/>
          <w:bCs/>
          <w:color w:val="2E5C8A"/>
          <w:sz w:val="24"/>
          <w:szCs w:val="24"/>
        </w:rPr>
        <w:t xml:space="preserve">3.2 From need to requirement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7221"/>
      </w:tblGrid>
      <w:tr>
        <w:trPr>
          <w:tblHeader/>
        </w:trPr>
        <w:tc>
          <w:tcPr>
            <w:tcW w:type="dxa" w:w="180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Step</w:t>
            </w:r>
          </w:p>
        </w:tc>
        <w:tc>
          <w:tcPr>
            <w:tcW w:type="dxa" w:w="722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Content</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Stakeholder</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SH-04 Operations Manager (high influence, high interest)</w:t>
            </w:r>
          </w:p>
        </w:tc>
      </w:tr>
      <w:tr>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Evidenced need</w:t>
            </w:r>
          </w:p>
        </w:tc>
        <w:tc>
          <w:tcPr>
            <w:tcW w:type="dxa" w:w="722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"Management has limited reliable information about outstanding, overdue and resolved work" [1, §2]</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Requirement</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FR-021 — identify a request as overdue when elapsed open time exceeds the configured target for its category</w:t>
            </w:r>
          </w:p>
        </w:tc>
      </w:tr>
      <w:tr>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Acceptance criterion</w:t>
            </w:r>
          </w:p>
        </w:tc>
        <w:tc>
          <w:tcPr>
            <w:tcW w:type="dxa" w:w="722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AC-021 — open longer than target T in a non-terminal status is flagged; shorter is not. Tested at T−1, T, T+1</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Dependency created</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FR-023 must make the target configurable, or FR-021 has nothing to measure against</w:t>
            </w:r>
          </w:p>
        </w:tc>
      </w:tr>
      <w:tr>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Open issue</w:t>
            </w:r>
          </w:p>
        </w:tc>
        <w:tc>
          <w:tcPr>
            <w:tcW w:type="dxa" w:w="722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Target values are not agreed with any stakeholder (RSK-05); automated escalation deferred (SCOPE-D-02)</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Still testable because</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FR-021 is specified against a configurable value, so boundary testing works now and only the values are provisional</w:t>
            </w:r>
          </w:p>
        </w:tc>
      </w:tr>
    </w:tbl>
    <w:p>
      <w:pPr>
        <w:spacing w:after="100" w:before="0" w:line="264"/>
        <w:jc w:val="left"/>
      </w:pPr>
      <w:r>
        <w:rPr>
          <w:rFonts w:ascii="Calibri" w:cs="Calibri" w:eastAsia="Calibri" w:hAnsi="Calibri"/>
          <w:b w:val="false"/>
          <w:bCs w:val="false"/>
          <w:i/>
          <w:iCs/>
          <w:color w:val="000000"/>
          <w:sz w:val="17"/>
          <w:szCs w:val="17"/>
        </w:rPr>
        <w:t xml:space="preserve">One of forty such chains in the RTM. FR-025 is traced in full in Appendix A.</w:t>
      </w:r>
    </w:p>
    <w:p>
      <w:pPr>
        <w:pStyle w:val="Heading1"/>
        <w:pageBreakBefore/>
        <w:spacing w:after="160" w:before="320"/>
      </w:pPr>
      <w:r>
        <w:rPr>
          <w:rFonts w:ascii="Calibri" w:cs="Calibri" w:eastAsia="Calibri" w:hAnsi="Calibri"/>
          <w:b/>
          <w:bCs/>
          <w:color w:val="1F3864"/>
          <w:sz w:val="30"/>
          <w:szCs w:val="30"/>
        </w:rPr>
        <w:t xml:space="preserve">4. Scope Baseline</w:t>
      </w:r>
    </w:p>
    <w:p>
      <w:pPr>
        <w:spacing w:after="120" w:before="0" w:line="264"/>
        <w:jc w:val="left"/>
      </w:pPr>
      <w:r>
        <w:rPr>
          <w:rFonts w:ascii="Calibri" w:cs="Calibri" w:eastAsia="Calibri" w:hAnsi="Calibri"/>
          <w:b w:val="false"/>
          <w:bCs w:val="false"/>
          <w:i w:val="false"/>
          <w:iCs w:val="false"/>
          <w:color w:val="000000"/>
          <w:sz w:val="19"/>
          <w:szCs w:val="19"/>
        </w:rPr>
        <w:t xml:space="preserve">Baselined at v1.0; after baseline, scope changes only through a change request with impact analysis (§11.2). Excluded and deferred are separated deliberately — "we decided against this" and "we do not yet have evidence to decide" are different engineering statements.</w:t>
      </w:r>
    </w:p>
    <w:p>
      <w:pPr>
        <w:pStyle w:val="Heading2"/>
        <w:spacing w:after="110" w:before="240"/>
      </w:pPr>
      <w:r>
        <w:rPr>
          <w:rFonts w:ascii="Calibri" w:cs="Calibri" w:eastAsia="Calibri" w:hAnsi="Calibri"/>
          <w:b/>
          <w:bCs/>
          <w:color w:val="2E5C8A"/>
          <w:sz w:val="24"/>
          <w:szCs w:val="24"/>
        </w:rPr>
        <w:t xml:space="preserve">4.1 In scope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173"/>
        <w:gridCol w:w="5416"/>
        <w:gridCol w:w="2437"/>
      </w:tblGrid>
      <w:tr>
        <w:trPr>
          <w:tblHeader/>
        </w:trPr>
        <w:tc>
          <w:tcPr>
            <w:tcW w:type="dxa" w:w="117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ID</w:t>
            </w:r>
          </w:p>
        </w:tc>
        <w:tc>
          <w:tcPr>
            <w:tcW w:type="dxa" w:w="5416"/>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Capability committed</w:t>
            </w:r>
          </w:p>
        </w:tc>
        <w:tc>
          <w:tcPr>
            <w:tcW w:type="dxa" w:w="243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Requirements</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SCOPE-I-01</w:t>
            </w:r>
          </w:p>
        </w:tc>
        <w:tc>
          <w:tcPr>
            <w:tcW w:type="dxa" w:w="541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Authentication and role-based access control for four roles: Requester, Staff, Manager, Administrator</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FR-001..FR-004, NFR-003, NFR-004</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SCOPE-I-02</w:t>
            </w:r>
          </w:p>
        </w:tc>
        <w:tc>
          <w:tcPr>
            <w:tcW w:type="dxa" w:w="541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Service request submission with a mandatory controlled category</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FR-005, FR-006</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SCOPE-I-03</w:t>
            </w:r>
          </w:p>
        </w:tc>
        <w:tc>
          <w:tcPr>
            <w:tcW w:type="dxa" w:w="541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Requester visibility: current status and full history of own requests</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FR-007, FR-008</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SCOPE-I-04</w:t>
            </w:r>
          </w:p>
        </w:tc>
        <w:tc>
          <w:tcPr>
            <w:tcW w:type="dxa" w:w="541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In-app and email notification on accept, reject, update and completion</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FR-009</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SCOPE-I-05</w:t>
            </w:r>
          </w:p>
        </w:tc>
        <w:tc>
          <w:tcPr>
            <w:tcW w:type="dxa" w:w="541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Staff work queue with search, filter and sort</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FR-011, FR-012, FR-013</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SCOPE-I-06</w:t>
            </w:r>
          </w:p>
        </w:tc>
        <w:tc>
          <w:tcPr>
            <w:tcW w:type="dxa" w:w="541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Assignment, self-assignment and reassignment of requests</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FR-014</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SCOPE-I-07</w:t>
            </w:r>
          </w:p>
        </w:tc>
        <w:tc>
          <w:tcPr>
            <w:tcW w:type="dxa" w:w="541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Controlled status lifecycle enforced as a state machine</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FR-015, FR-017, FR-018</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SCOPE-I-08</w:t>
            </w:r>
          </w:p>
        </w:tc>
        <w:tc>
          <w:tcPr>
            <w:tcW w:type="dxa" w:w="541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Action, comment and resolution recording on a request</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FR-010, FR-016</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SCOPE-I-09</w:t>
            </w:r>
          </w:p>
        </w:tc>
        <w:tc>
          <w:tcPr>
            <w:tcW w:type="dxa" w:w="541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Management dashboard covering open, in progress, overdue, resolved and closed work</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FR-019, FR-021</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SCOPE-I-10</w:t>
            </w:r>
          </w:p>
        </w:tc>
        <w:tc>
          <w:tcPr>
            <w:tcW w:type="dxa" w:w="541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Breakdown of activity by category, status, assignee and period, with CSV export</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FR-020, FR-022</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SCOPE-I-11</w:t>
            </w:r>
          </w:p>
        </w:tc>
        <w:tc>
          <w:tcPr>
            <w:tcW w:type="dxa" w:w="541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Administration of the controlled category list and of users and roles</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FR-023, FR-024</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SCOPE-I-12</w:t>
            </w:r>
          </w:p>
        </w:tc>
        <w:tc>
          <w:tcPr>
            <w:tcW w:type="dxa" w:w="541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Immutable audit trail of status and assignment changes</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FR-025, NFR-006</w:t>
            </w:r>
          </w:p>
        </w:tc>
      </w:tr>
    </w:tbl>
    <w:p>
      <w:pPr>
        <w:pStyle w:val="Heading2"/>
        <w:spacing w:after="110" w:before="240"/>
      </w:pPr>
      <w:r>
        <w:rPr>
          <w:rFonts w:ascii="Calibri" w:cs="Calibri" w:eastAsia="Calibri" w:hAnsi="Calibri"/>
          <w:b/>
          <w:bCs/>
          <w:color w:val="2E5C8A"/>
          <w:sz w:val="24"/>
          <w:szCs w:val="24"/>
        </w:rPr>
        <w:t xml:space="preserve">4.2 Out of scope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173"/>
        <w:gridCol w:w="2708"/>
        <w:gridCol w:w="5145"/>
      </w:tblGrid>
      <w:tr>
        <w:trPr>
          <w:tblHeader/>
        </w:trPr>
        <w:tc>
          <w:tcPr>
            <w:tcW w:type="dxa" w:w="117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ID</w:t>
            </w:r>
          </w:p>
        </w:tc>
        <w:tc>
          <w:tcPr>
            <w:tcW w:type="dxa" w:w="270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Excluded</w:t>
            </w:r>
          </w:p>
        </w:tc>
        <w:tc>
          <w:tcPr>
            <w:tcW w:type="dxa" w:w="514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Rationale</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SCOPE-O-01</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Native mobile applications (iOS / Android)</w:t>
            </w:r>
          </w:p>
        </w:tc>
        <w:tc>
          <w:tcPr>
            <w:tcW w:type="dxa" w:w="514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Responsive web delivery satisfies SH-01 access needs at a fraction of the build, test and release cost. Two additional deployment targets cannot be verified within the schedule.</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SCOPE-O-02</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WhatsApp, SMS or telephone channel integration</w:t>
            </w:r>
          </w:p>
        </w:tc>
        <w:tc>
          <w:tcPr>
            <w:tcW w:type="dxa" w:w="514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The fragmented-channel problem is solved by consolidating onto one controlled record, not by adding further channels. Paid gateways also breach CN-03.</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SCOPE-O-03</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Integration with existing finance, ERP, HR or asset-management systems</w:t>
            </w:r>
          </w:p>
        </w:tc>
        <w:tc>
          <w:tcPr>
            <w:tcW w:type="dxa" w:w="514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interface contract, test environment or owning stakeholder is available. Integration risk is unbounded and unverifiable.</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SCOPE-O-04</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Payment, billing or procurement handling</w:t>
            </w:r>
          </w:p>
        </w:tc>
        <w:tc>
          <w:tcPr>
            <w:tcW w:type="dxa" w:w="514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stakeholder need identified in the CivicConnect scenario.</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SCOPE-O-05</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Multi-language and localisation support</w:t>
            </w:r>
          </w:p>
        </w:tc>
        <w:tc>
          <w:tcPr>
            <w:tcW w:type="dxa" w:w="514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stakeholder has stated a language need. Adds string management to every subsequent change.</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SCOPE-O-06</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Offline / disconnected operation with local synchronisation</w:t>
            </w:r>
          </w:p>
        </w:tc>
        <w:tc>
          <w:tcPr>
            <w:tcW w:type="dxa" w:w="514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Conflict resolution and sync integrity are disproportionate to the value at this scale.</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SCOPE-O-07</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AI-based automatic triage, classification or prioritisation of requests</w:t>
            </w:r>
          </w:p>
        </w:tc>
        <w:tc>
          <w:tcPr>
            <w:tcW w:type="dxa" w:w="514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Rejected as scope creep. No training data, no accuracy acceptance criterion, and it would place an unverifiable component on the critical accountability path.</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SCOPE-O-08</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External contractor / third-party supplier portal</w:t>
            </w:r>
          </w:p>
        </w:tc>
        <w:tc>
          <w:tcPr>
            <w:tcW w:type="dxa" w:w="514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Introduces an additional trust boundary and authorisation model that the security work in scope cannot cover.</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SCOPE-O-09</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IoT or sensor-originated automatic request creation</w:t>
            </w:r>
          </w:p>
        </w:tc>
        <w:tc>
          <w:tcPr>
            <w:tcW w:type="dxa" w:w="514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such source exists in the described environment.</w:t>
            </w:r>
          </w:p>
        </w:tc>
      </w:tr>
    </w:tbl>
    <w:p>
      <w:pPr>
        <w:pStyle w:val="Heading2"/>
        <w:spacing w:after="110" w:before="240"/>
      </w:pPr>
      <w:r>
        <w:rPr>
          <w:rFonts w:ascii="Calibri" w:cs="Calibri" w:eastAsia="Calibri" w:hAnsi="Calibri"/>
          <w:b/>
          <w:bCs/>
          <w:color w:val="2E5C8A"/>
          <w:sz w:val="24"/>
          <w:szCs w:val="24"/>
        </w:rPr>
        <w:t xml:space="preserve">4.3 Deferred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83"/>
        <w:gridCol w:w="1895"/>
        <w:gridCol w:w="903"/>
        <w:gridCol w:w="5145"/>
      </w:tblGrid>
      <w:tr>
        <w:trPr>
          <w:tblHeader/>
        </w:trPr>
        <w:tc>
          <w:tcPr>
            <w:tcW w:type="dxa" w:w="108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ID</w:t>
            </w:r>
          </w:p>
        </w:tc>
        <w:tc>
          <w:tcPr>
            <w:tcW w:type="dxa" w:w="189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Item</w:t>
            </w:r>
          </w:p>
        </w:tc>
        <w:tc>
          <w:tcPr>
            <w:tcW w:type="dxa" w:w="90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Revisit</w:t>
            </w:r>
          </w:p>
        </w:tc>
        <w:tc>
          <w:tcPr>
            <w:tcW w:type="dxa" w:w="514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Reason and evidence required</w:t>
            </w:r>
          </w:p>
        </w:tc>
      </w:tr>
      <w:tr>
        <w:tc>
          <w:tcPr>
            <w:tcW w:type="dxa" w:w="108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SCOPE-D-01</w:t>
            </w:r>
          </w:p>
        </w:tc>
        <w:tc>
          <w:tcPr>
            <w:tcW w:type="dxa" w:w="189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File and photograph attachments on a request</w:t>
            </w:r>
          </w:p>
        </w:tc>
        <w:tc>
          <w:tcPr>
            <w:tcW w:type="dxa" w:w="9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 (pending DEC-007)</w:t>
            </w:r>
          </w:p>
        </w:tc>
        <w:tc>
          <w:tcPr>
            <w:tcW w:type="dxa" w:w="514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Requires object storage beyond the free tier, file-type and size validation, malware handling, and a retention/privacy obligation for images that may contain personal data. Deferred until the platform decision (DEC-008) establishes actual free-tier storage limits and until evidence exists of how often a photograph is genuinely required.</w:t>
            </w:r>
          </w:p>
        </w:tc>
      </w:tr>
      <w:tr>
        <w:tc>
          <w:tcPr>
            <w:tcW w:type="dxa" w:w="108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SCOPE-D-02</w:t>
            </w:r>
          </w:p>
        </w:tc>
        <w:tc>
          <w:tcPr>
            <w:tcW w:type="dxa" w:w="189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Automated SLA timers and escalation rules</w:t>
            </w:r>
          </w:p>
        </w:tc>
        <w:tc>
          <w:tcPr>
            <w:tcW w:type="dxa" w:w="9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w:t>
            </w:r>
          </w:p>
        </w:tc>
        <w:tc>
          <w:tcPr>
            <w:tcW w:type="dxa" w:w="514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FR-021 currently identifies overdue work against a target resolution time per category. The target values have not been agreed with a stakeholder (RSK-05). Automating escalation on unvalidated thresholds would generate false escalations and erode trust in the system.</w:t>
            </w:r>
          </w:p>
        </w:tc>
      </w:tr>
      <w:tr>
        <w:tc>
          <w:tcPr>
            <w:tcW w:type="dxa" w:w="108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SCOPE-D-03</w:t>
            </w:r>
          </w:p>
        </w:tc>
        <w:tc>
          <w:tcPr>
            <w:tcW w:type="dxa" w:w="189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SMS / push notification channel</w:t>
            </w:r>
          </w:p>
        </w:tc>
        <w:tc>
          <w:tcPr>
            <w:tcW w:type="dxa" w:w="9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M4 or post-project</w:t>
            </w:r>
          </w:p>
        </w:tc>
        <w:tc>
          <w:tcPr>
            <w:tcW w:type="dxa" w:w="514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Breaches CN-03 while a paid gateway is required. Retained on the register so the unmet SH-04 expectation stays visible (CF-03).</w:t>
            </w:r>
          </w:p>
        </w:tc>
      </w:tr>
      <w:tr>
        <w:tc>
          <w:tcPr>
            <w:tcW w:type="dxa" w:w="108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SCOPE-D-04</w:t>
            </w:r>
          </w:p>
        </w:tc>
        <w:tc>
          <w:tcPr>
            <w:tcW w:type="dxa" w:w="189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Anonymous or confidential reporting channel</w:t>
            </w:r>
          </w:p>
        </w:tc>
        <w:tc>
          <w:tcPr>
            <w:tcW w:type="dxa" w:w="9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w:t>
            </w:r>
          </w:p>
        </w:tc>
        <w:tc>
          <w:tcPr>
            <w:tcW w:type="dxa" w:w="514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Resolves CF-01 but requires a separate authorisation and audit model. Deferred pending a decision on whether accountability can be preserved without identity.</w:t>
            </w:r>
          </w:p>
        </w:tc>
      </w:tr>
      <w:tr>
        <w:tc>
          <w:tcPr>
            <w:tcW w:type="dxa" w:w="108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SCOPE-D-05</w:t>
            </w:r>
          </w:p>
        </w:tc>
        <w:tc>
          <w:tcPr>
            <w:tcW w:type="dxa" w:w="189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Bulk import of historical spreadsheet and paper records</w:t>
            </w:r>
          </w:p>
        </w:tc>
        <w:tc>
          <w:tcPr>
            <w:tcW w:type="dxa" w:w="9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M3</w:t>
            </w:r>
          </w:p>
        </w:tc>
        <w:tc>
          <w:tcPr>
            <w:tcW w:type="dxa" w:w="514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Data quality of the legacy records is unknown. Migration cannot be specified until the persistence design exists (M2) and a sample extract has been inspected.</w:t>
            </w:r>
          </w:p>
        </w:tc>
      </w:tr>
      <w:tr>
        <w:tc>
          <w:tcPr>
            <w:tcW w:type="dxa" w:w="108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SCOPE-D-06</w:t>
            </w:r>
          </w:p>
        </w:tc>
        <w:tc>
          <w:tcPr>
            <w:tcW w:type="dxa" w:w="189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Advanced analytics, trend reporting and scheduled report distribution</w:t>
            </w:r>
          </w:p>
        </w:tc>
        <w:tc>
          <w:tcPr>
            <w:tcW w:type="dxa" w:w="9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M4 / future</w:t>
            </w:r>
          </w:p>
        </w:tc>
        <w:tc>
          <w:tcPr>
            <w:tcW w:type="dxa" w:w="514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FR-019 to FR-022 satisfy the stated oversight need. Further analytics adds query and performance load against NFR-001 for value not yet evidenced.</w:t>
            </w:r>
          </w:p>
        </w:tc>
      </w:tr>
    </w:tbl>
    <w:p>
      <w:pPr>
        <w:pStyle w:val="Heading2"/>
        <w:spacing w:after="110" w:before="240"/>
      </w:pPr>
      <w:r>
        <w:rPr>
          <w:rFonts w:ascii="Calibri" w:cs="Calibri" w:eastAsia="Calibri" w:hAnsi="Calibri"/>
          <w:b/>
          <w:bCs/>
          <w:color w:val="2E5C8A"/>
          <w:sz w:val="24"/>
          <w:szCs w:val="24"/>
        </w:rPr>
        <w:t xml:space="preserve">4.4 A defended exclusion — no AI triage (SCOPE-O-07)</w:t>
      </w:r>
    </w:p>
    <w:p>
      <w:pPr>
        <w:spacing w:after="80" w:before="0" w:line="264"/>
        <w:jc w:val="left"/>
      </w:pPr>
      <w:r>
        <w:rPr>
          <w:rFonts w:ascii="Calibri" w:cs="Calibri" w:eastAsia="Calibri" w:hAnsi="Calibri"/>
          <w:b w:val="false"/>
          <w:bCs w:val="false"/>
          <w:i w:val="false"/>
          <w:iCs w:val="false"/>
          <w:color w:val="000000"/>
          <w:sz w:val="19"/>
          <w:szCs w:val="19"/>
        </w:rPr>
        <w:t xml:space="preserve">Automatic classification and prioritisation of requests was proposed during requirements drafting and rejected on four grounds:</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No stakeholder need — it originated as an AI suggestion, not from the register (AI-002).</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No acceptance criterion is possible. The team cannot state a defensible accuracy threshold or measure against labelled data, and a requirement without acceptance criteria cannot be baselined.</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It would place an unverifiable component on the accountability path — the exact property the project exists to establish.</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Inference at useful quality is not free, conflicting with CN-03, and creates a dependency the team does not control.</w:t>
      </w:r>
    </w:p>
    <w:p>
      <w:pPr>
        <w:spacing w:after="100" w:before="80" w:line="264"/>
        <w:jc w:val="left"/>
      </w:pPr>
      <w:r>
        <w:rPr>
          <w:rFonts w:ascii="Calibri" w:cs="Calibri" w:eastAsia="Calibri" w:hAnsi="Calibri"/>
          <w:b w:val="false"/>
          <w:bCs w:val="false"/>
          <w:i w:val="false"/>
          <w:iCs w:val="false"/>
          <w:color w:val="000000"/>
          <w:sz w:val="19"/>
          <w:szCs w:val="19"/>
        </w:rPr>
        <w:t xml:space="preserve">FR-026 was retained instead: a deterministic, testable duplicate warning on category and location. Same symptom, a fraction of the risk, and priced honestly as Could priority — the first requirement to drop under scope pressure.</w:t>
      </w:r>
    </w:p>
    <w:p>
      <w:pPr>
        <w:pStyle w:val="Heading1"/>
        <w:pageBreakBefore/>
        <w:spacing w:after="160" w:before="320"/>
      </w:pPr>
      <w:r>
        <w:rPr>
          <w:rFonts w:ascii="Calibri" w:cs="Calibri" w:eastAsia="Calibri" w:hAnsi="Calibri"/>
          <w:b/>
          <w:bCs/>
          <w:color w:val="1F3864"/>
          <w:sz w:val="30"/>
          <w:szCs w:val="30"/>
        </w:rPr>
        <w:t xml:space="preserve">5. Constraints and Assumptions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32"/>
        <w:gridCol w:w="1083"/>
        <w:gridCol w:w="3610"/>
        <w:gridCol w:w="3701"/>
      </w:tblGrid>
      <w:tr>
        <w:trPr>
          <w:tblHeader/>
        </w:trPr>
        <w:tc>
          <w:tcPr>
            <w:tcW w:type="dxa" w:w="63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ID</w:t>
            </w:r>
          </w:p>
        </w:tc>
        <w:tc>
          <w:tcPr>
            <w:tcW w:type="dxa" w:w="108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Type</w:t>
            </w:r>
          </w:p>
        </w:tc>
        <w:tc>
          <w:tcPr>
            <w:tcW w:type="dxa" w:w="3610"/>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Constraint</w:t>
            </w:r>
          </w:p>
        </w:tc>
        <w:tc>
          <w:tcPr>
            <w:tcW w:type="dxa" w:w="370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Engineering implication</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CN-01</w:t>
            </w:r>
          </w:p>
        </w:tc>
        <w:tc>
          <w:tcPr>
            <w:tcW w:type="dxa" w:w="108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Scope</w:t>
            </w:r>
          </w:p>
        </w:tc>
        <w:tc>
          <w:tcPr>
            <w:tcW w:type="dxa" w:w="36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Committed scope must be baselined and controlled. Minimum business capabilities in the Master Project Brief section 3 must be delivered. Uncontrolled scope creep is not acceptable.</w:t>
            </w:r>
          </w:p>
        </w:tc>
        <w:tc>
          <w:tcPr>
            <w:tcW w:type="dxa" w:w="370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Every requirement must trace to a stakeholder source. Additional features enter only through a change request with impact analysis. Six items were deliberately deferred rather than absorbed.</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CN-02</w:t>
            </w:r>
          </w:p>
        </w:tc>
        <w:tc>
          <w:tcPr>
            <w:tcW w:type="dxa" w:w="108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Schedule</w:t>
            </w:r>
          </w:p>
        </w:tc>
        <w:tc>
          <w:tcPr>
            <w:tcW w:type="dxa" w:w="36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Four assessed milestones inside a single SEN381 delivery period. Three part-time student engineers with concurrent modules.</w:t>
            </w:r>
          </w:p>
        </w:tc>
        <w:tc>
          <w:tcPr>
            <w:tcW w:type="dxa" w:w="370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M1 must be baselined before consequential architecture work begins, otherwise M2 inherits an unstable foundation. Work is split into three parallel workstreams with a fixed integration point rather than sequential handover.</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CN-03</w:t>
            </w:r>
          </w:p>
        </w:tc>
        <w:tc>
          <w:tcPr>
            <w:tcW w:type="dxa" w:w="108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Cost / resources</w:t>
            </w:r>
          </w:p>
        </w:tc>
        <w:tc>
          <w:tcPr>
            <w:tcW w:type="dxa" w:w="36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Free or low-cost services only. Free-tier limits and likely operational cost beyond the educational context must be identified.</w:t>
            </w:r>
          </w:p>
        </w:tc>
        <w:tc>
          <w:tcPr>
            <w:tcW w:type="dxa" w:w="370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Rules out paid messaging gateways (CF-03), managed object storage at scale (SCOPE-D-01) and always-on compute. Directly shapes the achievable performance and availability targets and therefore the M2 architecture.</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CN-04</w:t>
            </w:r>
          </w:p>
        </w:tc>
        <w:tc>
          <w:tcPr>
            <w:tcW w:type="dxa" w:w="108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Quality</w:t>
            </w:r>
          </w:p>
        </w:tc>
        <w:tc>
          <w:tcPr>
            <w:tcW w:type="dxa" w:w="36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Quality attributes must be defined now and supported by measurable evidence later. Unsupported claims are not accepted.</w:t>
            </w:r>
          </w:p>
        </w:tc>
        <w:tc>
          <w:tcPr>
            <w:tcW w:type="dxa" w:w="370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Every NFR carries a metric and a named verification method, even where the measurement itself only becomes possible in M3. NFRs without a measurement route were rewritten or removed.</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CN-05</w:t>
            </w:r>
          </w:p>
        </w:tc>
        <w:tc>
          <w:tcPr>
            <w:tcW w:type="dxa" w:w="108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Security</w:t>
            </w:r>
          </w:p>
        </w:tc>
        <w:tc>
          <w:tcPr>
            <w:tcW w:type="dxa" w:w="36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Security is a lifecycle responsibility from requirements onwards, not a final hardening pass.</w:t>
            </w:r>
          </w:p>
        </w:tc>
        <w:tc>
          <w:tcPr>
            <w:tcW w:type="dxa" w:w="370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Authentication, authorisation, secrets handling, audit and privacy requirements are baselined in M1 so that M2 architecture cannot quietly design them out. Residual risk is recorded rather than a claim that the system is secure.</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CN-06</w:t>
            </w:r>
          </w:p>
        </w:tc>
        <w:tc>
          <w:tcPr>
            <w:tcW w:type="dxa" w:w="108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Team capability</w:t>
            </w:r>
          </w:p>
        </w:tc>
        <w:tc>
          <w:tcPr>
            <w:tcW w:type="dxa" w:w="36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Three students of mixed and partly unknown proficiency. Learning-curve risk must be treated as an engineering constraint.</w:t>
            </w:r>
          </w:p>
        </w:tc>
        <w:tc>
          <w:tcPr>
            <w:tcW w:type="dxa" w:w="370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Technology selection is deferred to M2 so it can be made against an honest capability audit and a small proof of concept rather than familiarity or preference.</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CN-07</w:t>
            </w:r>
          </w:p>
        </w:tc>
        <w:tc>
          <w:tcPr>
            <w:tcW w:type="dxa" w:w="108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Environment / platform</w:t>
            </w:r>
          </w:p>
        </w:tc>
        <w:tc>
          <w:tcPr>
            <w:tcW w:type="dxa" w:w="36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Belgium Campus cannot guarantee that any chosen language, framework, service or deployment platform is available or supported on the institutional desktop platform (Master Project Brief section 25).</w:t>
            </w:r>
          </w:p>
        </w:tc>
        <w:tc>
          <w:tcPr>
            <w:tcW w:type="dxa" w:w="370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Availability and compatibility must be verified on the actual build environment before the stack is committed in M2. A stack that only runs on one member's personal machine is a single point of failure.</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CN-08</w:t>
            </w:r>
          </w:p>
        </w:tc>
        <w:tc>
          <w:tcPr>
            <w:tcW w:type="dxa" w:w="108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Governance</w:t>
            </w:r>
          </w:p>
        </w:tc>
        <w:tc>
          <w:tcPr>
            <w:tcW w:type="dxa" w:w="36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Protected main, pull requests for substantive change, and a minimum of two approvals from members other than the author. Self-approval is not accepted.</w:t>
            </w:r>
          </w:p>
        </w:tc>
        <w:tc>
          <w:tcPr>
            <w:tcW w:type="dxa" w:w="370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With a three-person team, two approvals means unanimous consent from the other two members. Any single absence blocks every merge, so a review turnaround rule and an escalation path are required from the start.</w:t>
            </w:r>
          </w:p>
        </w:tc>
      </w:tr>
    </w:tbl>
    <w:p>
      <w:pPr>
        <w:pStyle w:val="Heading2"/>
        <w:spacing w:after="110" w:before="240"/>
      </w:pPr>
      <w:r>
        <w:rPr>
          <w:rFonts w:ascii="Calibri" w:cs="Calibri" w:eastAsia="Calibri" w:hAnsi="Calibri"/>
          <w:b/>
          <w:bCs/>
          <w:color w:val="2E5C8A"/>
          <w:sz w:val="24"/>
          <w:szCs w:val="24"/>
        </w:rPr>
        <w:t xml:space="preserve">5.1 Constraint interaction — cost, quality, architecture</w:t>
      </w:r>
    </w:p>
    <w:p>
      <w:pPr>
        <w:spacing w:after="100" w:before="0" w:line="264"/>
        <w:jc w:val="left"/>
      </w:pPr>
      <w:r>
        <w:rPr>
          <w:rFonts w:ascii="Calibri" w:cs="Calibri" w:eastAsia="Calibri" w:hAnsi="Calibri"/>
          <w:b w:val="false"/>
          <w:bCs w:val="false"/>
          <w:i w:val="false"/>
          <w:iCs w:val="false"/>
          <w:color w:val="000000"/>
          <w:sz w:val="19"/>
          <w:szCs w:val="19"/>
        </w:rPr>
        <w:t xml:space="preserve">The interaction is where the engineering consequence lives, and this chain is why two decisions are deferred rather than taken.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444"/>
        <w:gridCol w:w="7582"/>
      </w:tblGrid>
      <w:tr>
        <w:trPr>
          <w:tblHeader/>
        </w:trPr>
        <w:tc>
          <w:tcPr>
            <w:tcW w:type="dxa" w:w="144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Link</w:t>
            </w:r>
          </w:p>
        </w:tc>
        <w:tc>
          <w:tcPr>
            <w:tcW w:type="dxa" w:w="758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Effect</w:t>
            </w:r>
          </w:p>
        </w:tc>
      </w:tr>
      <w:tr>
        <w:tc>
          <w:tcPr>
            <w:tcW w:type="dxa" w:w="144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CN-03 binds</w:t>
            </w:r>
          </w:p>
        </w:tc>
        <w:tc>
          <w:tcPr>
            <w:tcW w:type="dxa" w:w="758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Only free-tier services. Free tiers idle out and cold-start, throttle compute and cap storage.</w:t>
            </w:r>
          </w:p>
        </w:tc>
      </w:tr>
      <w:tr>
        <w:tc>
          <w:tcPr>
            <w:tcW w:type="dxa" w:w="144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 quality</w:t>
            </w:r>
          </w:p>
        </w:tc>
        <w:tc>
          <w:tcPr>
            <w:tcW w:type="dxa" w:w="758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NFR-001 cannot honestly promise 2 seconds on a cold instance, so it is specified against a warm instance at stated concurrency and volume; NFR-002 declares cold-start latency as a known limitation rather than concealing it.</w:t>
            </w:r>
          </w:p>
        </w:tc>
      </w:tr>
      <w:tr>
        <w:tc>
          <w:tcPr>
            <w:tcW w:type="dxa" w:w="144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 architecture</w:t>
            </w:r>
          </w:p>
        </w:tc>
        <w:tc>
          <w:tcPr>
            <w:tcW w:type="dxa" w:w="758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Each independently deployed service is another instance that idles out, pushing M2 towards a single deployable unit. A financial constraint becomes an architectural one — to be argued in M2, not assumed now.</w:t>
            </w:r>
          </w:p>
        </w:tc>
      </w:tr>
      <w:tr>
        <w:tc>
          <w:tcPr>
            <w:tcW w:type="dxa" w:w="144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 verification</w:t>
            </w:r>
          </w:p>
        </w:tc>
        <w:tc>
          <w:tcPr>
            <w:tcW w:type="dxa" w:w="758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M3 load testing must separate warm from cold measurements or the NFR-001 evidence is meaningless.</w:t>
            </w:r>
          </w:p>
        </w:tc>
      </w:tr>
      <w:tr>
        <w:tc>
          <w:tcPr>
            <w:tcW w:type="dxa" w:w="144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 evaluation</w:t>
            </w:r>
          </w:p>
        </w:tc>
        <w:tc>
          <w:tcPr>
            <w:tcW w:type="dxa" w:w="758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NFR-010 requires operational cost at 100 users and 1 000 requests per month — where the free-tier assumption is honestly tested.</w:t>
            </w:r>
          </w:p>
        </w:tc>
      </w:tr>
      <w:tr>
        <w:tc>
          <w:tcPr>
            <w:tcW w:type="dxa" w:w="144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Residual risk</w:t>
            </w:r>
          </w:p>
        </w:tc>
        <w:tc>
          <w:tcPr>
            <w:tcW w:type="dxa" w:w="758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RSK-02 (16, High). Contingency is to publish the degraded behaviour or renegotiate CN-03 — not to quietly weaken the NFR.</w:t>
            </w:r>
          </w:p>
        </w:tc>
      </w:tr>
    </w:tbl>
    <w:p>
      <w:pPr>
        <w:spacing w:after="100" w:before="100" w:line="264"/>
        <w:jc w:val="left"/>
      </w:pPr>
      <w:r>
        <w:rPr>
          <w:rFonts w:ascii="Calibri" w:cs="Calibri" w:eastAsia="Calibri" w:hAnsi="Calibri"/>
          <w:b w:val="false"/>
          <w:bCs w:val="false"/>
          <w:i w:val="false"/>
          <w:iCs w:val="false"/>
          <w:color w:val="000000"/>
          <w:sz w:val="19"/>
          <w:szCs w:val="19"/>
        </w:rPr>
        <w:t xml:space="preserve">A second interaction runs between CN-08 and CN-02: two approvals from non-authors means unanimity in a three-person team, so a single absence halts every controlled merge. The control cannot be weakened, so the schedule absorbs it — DEC-010 fixes a 24-hour review turnaround and RSK-04 carries the residual exposure.</w:t>
      </w:r>
    </w:p>
    <w:p>
      <w:pPr>
        <w:pStyle w:val="Heading2"/>
        <w:spacing w:after="110" w:before="240"/>
      </w:pPr>
      <w:r>
        <w:rPr>
          <w:rFonts w:ascii="Calibri" w:cs="Calibri" w:eastAsia="Calibri" w:hAnsi="Calibri"/>
          <w:b/>
          <w:bCs/>
          <w:color w:val="2E5C8A"/>
          <w:sz w:val="24"/>
          <w:szCs w:val="24"/>
        </w:rPr>
        <w:t xml:space="preserve">5.2 Assumptions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32"/>
        <w:gridCol w:w="3069"/>
        <w:gridCol w:w="2347"/>
        <w:gridCol w:w="993"/>
        <w:gridCol w:w="1985"/>
      </w:tblGrid>
      <w:tr>
        <w:trPr>
          <w:tblHeader/>
        </w:trPr>
        <w:tc>
          <w:tcPr>
            <w:tcW w:type="dxa" w:w="63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ID</w:t>
            </w:r>
          </w:p>
        </w:tc>
        <w:tc>
          <w:tcPr>
            <w:tcW w:type="dxa" w:w="3069"/>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Assumption</w:t>
            </w:r>
          </w:p>
        </w:tc>
        <w:tc>
          <w:tcPr>
            <w:tcW w:type="dxa" w:w="234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Consequence if false</w:t>
            </w:r>
          </w:p>
        </w:tc>
        <w:tc>
          <w:tcPr>
            <w:tcW w:type="dxa" w:w="99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Risk</w:t>
            </w:r>
          </w:p>
        </w:tc>
        <w:tc>
          <w:tcPr>
            <w:tcW w:type="dxa" w:w="198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Validation</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AS-01</w:t>
            </w:r>
          </w:p>
        </w:tc>
        <w:tc>
          <w:tcPr>
            <w:tcW w:type="dxa" w:w="306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The team acts as proxy for all CivicConnect stakeholders; no live client is available for validation.</w:t>
            </w:r>
          </w:p>
        </w:tc>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Requirements may not reflect real operational practice</w:t>
            </w:r>
          </w:p>
        </w:tc>
        <w:tc>
          <w:tcPr>
            <w:tcW w:type="dxa" w:w="99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RSK-10</w:t>
            </w:r>
          </w:p>
        </w:tc>
        <w:tc>
          <w:tcPr>
            <w:tcW w:type="dxa" w:w="198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Validate with lecturer as proxy client at the M2 gate</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AS-02</w:t>
            </w:r>
          </w:p>
        </w:tc>
        <w:tc>
          <w:tcPr>
            <w:tcW w:type="dxa" w:w="306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Provisional target resolution times per category may be set by the team and corrected later without breaching the baseline, because FR-021 is specified against a configurable value.</w:t>
            </w:r>
          </w:p>
        </w:tc>
        <w:tc>
          <w:tcPr>
            <w:tcW w:type="dxa" w:w="234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FR-021 acceptance testing is possible now; only the values are provisional</w:t>
            </w:r>
          </w:p>
        </w:tc>
        <w:tc>
          <w:tcPr>
            <w:tcW w:type="dxa" w:w="99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RSK-05</w:t>
            </w:r>
          </w:p>
        </w:tc>
        <w:tc>
          <w:tcPr>
            <w:tcW w:type="dxa" w:w="198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Confirm values at the M2 gate</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AS-03</w:t>
            </w:r>
          </w:p>
        </w:tc>
        <w:tc>
          <w:tcPr>
            <w:tcW w:type="dxa" w:w="306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Email delivery is available at no cost within the free-tier limits of the platform selected in M2.</w:t>
            </w:r>
          </w:p>
        </w:tc>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FR-009 becomes unimplementable as specified if untrue</w:t>
            </w:r>
          </w:p>
        </w:tc>
        <w:tc>
          <w:tcPr>
            <w:tcW w:type="dxa" w:w="99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RSK-02</w:t>
            </w:r>
          </w:p>
        </w:tc>
        <w:tc>
          <w:tcPr>
            <w:tcW w:type="dxa" w:w="198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Verify during the M2 platform spike</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AS-04</w:t>
            </w:r>
          </w:p>
        </w:tc>
        <w:tc>
          <w:tcPr>
            <w:tcW w:type="dxa" w:w="306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Request volume during the academic project remains within the capacity stated in NFR-013.</w:t>
            </w:r>
          </w:p>
        </w:tc>
        <w:tc>
          <w:tcPr>
            <w:tcW w:type="dxa" w:w="234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Performance and cost evidence would need re-basing</w:t>
            </w:r>
          </w:p>
        </w:tc>
        <w:tc>
          <w:tcPr>
            <w:tcW w:type="dxa" w:w="99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RSK-02</w:t>
            </w:r>
          </w:p>
        </w:tc>
        <w:tc>
          <w:tcPr>
            <w:tcW w:type="dxa" w:w="198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Re-check at M3 load testing</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AS-05</w:t>
            </w:r>
          </w:p>
        </w:tc>
        <w:tc>
          <w:tcPr>
            <w:tcW w:type="dxa" w:w="306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All three registered members remain on the team for the full delivery period.</w:t>
            </w:r>
          </w:p>
        </w:tc>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Two-approval governance and workstream split both assume three members</w:t>
            </w:r>
          </w:p>
        </w:tc>
        <w:tc>
          <w:tcPr>
            <w:tcW w:type="dxa" w:w="99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RSK-04, RSK-09</w:t>
            </w:r>
          </w:p>
        </w:tc>
        <w:tc>
          <w:tcPr>
            <w:tcW w:type="dxa" w:w="198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Escalate to lecturer if it fails</w:t>
            </w:r>
          </w:p>
        </w:tc>
      </w:tr>
    </w:tbl>
    <w:p>
      <w:pPr>
        <w:sectPr>
          <w:headerReference w:type="default" r:id="rId7"/>
          <w:footerReference w:type="default" r:id="rId8"/>
          <w:pgSz w:w="11906" w:h="16838" w:orient="portrait"/>
          <w:pgMar w:top="1200" w:right="1080" w:bottom="1080" w:left="1080" w:header="708" w:footer="708" w:gutter="0"/>
          <w:pgNumType/>
          <w:docGrid w:linePitch="360"/>
        </w:sectPr>
      </w:pPr>
    </w:p>
    <w:p>
      <w:pPr>
        <w:pStyle w:val="Heading1"/>
        <w:spacing w:after="160" w:before="320"/>
      </w:pPr>
      <w:r>
        <w:rPr>
          <w:rFonts w:ascii="Calibri" w:cs="Calibri" w:eastAsia="Calibri" w:hAnsi="Calibri"/>
          <w:b/>
          <w:bCs/>
          <w:color w:val="1F3864"/>
          <w:sz w:val="30"/>
          <w:szCs w:val="30"/>
        </w:rPr>
        <w:t xml:space="preserve">6. Requirements and Acceptance Criteria</w:t>
      </w:r>
    </w:p>
    <w:p>
      <w:pPr>
        <w:spacing w:after="140" w:before="0" w:line="264"/>
        <w:jc w:val="left"/>
      </w:pPr>
      <w:r>
        <w:rPr>
          <w:rFonts w:ascii="Calibri" w:cs="Calibri" w:eastAsia="Calibri" w:hAnsi="Calibri"/>
          <w:b w:val="false"/>
          <w:bCs w:val="false"/>
          <w:i w:val="false"/>
          <w:iCs w:val="false"/>
          <w:color w:val="000000"/>
          <w:sz w:val="19"/>
          <w:szCs w:val="19"/>
        </w:rPr>
        <w:t xml:space="preserve">Requirements follow the quality characteristics in ISO/IEC/IEEE 29148 [3]: necessary, unambiguous, singular, feasible, verifiable. Any requirement that could not be given a verification method was rewritten or removed — nine NFRs were rewritten because the drafts used unmeasurable language such as "fast", "user-friendly" and "secure" (AI-002, AI-003). Prioritisation is MoSCoW (DEC-009), with Must reserved for requirements without which the minimum business capabilities [1, §3] are not met; this makes the RSK-12 contingency executable, since scope is reduced in a defined order rather than renegotiated under pressure. NFRs are structured on ISO/IEC 25010 [4]: performance (001, 013), reliability (002, 011), security (003–006, 012, 014), usability (007, 008), maintainability (009), cost (010).</w:t>
      </w:r>
    </w:p>
    <w:p>
      <w:pPr>
        <w:pStyle w:val="Heading2"/>
        <w:spacing w:after="110" w:before="240"/>
      </w:pPr>
      <w:r>
        <w:rPr>
          <w:rFonts w:ascii="Calibri" w:cs="Calibri" w:eastAsia="Calibri" w:hAnsi="Calibri"/>
          <w:b/>
          <w:bCs/>
          <w:color w:val="2E5C8A"/>
          <w:sz w:val="24"/>
          <w:szCs w:val="24"/>
        </w:rPr>
        <w:t xml:space="preserve">6.1 Functional requirements</w:t>
      </w:r>
    </w:p>
    <w:tbl>
      <w:tblPr>
        <w:tblW w:type="dxa" w:w="14678"/>
        <w:tblBorders>
          <w:top w:val="single" w:color="BFBFBF" w:sz="2"/>
          <w:left w:val="single" w:color="BFBFBF" w:sz="2"/>
          <w:bottom w:val="single" w:color="BFBFBF" w:sz="2"/>
          <w:right w:val="single" w:color="BFBFBF" w:sz="2"/>
          <w:insideH w:val="single" w:color="BFBFBF" w:sz="2"/>
          <w:insideV w:val="single" w:color="BFBFBF" w:sz="2"/>
        </w:tblBorders>
      </w:tblPr>
      <w:tblGrid>
        <w:gridCol w:w="807"/>
        <w:gridCol w:w="4110"/>
        <w:gridCol w:w="1027"/>
        <w:gridCol w:w="734"/>
        <w:gridCol w:w="5798"/>
        <w:gridCol w:w="2202"/>
      </w:tblGrid>
      <w:tr>
        <w:trPr>
          <w:tblHeader/>
        </w:trPr>
        <w:tc>
          <w:tcPr>
            <w:tcW w:type="dxa" w:w="80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ID</w:t>
            </w:r>
          </w:p>
        </w:tc>
        <w:tc>
          <w:tcPr>
            <w:tcW w:type="dxa" w:w="4110"/>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Requirement</w:t>
            </w:r>
          </w:p>
        </w:tc>
        <w:tc>
          <w:tcPr>
            <w:tcW w:type="dxa" w:w="102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Source</w:t>
            </w:r>
          </w:p>
        </w:tc>
        <w:tc>
          <w:tcPr>
            <w:tcW w:type="dxa" w:w="73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Pri.</w:t>
            </w:r>
          </w:p>
        </w:tc>
        <w:tc>
          <w:tcPr>
            <w:tcW w:type="dxa" w:w="579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Acceptance criteria</w:t>
            </w:r>
          </w:p>
        </w:tc>
        <w:tc>
          <w:tcPr>
            <w:tcW w:type="dxa" w:w="220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Verification</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FR-001</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Administrator shall create user accounts and assign exactly one role to each account; self-registered accounts shall default to the Requester role.</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SH-05</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an Administrator on the user administration screen, when a valid email and role are submitted, then an active account exists with that role and no other role, and the creation is written to the audit trail.</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audit record inspection</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FR-002</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system shall authenticate a user by email address and password before granting access to any function other than sign-in and password reset.</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SH-05, SH-09</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an unauthenticated visitor, when any application URL other than sign-in or password reset is requested, then access is refused and the visitor is redirected to sign-in with no request data disclosed.</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Automated negative-access test</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FR-003</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system shall enforce four roles - Requester, Staff, Manager, Administrator - and permit each role only the operations authorised for it.</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SH-04, SH-09</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an authenticated user in role R, when an operation not authorised for R is attempted, then the operation is refused with an authorisation error and no state change occurs.</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Automated role x operation matrix test (NFR-004)</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FR-004</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system shall allow a user to reset a forgotten password through a single-use, time-limited link sent to the registered email address.</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SH-01</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Should</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registered user requesting a reset, when the emailed link is used within its validity period, then a new password may be set; when the same link is reused or used after expiry, then it is refused.</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positive and negative</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FR-005</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Requester shall submit a service request capturing title, description, category and location as mandatory information.</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SH-01</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an authenticated Requester with all four mandatory fields completed, when the request is submitted, then a request is stored with a unique reference, status New, the submitter recorded and a submission timestamp; and the reference is displayed to the Requester.</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database inspection</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FR-006</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system shall require the Requester to select a category from a controlled list maintained by an Administrator, and shall reject free-text categories.</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SH-04</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the submission form, when no category is selected, then submission is refused with a field-level message; and the category selector offers only values from the active controlled list.</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boundary test</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FR-007</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Requester shall view the current status of any request they submitted.</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SH-01</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Requester with at least one submitted request, when the request is opened, then the current status, the date of the last status change and any resolution note are displayed.</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FR-008</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Requester shall view a list of all requests they have previously submitted, most recent first.</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SH-01</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Requester with n submitted requests, when the request list is opened, then exactly those n requests are listed with reference, category, submission date and status, and no request belonging to another user appears.</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negative-access test</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FR-009</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system shall notify the Requester in-app and by email when their request is accepted, rejected, updated with a comment, or completed.</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SH-01</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request owned by Requester X, when its status changes to Accepted, Rejected or Resolved, then an in-app notification and an email are generated to X within 5 minutes, containing the reference, the new status and any reason.</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notification log</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FR-010</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authenticated Requester and authorised Staff shall exchange comments attached to a request record; personal contact details shall not be exposed.</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SH-01, SH-02</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Should</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request with an assigned staff member, when either party adds a comment, then the comment is stored against the request with author and timestamp and is visible to both, and no email address or telephone number of the other party is displayed.</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privacy review (NFR-012)</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FR-011</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Staff user shall view the service requests they are authorised to see, including unassigned requests and requests assigned to them.</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SH-02</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Staff user, when the queue is opened, then unassigned requests and requests assigned to that user are listed, and requests assigned to another staff member are not shown by default.</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FR-012</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Staff or Manager user shall search by reference or keyword and filter and sort the request list by category, status, assignee, priority and submission date.</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SH-02</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list of requests, when a filter or sort is applied, then only matching requests are returned in the requested order, and combining two filters returns the intersection.</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performance test (NFR-001)</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FR-013</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authorised user shall view the complete detail of a request including its full status and assignment history.</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SH-02</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an authorised user opening a request, when the detail view is displayed, then submitted information, current status, assignee, all comments and the complete ordered change history are shown.</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FR-014</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Manager shall assign a request to a Staff user, a Staff user shall accept an unassigned request, and a Manager shall reassign an assigned request.</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an unassigned request, when a Staff user accepts it, then that user becomes the assignee and the assignment is written to the audit trail; and when a Manager reassigns it, the previous and new assignee are both recorded.</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audit record inspection</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FR-015</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system shall permit only defined status transitions across New, Accepted, In Progress, On Hold, Resolved, Closed and Rejected, and shall refuse any undefined transition.</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SH-04</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request in status Closed, when any transition other than the defined reopen path is attempted, then it is refused and the status is unchanged; and every permitted transition is recorded with actor and timestamp.</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State-transition test covering the full permitted and forbidden matrix</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FR-016</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assigned Staff user shall record actions taken and shall record resolution information when moving a request to Resolved.</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SH-02</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request being moved to Resolved, when no resolution note is supplied, then the transition is refused; when a note is supplied, the note is stored against the request with author and timestamp.</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positive and negative</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FR-017</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assigned Staff user shall move a request to Resolved, and a Manager shall move a Resolved request to Closed.</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SH-02, SH-04</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Resolved request, when a Manager closes it, then the status becomes Closed with actor and timestamp recorded; and a Staff user attempting to close it directly is refused.</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authorisation test</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FR-018</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Staff or Manager user shall reject or return a request to the Requester, and the system shall require a reason.</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SH-02</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Should</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request being rejected, when no reason is supplied, then the rejection is refused; when a reason is supplied, the request status becomes Rejected, the reason is stored and the Requester is notified (FR-009).</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positive and negative</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FR-019</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Manager shall view counts of open, in progress, overdue, resolved and closed requests for a selected period.</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SH-04</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known data set for a period, when the dashboard is opened for that period, then each displayed count equals the count obtained directly from the stored records for that period.</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against a seeded data set</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FR-020</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Manager shall view request activity broken down by category, status, assignee and time period.</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SH-04</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seeded data set, when a breakdown by category is requested, then every active category is represented and the sum of the category counts equals the total request count for the period.</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with reconciliation check</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FR-021</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system shall identify a request as overdue when its elapsed open time exceeds the configured target resolution time for its category.</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SH-04</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category with a configured target of T hours and a request open for more than T hours in a non-terminal status, when the dashboard or queue is viewed, then that request is flagged overdue; and a request open for less than T hours is not flagged.</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Boundary test at T-1, T and T+1. NOTE: target values are not yet agreed - see RSK-05 and SCOPE-D-02.</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FR-022</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Manager shall export the filtered request list to CSV for offline analysis and record keeping.</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SH-04</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Should</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filtered request list of n rows, when export is selected, then a CSV file is produced containing exactly n data rows with a header row and the same field values as displayed.</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row-count reconciliation</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FR-023</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Administrator shall create, rename and deactivate categories, and shall configure the target resolution time for each category.</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SH-05</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category referenced by existing requests, when deactivation is attempted, then the category is deactivated for new submissions while existing requests retain it; and deletion that would orphan a request is refused.</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referential-integrity test</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FR-024</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Administrator shall change a user's role and deactivate a user account.</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SH-05</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an active user with assigned open requests, when the account is deactivated, then the user can no longer sign in, the assigned requests remain visible to the Manager for reassignment, and the change is written to the audit trail.</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audit record inspection</w:t>
            </w:r>
          </w:p>
        </w:tc>
      </w:tr>
      <w:tr>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FR-025</w:t>
            </w:r>
          </w:p>
        </w:tc>
        <w:tc>
          <w:tcPr>
            <w:tcW w:type="dxa" w:w="411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system shall record every status change and every assignment change with the acting user, timestamp, previous value and new value, and shall not permit these records to be edited or deleted through the application.</w:t>
            </w:r>
          </w:p>
        </w:tc>
        <w:tc>
          <w:tcPr>
            <w:tcW w:type="dxa" w:w="10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SH-04, SH-09</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579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 request that has undergone k status or assignment changes, when the history is viewed, then exactly k ordered entries are shown each with actor, UTC timestamp, previous value and new value; and no application function exists that edits or deletes an entry.</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code review + negative test (NFR-006)</w:t>
            </w:r>
          </w:p>
        </w:tc>
      </w:tr>
      <w:tr>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FR-026</w:t>
            </w:r>
          </w:p>
        </w:tc>
        <w:tc>
          <w:tcPr>
            <w:tcW w:type="dxa" w:w="411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On submission the system shall warn the Requester when an open request with the same category and location already exists, while still permitting submission.</w:t>
            </w:r>
          </w:p>
        </w:tc>
        <w:tc>
          <w:tcPr>
            <w:tcW w:type="dxa" w:w="10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SH-02</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Could</w:t>
            </w:r>
          </w:p>
        </w:tc>
        <w:tc>
          <w:tcPr>
            <w:tcW w:type="dxa" w:w="579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Given an existing open request with category C and location L, when a Requester submits a new request with category C and location L, then a warning listing the possible duplicate is displayed and the Requester may confirm or cancel.</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w:t>
            </w:r>
          </w:p>
        </w:tc>
      </w:tr>
    </w:tbl>
    <w:p>
      <w:pPr>
        <w:pStyle w:val="Heading2"/>
        <w:pageBreakBefore/>
        <w:spacing w:after="110" w:before="240"/>
      </w:pPr>
      <w:r>
        <w:rPr>
          <w:rFonts w:ascii="Calibri" w:cs="Calibri" w:eastAsia="Calibri" w:hAnsi="Calibri"/>
          <w:b/>
          <w:bCs/>
          <w:color w:val="2E5C8A"/>
          <w:sz w:val="24"/>
          <w:szCs w:val="24"/>
        </w:rPr>
        <w:t xml:space="preserve">6.2 Non-functional requirements</w:t>
      </w:r>
    </w:p>
    <w:tbl>
      <w:tblPr>
        <w:tblW w:type="dxa" w:w="14678"/>
        <w:tblBorders>
          <w:top w:val="single" w:color="BFBFBF" w:sz="2"/>
          <w:left w:val="single" w:color="BFBFBF" w:sz="2"/>
          <w:bottom w:val="single" w:color="BFBFBF" w:sz="2"/>
          <w:right w:val="single" w:color="BFBFBF" w:sz="2"/>
          <w:insideH w:val="single" w:color="BFBFBF" w:sz="2"/>
          <w:insideV w:val="single" w:color="BFBFBF" w:sz="2"/>
        </w:tblBorders>
      </w:tblPr>
      <w:tblGrid>
        <w:gridCol w:w="881"/>
        <w:gridCol w:w="1761"/>
        <w:gridCol w:w="4403"/>
        <w:gridCol w:w="734"/>
        <w:gridCol w:w="4697"/>
        <w:gridCol w:w="2202"/>
      </w:tblGrid>
      <w:tr>
        <w:trPr>
          <w:tblHeader/>
        </w:trPr>
        <w:tc>
          <w:tcPr>
            <w:tcW w:type="dxa" w:w="88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ID</w:t>
            </w:r>
          </w:p>
        </w:tc>
        <w:tc>
          <w:tcPr>
            <w:tcW w:type="dxa" w:w="176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Attribute</w:t>
            </w:r>
          </w:p>
        </w:tc>
        <w:tc>
          <w:tcPr>
            <w:tcW w:type="dxa" w:w="440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Requirement</w:t>
            </w:r>
          </w:p>
        </w:tc>
        <w:tc>
          <w:tcPr>
            <w:tcW w:type="dxa" w:w="73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Pri.</w:t>
            </w:r>
          </w:p>
        </w:tc>
        <w:tc>
          <w:tcPr>
            <w:tcW w:type="dxa" w:w="469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Acceptance criteria</w:t>
            </w:r>
          </w:p>
        </w:tc>
        <w:tc>
          <w:tcPr>
            <w:tcW w:type="dxa" w:w="220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5"/>
                <w:szCs w:val="15"/>
              </w:rPr>
              <w:t xml:space="preserve">Verification</w:t>
            </w:r>
          </w:p>
        </w:tc>
      </w:tr>
      <w:tr>
        <w:tc>
          <w:tcPr>
            <w:tcW w:type="dxa" w:w="88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NFR-001</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Performance - list response</w:t>
            </w:r>
          </w:p>
        </w:tc>
        <w:tc>
          <w:tcPr>
            <w:tcW w:type="dxa" w:w="44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95th percentile server response time for a filtered request list of up to 500 records shall not exceed 2.0 seconds with 10 concurrent users on a warm instance.</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469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load test of 10 concurrent users over 5 minutes against a 500-record data set reports a 95th percentile response time of 2.0 seconds or less. Cold-start latency is measured and reported separately (see NFR-002).</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Load test, M3</w:t>
            </w:r>
          </w:p>
        </w:tc>
      </w:tr>
      <w:tr>
        <w:tc>
          <w:tcPr>
            <w:tcW w:type="dxa" w:w="88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NFR-002</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Availability</w:t>
            </w:r>
          </w:p>
        </w:tc>
        <w:tc>
          <w:tcPr>
            <w:tcW w:type="dxa" w:w="44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staging deployment shall be available at least 95% of the time between 07:00 and 18:00 SAST on weekdays across the M3 evaluation period. Cold-start latency of up to 30 seconds after idle is a declared and accepted limitation of the free-tier hosting constraint.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Should</w:t>
            </w:r>
          </w:p>
        </w:tc>
        <w:tc>
          <w:tcPr>
            <w:tcW w:type="dxa" w:w="469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uptime log across the evaluation period shows availability of 95% or more within the stated window, and the observed cold-start latency is recorded as a known limitation in the PED.</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Uptime monitoring log, M3</w:t>
            </w:r>
          </w:p>
        </w:tc>
      </w:tr>
      <w:tr>
        <w:tc>
          <w:tcPr>
            <w:tcW w:type="dxa" w:w="88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NFR-003</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Credential storage</w:t>
            </w:r>
          </w:p>
        </w:tc>
        <w:tc>
          <w:tcPr>
            <w:tcW w:type="dxa" w:w="44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Passwords shall be stored only as a salted adaptive hash (bcrypt with cost factor 10 or greater, or Argon2id). No password shall be stored in plaintext or in any reversible form.</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469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Inspection of the stored user records shows no plaintext or reversible password value, and code review confirms the hashing algorithm and cost factor.</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Database inspection + code review, M3</w:t>
            </w:r>
          </w:p>
        </w:tc>
      </w:tr>
      <w:tr>
        <w:tc>
          <w:tcPr>
            <w:tcW w:type="dxa" w:w="88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NFR-004</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Authorisation enforcement</w:t>
            </w:r>
          </w:p>
        </w:tc>
        <w:tc>
          <w:tcPr>
            <w:tcW w:type="dxa" w:w="44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100% of role-restricted operations shall reject a request from an unauthorised role with an authorisation error and without any state change.</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469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automated test matrix covering every role against every restricted operation reports zero unauthorised successes.</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Automated role x operation matrix test, M3</w:t>
            </w:r>
          </w:p>
        </w:tc>
      </w:tr>
      <w:tr>
        <w:tc>
          <w:tcPr>
            <w:tcW w:type="dxa" w:w="88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NFR-005</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Secrets handling</w:t>
            </w:r>
          </w:p>
        </w:tc>
        <w:tc>
          <w:tcPr>
            <w:tcW w:type="dxa" w:w="44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No password, API key, token, connection string or private key shall be present in the repository or in its commit history.</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469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automated secret scan on every pull request and a full-history scan both report zero findings.</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Automated secret scan, from M1</w:t>
            </w:r>
          </w:p>
        </w:tc>
      </w:tr>
      <w:tr>
        <w:tc>
          <w:tcPr>
            <w:tcW w:type="dxa" w:w="88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NFR-006</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Auditability</w:t>
            </w:r>
          </w:p>
        </w:tc>
        <w:tc>
          <w:tcPr>
            <w:tcW w:type="dxa" w:w="44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100% of status and assignment changes shall be recorded with actor, UTC timestamp, previous value and new value, and shall not be modifiable through the application.</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469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For a scripted sequence of k changes, the audit record contains exactly k entries with all four fields populated, and no application endpoint accepts an update or delete against an audit entry.</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Functional test + negative test, M3</w:t>
            </w:r>
          </w:p>
        </w:tc>
      </w:tr>
      <w:tr>
        <w:tc>
          <w:tcPr>
            <w:tcW w:type="dxa" w:w="88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NFR-007</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Usability of submission</w:t>
            </w:r>
          </w:p>
        </w:tc>
        <w:tc>
          <w:tcPr>
            <w:tcW w:type="dxa" w:w="44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untrained Requester shall complete a valid submission within 3 minutes and no more than 3 screens.</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Should</w:t>
            </w:r>
          </w:p>
        </w:tc>
        <w:tc>
          <w:tcPr>
            <w:tcW w:type="dxa" w:w="469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In a moderated test with 5 representative participants, at least 4 complete a valid submission unaided within 3 minutes.</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Moderated usability test, M3</w:t>
            </w:r>
          </w:p>
        </w:tc>
      </w:tr>
      <w:tr>
        <w:tc>
          <w:tcPr>
            <w:tcW w:type="dxa" w:w="88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NFR-008</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Accessibility</w:t>
            </w:r>
          </w:p>
        </w:tc>
        <w:tc>
          <w:tcPr>
            <w:tcW w:type="dxa" w:w="44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Body text shall meet a contrast ratio of at least 4.5:1, every form input shall carry a programmatic label, and the submission flow shall be fully keyboard operable (WCAG 2.1 AA subset).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Should</w:t>
            </w:r>
          </w:p>
        </w:tc>
        <w:tc>
          <w:tcPr>
            <w:tcW w:type="dxa" w:w="469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An automated accessibility check reports zero contrast or missing-label violations on the submission and request-detail screens, and the submission flow is completed using keyboard input only.</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Automated accessibility scan + manual keyboard walkthrough, M3</w:t>
            </w:r>
          </w:p>
        </w:tc>
      </w:tr>
      <w:tr>
        <w:tc>
          <w:tcPr>
            <w:tcW w:type="dxa" w:w="88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NFR-009</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Maintainability</w:t>
            </w:r>
          </w:p>
        </w:tc>
        <w:tc>
          <w:tcPr>
            <w:tcW w:type="dxa" w:w="44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Automated unit tests shall cover at least 70% of lines in the business/service layer, and static analysis shall report zero critical findings on the main branch.</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Should</w:t>
            </w:r>
          </w:p>
        </w:tc>
        <w:tc>
          <w:tcPr>
            <w:tcW w:type="dxa" w:w="469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pipeline coverage report shows 70% or more line coverage for the business/service layer and the static-analysis stage reports zero critical findings.</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CI report, M3</w:t>
            </w:r>
          </w:p>
        </w:tc>
      </w:tr>
      <w:tr>
        <w:tc>
          <w:tcPr>
            <w:tcW w:type="dxa" w:w="88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NFR-010</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Cost</w:t>
            </w:r>
          </w:p>
        </w:tc>
        <w:tc>
          <w:tcPr>
            <w:tcW w:type="dxa" w:w="44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Recurring monetary cost shall be R0.00 for the duration of the academic project, and the projected operational cost at 100 active users and 1 000 requests per month shall be documented.</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469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platform cost review lists every service in use, its free-tier limit, current consumption against that limit, and a costed projection at the stated volume.</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Cost review, M2 and M4</w:t>
            </w:r>
          </w:p>
        </w:tc>
      </w:tr>
      <w:tr>
        <w:tc>
          <w:tcPr>
            <w:tcW w:type="dxa" w:w="88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NFR-011</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Recoverability</w:t>
            </w:r>
          </w:p>
        </w:tc>
        <w:tc>
          <w:tcPr>
            <w:tcW w:type="dxa" w:w="44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backup of the request data shall be taken at least daily, a documented restore procedure shall exist, and a restore shall be verified at least once before M4. Recovery point objective 24 hours; recovery time objective 4 hours.</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Should</w:t>
            </w:r>
          </w:p>
        </w:tc>
        <w:tc>
          <w:tcPr>
            <w:tcW w:type="dxa" w:w="469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 backup schedule is evidenced, and a restore into a clean environment is performed and timed, producing a data set matching the source at the backup point within the stated RTO.</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Documented restore rehearsal, M3/M4</w:t>
            </w:r>
          </w:p>
        </w:tc>
      </w:tr>
      <w:tr>
        <w:tc>
          <w:tcPr>
            <w:tcW w:type="dxa" w:w="88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NFR-012</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Privacy of requester information</w:t>
            </w:r>
          </w:p>
        </w:tc>
        <w:tc>
          <w:tcPr>
            <w:tcW w:type="dxa" w:w="44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Requester contact details shall be visible only to the assigned Staff user, the Manager and the Administrator roles.</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469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Negative-access tests confirm that a Requester and an unassigned Staff user cannot retrieve another requester's contact details through any interface, including direct record access.</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Automated negative-access test, M3</w:t>
            </w:r>
          </w:p>
        </w:tc>
      </w:tr>
      <w:tr>
        <w:tc>
          <w:tcPr>
            <w:tcW w:type="dxa" w:w="88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NFR-013</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Capacity</w:t>
            </w:r>
          </w:p>
        </w:tc>
        <w:tc>
          <w:tcPr>
            <w:tcW w:type="dxa" w:w="44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The system shall hold at least 500 user accounts and 5 000 request records within the selected free-tier storage limits without breaching NFR-001.</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Should</w:t>
            </w:r>
          </w:p>
        </w:tc>
        <w:tc>
          <w:tcPr>
            <w:tcW w:type="dxa" w:w="469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With 500 users and 5 000 requests seeded, storage consumption remains inside the documented free-tier limit and the NFR-001 load test still passes.</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Capacity test, M3</w:t>
            </w:r>
          </w:p>
        </w:tc>
      </w:tr>
      <w:tr>
        <w:tc>
          <w:tcPr>
            <w:tcW w:type="dxa" w:w="88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4"/>
                <w:szCs w:val="14"/>
              </w:rPr>
              <w:t xml:space="preserve">NFR-014</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Input validation</w:t>
            </w:r>
          </w:p>
        </w:tc>
        <w:tc>
          <w:tcPr>
            <w:tcW w:type="dxa" w:w="44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100% of user-supplied input shall be validated server-side; rejected input shall return a field-level message without discarding the data already entered.</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Must</w:t>
            </w:r>
          </w:p>
        </w:tc>
        <w:tc>
          <w:tcPr>
            <w:tcW w:type="dxa" w:w="469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For each input field, a boundary and an invalid-type case are submitted with client-side validation bypassed; every case is rejected server-side with a field-level message and the retained form values are redisplayed.</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4"/>
                <w:szCs w:val="14"/>
              </w:rPr>
              <w:t xml:space="preserve">Automated boundary and negative test, M3</w:t>
            </w:r>
          </w:p>
        </w:tc>
      </w:tr>
    </w:tbl>
    <w:p>
      <w:pPr>
        <w:pStyle w:val="Heading1"/>
        <w:pageBreakBefore/>
        <w:spacing w:after="160" w:before="320"/>
      </w:pPr>
      <w:r>
        <w:rPr>
          <w:rFonts w:ascii="Calibri" w:cs="Calibri" w:eastAsia="Calibri" w:hAnsi="Calibri"/>
          <w:b/>
          <w:bCs/>
          <w:color w:val="1F3864"/>
          <w:sz w:val="30"/>
          <w:szCs w:val="30"/>
        </w:rPr>
        <w:t xml:space="preserve">7. Requirements Traceability Matrix</w:t>
      </w:r>
    </w:p>
    <w:p>
      <w:pPr>
        <w:spacing w:after="140" w:before="0" w:line="264"/>
        <w:jc w:val="left"/>
      </w:pPr>
      <w:r>
        <w:rPr>
          <w:rFonts w:ascii="Calibri" w:cs="Calibri" w:eastAsia="Calibri" w:hAnsi="Calibri"/>
          <w:b w:val="false"/>
          <w:bCs w:val="false"/>
          <w:i w:val="false"/>
          <w:iCs w:val="false"/>
          <w:color w:val="000000"/>
          <w:sz w:val="19"/>
          <w:szCs w:val="19"/>
        </w:rPr>
        <w:t xml:space="preserve">All 40 baselined requirements are traced. Coverage is a control, not a statistic: a requirement absent from the matrix is one that nothing verifies, and a source producing no requirement is a need silently dropped. The four right-hand columns are deliberately empty — design references arrive in M2, issue, pull request and test identifiers in M3, release evidence in M4. Filling them now would be fabricated evidence.</w:t>
      </w:r>
    </w:p>
    <w:tbl>
      <w:tblPr>
        <w:tblW w:type="dxa" w:w="14678"/>
        <w:tblBorders>
          <w:top w:val="single" w:color="BFBFBF" w:sz="2"/>
          <w:left w:val="single" w:color="BFBFBF" w:sz="2"/>
          <w:bottom w:val="single" w:color="BFBFBF" w:sz="2"/>
          <w:right w:val="single" w:color="BFBFBF" w:sz="2"/>
          <w:insideH w:val="single" w:color="BFBFBF" w:sz="2"/>
          <w:insideV w:val="single" w:color="BFBFBF" w:sz="2"/>
        </w:tblBorders>
      </w:tblPr>
      <w:tblGrid>
        <w:gridCol w:w="734"/>
        <w:gridCol w:w="2715"/>
        <w:gridCol w:w="2202"/>
        <w:gridCol w:w="734"/>
        <w:gridCol w:w="587"/>
        <w:gridCol w:w="734"/>
        <w:gridCol w:w="2202"/>
        <w:gridCol w:w="807"/>
        <w:gridCol w:w="807"/>
        <w:gridCol w:w="734"/>
        <w:gridCol w:w="807"/>
        <w:gridCol w:w="1615"/>
      </w:tblGrid>
      <w:tr>
        <w:trPr>
          <w:tblHeader/>
        </w:trPr>
        <w:tc>
          <w:tcPr>
            <w:tcW w:type="dxa" w:w="73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Trace</w:t>
            </w:r>
          </w:p>
        </w:tc>
        <w:tc>
          <w:tcPr>
            <w:tcW w:type="dxa" w:w="271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Source</w:t>
            </w:r>
          </w:p>
        </w:tc>
        <w:tc>
          <w:tcPr>
            <w:tcW w:type="dxa" w:w="220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Need</w:t>
            </w:r>
          </w:p>
        </w:tc>
        <w:tc>
          <w:tcPr>
            <w:tcW w:type="dxa" w:w="73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Req.</w:t>
            </w:r>
          </w:p>
        </w:tc>
        <w:tc>
          <w:tcPr>
            <w:tcW w:type="dxa" w:w="58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Pri.</w:t>
            </w:r>
          </w:p>
        </w:tc>
        <w:tc>
          <w:tcPr>
            <w:tcW w:type="dxa" w:w="73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AC</w:t>
            </w:r>
          </w:p>
        </w:tc>
        <w:tc>
          <w:tcPr>
            <w:tcW w:type="dxa" w:w="220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Verification</w:t>
            </w:r>
          </w:p>
        </w:tc>
        <w:tc>
          <w:tcPr>
            <w:tcW w:type="dxa" w:w="80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Design (M2)</w:t>
            </w:r>
          </w:p>
        </w:tc>
        <w:tc>
          <w:tcPr>
            <w:tcW w:type="dxa" w:w="80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Issue/PR (M3)</w:t>
            </w:r>
          </w:p>
        </w:tc>
        <w:tc>
          <w:tcPr>
            <w:tcW w:type="dxa" w:w="73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Test (M3)</w:t>
            </w:r>
          </w:p>
        </w:tc>
        <w:tc>
          <w:tcPr>
            <w:tcW w:type="dxa" w:w="80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Release (M4)</w:t>
            </w:r>
          </w:p>
        </w:tc>
        <w:tc>
          <w:tcPr>
            <w:tcW w:type="dxa" w:w="161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Status</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TR-001</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SH-01 / Master Brief 2.0 - 'Requesters have limited visibility of whether a request was received'</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Requester must know a request was received and where it stands</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FR-005</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AC-005</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 DB inspection</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TR-002</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SH-01 / Master Brief 2.0</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Requester must know a request was received and where it stands</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FR-007</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AC-007</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TR-003</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SH-01 / Master Brief 2.0</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Requester must know a request was received and where it stands</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FR-008</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AC-008</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 negative-access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TR-004</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SH-01 / Master Brief 3.0 requester capabilities</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Requester must receive meaningful feedback on acceptance, rejection, update and completion</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FR-009</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AC-009</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 notification log</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TR-005</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SH-04 / Master Brief 2.0 - 'Reporting is manual, inconsistent and difficult to audit'</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Management must identify outstanding and overdue work reliably</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FR-019</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AC-019</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on seeded data</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TR-006</w:t>
            </w:r>
          </w:p>
        </w:tc>
        <w:tc>
          <w:tcPr>
            <w:tcW w:type="dxa" w:w="2715"/>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SH-04 / Master Brief 2.0</w:t>
            </w:r>
          </w:p>
        </w:tc>
        <w:tc>
          <w:tcPr>
            <w:tcW w:type="dxa" w:w="2202"/>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Management must identify outstanding and overdue work reliably</w:t>
            </w:r>
          </w:p>
        </w:tc>
        <w:tc>
          <w:tcPr>
            <w:tcW w:type="dxa" w:w="734"/>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FR-021</w:t>
            </w:r>
          </w:p>
        </w:tc>
        <w:tc>
          <w:tcPr>
            <w:tcW w:type="dxa" w:w="587"/>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AC-021</w:t>
            </w:r>
          </w:p>
        </w:tc>
        <w:tc>
          <w:tcPr>
            <w:tcW w:type="dxa" w:w="2202"/>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Boundary test at T-1, T, T+1</w:t>
            </w:r>
          </w:p>
        </w:tc>
        <w:tc>
          <w:tcPr>
            <w:tcW w:type="dxa" w:w="807"/>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 - threshold values provisional (RSK-05)</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TR-007</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SH-04 / Master Brief 2.0 - 'weak accountability for changes to request status'</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Every status and assignment change must be attributable</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FR-025</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AC-025</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 negative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TR-008</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SH-04, SH-09 / CN-05</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Every status and assignment change must be attributable</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NFR-006</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AC-N006</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 negative test</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TR-009</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SH-02 / Master Brief 2.0 - 'Staff have difficulty prioritising requests and identifying ownership'</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Staff must see one prioritised queue with clear ownership</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FR-011</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AC-011</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TR-010</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SH-02 / Master Brief 3.0 staff capabilities</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Staff must locate relevant requests quickly</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FR-012</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AC-012</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 performance test</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TR-011</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SH-03 / Master Brief 3.0 staff capabilities</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Ownership of a request must be unambiguous and changeable</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FR-014</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AC-014</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 audit inspection</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TR-012</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SH-04 / Master Brief 2.0 - 'no single controlled record of the lifecycle'</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Status must move only through controlled transitions</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FR-015</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AC-015</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Full state-transition matrix test</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TR-013</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SH-04 / CF-02</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Reporting must be possible by category without free-text noise</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FR-006</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AC-006</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 boundary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TR-014</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SH-04 / CF-02</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Reporting must be possible by category, status, assignee and period</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FR-020</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AC-020</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with reconciliation</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TR-015</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SH-09, CN-05 / CF-01</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Sensitive requester information must not be broadly visible</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NFR-012</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AC-N012</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Automated negative-access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TR-016</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SH-05, CN-05</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Access must be restricted by role</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FR-003</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AC-003</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Role x operation matrix test</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TR-017</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CN-05 / Master Brief 16</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Authorisation must be enforced, not assumed</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NFR-004</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AC-N004</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Automated matrix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TR-018</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CN-05 / Master Brief 9</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No credential may exist in the repository</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NFR-005</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AC-N005</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Automated secret scan on every PR</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N/A - control active from M1</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Active from M1</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Secret scan run</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 - control operating</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TR-019</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CN-03, SH-06 / Master Brief 4</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The solution must not create an unsustainable financial burden</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NFR-010</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AC-N010</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Cost review</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TR-020</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SH-02, SH-04 / CN-04</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The system must remain responsive at realistic volume</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NFR-001</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AC-N001</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Load test</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TR-021</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SH-05 / Master Brief 3.0 management capabilities</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Categories and their targets must be administrable</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FR-023</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AC-023</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 referential-integrity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TR-022</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SH-05</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Users and roles must be administrable</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FR-024</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AC-024</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 audit inspection</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TR-023</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SH-01, SH-02 / CF-04</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Requester and staff must communicate without exposing personal contact details</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FR-010</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Should</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AC-010</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 privacy review</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TR-024</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SH-02 / Master Brief 3.0 staff capabilities</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Actions and resolution must be recorded against the request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FR-016</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AC-016</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positive and negative</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TR-025</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SH-02 / Master Brief 2.0 - 'requests may be duplicated'</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Duplicate submissions should be reduced</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FR-026</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Could</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AC-026</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 - lowest priority, first candidate for RSK-12 scope freeze</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TR-026</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SH-05 / CN-05</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Accounts must exist and carry exactly one role</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FR-001</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AC-001</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 audit inspection</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TR-027</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SH-05, SH-09 / CN-05</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Only authenticated users may reach the system</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FR-002</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AC-002</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Automated negative-access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TR-028</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SH-01</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 user locked out must be able to regain access safely</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FR-004</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Should</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AC-004</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positive and negative</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TR-029</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SH-02 / Master Brief 3.0 staff capabilities</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Staff must see complete request detail including history</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FR-013</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AC-013</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TR-030</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SH-02, SH-04 / Master Brief 3.0</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Requests must be closed only by an authorised role</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FR-017</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AC-017</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 authorisation test</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TR-031</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SH-02 / Master Brief 3.0 requester capabilities</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 rejected request must carry a reason back to the requester</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FR-018</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Should</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AC-018</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test, positive and negative</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TR-032</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SH-04 / Master Brief 2.0 - 'Reporting is manual'</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Management must be able to take activity data offline</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FR-022</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Should</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AC-022</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Functional + row-count reconciliation</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TR-033</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SH-01, SH-06 / CN-03</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The service must be reliably reachable during working hours</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NFR-002</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Should</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AC-N002</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Uptime monitoring log</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 - cold start declared as a known limitation (RSK-02)</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TR-034</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SH-09 / CN-05</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Credentials must not be recoverable from storage</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NFR-003</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AC-N003</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Database inspection + code review</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TR-035</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SH-01 / Master Brief 3.0</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Submission must be achievable without training</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NFR-007</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Should</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AC-N007</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Moderated usability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TR-036</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SH-01</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The service must be usable by people with visual or motor impairment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NFR-008</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Should</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AC-N008</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Automated accessibility scan + keyboard walkthrough</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TR-037</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SH-07 / CN-04, CN-06</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The system must remain changeable by a three-person team</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NFR-009</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Should</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AC-N009</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CI coverage and static-analysis report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TR-038</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SH-04, SH-06 / Master Brief 17</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Request data must survive loss of the environment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NFR-011</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Should</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AC-N011</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Documented restore rehearsal</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TR-039</w:t>
            </w:r>
          </w:p>
        </w:tc>
        <w:tc>
          <w:tcPr>
            <w:tcW w:type="dxa" w:w="27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SH-06 / CN-03</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The system must hold realistic volume inside free-tier limits</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NFR-013</w:t>
            </w:r>
          </w:p>
        </w:tc>
        <w:tc>
          <w:tcPr>
            <w:tcW w:type="dxa" w:w="58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Should</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AC-N013</w:t>
            </w:r>
          </w:p>
        </w:tc>
        <w:tc>
          <w:tcPr>
            <w:tcW w:type="dxa" w:w="22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Capacity test</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r>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TR-040</w:t>
            </w:r>
          </w:p>
        </w:tc>
        <w:tc>
          <w:tcPr>
            <w:tcW w:type="dxa" w:w="2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CN-05 / Master Brief 16</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Input must not be trusted from the client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NFR-014</w:t>
            </w:r>
          </w:p>
        </w:tc>
        <w:tc>
          <w:tcPr>
            <w:tcW w:type="dxa" w:w="58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Must</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AC-N014</w:t>
            </w:r>
          </w:p>
        </w:tc>
        <w:tc>
          <w:tcPr>
            <w:tcW w:type="dxa" w:w="22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Automated boundary and negative test</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7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M3</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Pending M4</w:t>
            </w:r>
          </w:p>
        </w:tc>
        <w:tc>
          <w:tcPr>
            <w:tcW w:type="dxa" w:w="16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Baselined</w:t>
            </w:r>
          </w:p>
        </w:tc>
      </w:tr>
    </w:tbl>
    <w:p>
      <w:pPr>
        <w:spacing w:after="100" w:before="100" w:line="264"/>
        <w:jc w:val="left"/>
      </w:pPr>
      <w:r>
        <w:rPr>
          <w:rFonts w:ascii="Calibri" w:cs="Calibri" w:eastAsia="Calibri" w:hAnsi="Calibri"/>
          <w:b w:val="false"/>
          <w:bCs w:val="false"/>
          <w:i/>
          <w:iCs/>
          <w:color w:val="000000"/>
          <w:sz w:val="15"/>
          <w:szCs w:val="15"/>
        </w:rPr>
        <w:t xml:space="preserve">Highlighted: TR-006 (FR-021) is baselined but carries a provisional threshold under RSK-05 — marked rather than presented as complete.</w:t>
      </w:r>
    </w:p>
    <w:p>
      <w:pPr>
        <w:pStyle w:val="Heading1"/>
        <w:pageBreakBefore/>
        <w:spacing w:after="160" w:before="320"/>
      </w:pPr>
      <w:r>
        <w:rPr>
          <w:rFonts w:ascii="Calibri" w:cs="Calibri" w:eastAsia="Calibri" w:hAnsi="Calibri"/>
          <w:b/>
          <w:bCs/>
          <w:color w:val="1F3864"/>
          <w:sz w:val="30"/>
          <w:szCs w:val="30"/>
        </w:rPr>
        <w:t xml:space="preserve">8. Risk Register</w:t>
      </w:r>
    </w:p>
    <w:p>
      <w:pPr>
        <w:spacing w:after="140" w:before="0" w:line="264"/>
        <w:jc w:val="left"/>
      </w:pPr>
      <w:r>
        <w:rPr>
          <w:rFonts w:ascii="Calibri" w:cs="Calibri" w:eastAsia="Calibri" w:hAnsi="Calibri"/>
          <w:b w:val="false"/>
          <w:bCs w:val="false"/>
          <w:i w:val="false"/>
          <w:iCs w:val="false"/>
          <w:color w:val="000000"/>
          <w:sz w:val="19"/>
          <w:szCs w:val="19"/>
        </w:rPr>
        <w:t xml:space="preserve">Probability and impact rated 1–5 and multiplied [5]. Priority: Critical 20–25, High 12–19, Medium 6–11, Low 1–5. Mitigation reduces likelihood or impact beforehand; contingency is the response if it occurs anyway. Entries failing the specificity standard [1, §12] — "team communication problems", "technical difficulties" — were deleted rather than kept as padding (AI-004).</w:t>
      </w:r>
    </w:p>
    <w:tbl>
      <w:tblPr>
        <w:tblW w:type="dxa" w:w="14678"/>
        <w:tblBorders>
          <w:top w:val="single" w:color="BFBFBF" w:sz="2"/>
          <w:left w:val="single" w:color="BFBFBF" w:sz="2"/>
          <w:bottom w:val="single" w:color="BFBFBF" w:sz="2"/>
          <w:right w:val="single" w:color="BFBFBF" w:sz="2"/>
          <w:insideH w:val="single" w:color="BFBFBF" w:sz="2"/>
          <w:insideV w:val="single" w:color="BFBFBF" w:sz="2"/>
        </w:tblBorders>
      </w:tblPr>
      <w:tblGrid>
        <w:gridCol w:w="661"/>
        <w:gridCol w:w="2275"/>
        <w:gridCol w:w="1761"/>
        <w:gridCol w:w="367"/>
        <w:gridCol w:w="367"/>
        <w:gridCol w:w="440"/>
        <w:gridCol w:w="807"/>
        <w:gridCol w:w="3082"/>
        <w:gridCol w:w="2422"/>
        <w:gridCol w:w="661"/>
        <w:gridCol w:w="1835"/>
      </w:tblGrid>
      <w:tr>
        <w:trPr>
          <w:tblHeader/>
        </w:trPr>
        <w:tc>
          <w:tcPr>
            <w:tcW w:type="dxa" w:w="66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ID</w:t>
            </w:r>
          </w:p>
        </w:tc>
        <w:tc>
          <w:tcPr>
            <w:tcW w:type="dxa" w:w="227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Risk</w:t>
            </w:r>
          </w:p>
        </w:tc>
        <w:tc>
          <w:tcPr>
            <w:tcW w:type="dxa" w:w="176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Cause</w:t>
            </w:r>
          </w:p>
        </w:tc>
        <w:tc>
          <w:tcPr>
            <w:tcW w:type="dxa" w:w="36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P</w:t>
            </w:r>
          </w:p>
        </w:tc>
        <w:tc>
          <w:tcPr>
            <w:tcW w:type="dxa" w:w="36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I</w:t>
            </w:r>
          </w:p>
        </w:tc>
        <w:tc>
          <w:tcPr>
            <w:tcW w:type="dxa" w:w="440"/>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Sc</w:t>
            </w:r>
          </w:p>
        </w:tc>
        <w:tc>
          <w:tcPr>
            <w:tcW w:type="dxa" w:w="80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Priority</w:t>
            </w:r>
          </w:p>
        </w:tc>
        <w:tc>
          <w:tcPr>
            <w:tcW w:type="dxa" w:w="308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Mitigation</w:t>
            </w:r>
          </w:p>
        </w:tc>
        <w:tc>
          <w:tcPr>
            <w:tcW w:type="dxa" w:w="242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Contingency</w:t>
            </w:r>
          </w:p>
        </w:tc>
        <w:tc>
          <w:tcPr>
            <w:tcW w:type="dxa" w:w="66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Owner</w:t>
            </w:r>
          </w:p>
        </w:tc>
        <w:tc>
          <w:tcPr>
            <w:tcW w:type="dxa" w:w="183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4"/>
                <w:szCs w:val="14"/>
              </w:rPr>
              <w:t xml:space="preserve">Links</w:t>
            </w:r>
          </w:p>
        </w:tc>
      </w:tr>
      <w:tr>
        <w:tc>
          <w:tcPr>
            <w:tcW w:type="dxa" w:w="661"/>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RSK-01</w:t>
            </w:r>
          </w:p>
        </w:tc>
        <w:tc>
          <w:tcPr>
            <w:tcW w:type="dxa" w:w="2275"/>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 formal client/lecturer change request arrives after the M1 baseline is approved and is absorbed informally, destroying baseline integrity</w:t>
            </w:r>
          </w:p>
        </w:tc>
        <w:tc>
          <w:tcPr>
            <w:tcW w:type="dxa" w:w="1761"/>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Milestone 3 explicitly mandates a lecturer change request and impact analysis, so this event is planned rather than merely possible</w:t>
            </w:r>
          </w:p>
        </w:tc>
        <w:tc>
          <w:tcPr>
            <w:tcW w:type="dxa" w:w="367"/>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5</w:t>
            </w:r>
          </w:p>
        </w:tc>
        <w:tc>
          <w:tcPr>
            <w:tcW w:type="dxa" w:w="367"/>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440"/>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20</w:t>
            </w:r>
          </w:p>
        </w:tc>
        <w:tc>
          <w:tcPr>
            <w:tcW w:type="dxa" w:w="807"/>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Critical</w:t>
            </w:r>
          </w:p>
        </w:tc>
        <w:tc>
          <w:tcPr>
            <w:tcW w:type="dxa" w:w="3082"/>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Change control procedure, template and CHG- identifier scheme established now, in M1, before the change arrives. Schedule contingency reserved in the M3 plan. Impact-analysis checklist covers requirements, design, data, security, test, schedule and risk.</w:t>
            </w:r>
          </w:p>
        </w:tc>
        <w:tc>
          <w:tcPr>
            <w:tcW w:type="dxa" w:w="2422"/>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If the change cannot be absorbed, negotiate scope exchange against the deferred register (SCOPE-D-xx) rather than extend the schedule, and record the trade-off as a decision.</w:t>
            </w:r>
          </w:p>
        </w:tc>
        <w:tc>
          <w:tcPr>
            <w:tcW w:type="dxa" w:w="661"/>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Emile</w:t>
            </w:r>
          </w:p>
        </w:tc>
        <w:tc>
          <w:tcPr>
            <w:tcW w:type="dxa" w:w="1835"/>
            <w:shd w:fill="FFF2CC"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CN-01, DEC-003</w:t>
            </w:r>
          </w:p>
        </w:tc>
      </w:tr>
      <w:tr>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RSK-02</w:t>
            </w:r>
          </w:p>
        </w:tc>
        <w:tc>
          <w:tcPr>
            <w:tcW w:type="dxa" w:w="227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Free-tier hosting behaviour (idle shutdown, cold start, capacity ceilings) prevents the performance and availability NFRs from being met</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Cost constraint CN-03 permits only free-tier services, which are not engineered for continuous availability</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44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16</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NFR-001 is specified against a warm instance and cold start is declared as a limitation rather than hidden. Free-tier characteristics are an explicit input to the M2 platform decision, with a measured spike required before commitment.</w:t>
            </w:r>
          </w:p>
        </w:tc>
        <w:tc>
          <w:tcPr>
            <w:tcW w:type="dxa" w:w="24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Accept and publish degraded cold-start behaviour as a known limitation; or trade the constraint upward with the sponsor if a small paid tier becomes acceptable.</w:t>
            </w:r>
          </w:p>
        </w:tc>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Don</w:t>
            </w:r>
          </w:p>
        </w:tc>
        <w:tc>
          <w:tcPr>
            <w:tcW w:type="dxa" w:w="183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CN-03, NFR-001, NFR-002, DEC-008, FEC-01</w:t>
            </w:r>
          </w:p>
        </w:tc>
      </w:tr>
      <w:tr>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RSK-03</w:t>
            </w:r>
          </w:p>
        </w:tc>
        <w:tc>
          <w:tcPr>
            <w:tcW w:type="dxa" w:w="227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The selected technology stack proves unavailable, unsupported or incompatible on the Belgium Campus desktop platform after work has begun</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The Master Project Brief section 25 explicitly withdraws any guarantee of platform support</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5</w:t>
            </w:r>
          </w:p>
        </w:tc>
        <w:tc>
          <w:tcPr>
            <w:tcW w:type="dxa" w:w="44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15</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Technology decision deliberately deferred to M2 (DEC-008). Availability and compatibility must be verified on the actual institutional build environment, by more than one member, before the stack is committed.</w:t>
            </w:r>
          </w:p>
        </w:tc>
        <w:tc>
          <w:tcPr>
            <w:tcW w:type="dxa" w:w="24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Fall back to a stack already proven on the institutional environment and record the rework cost as a decision consequence.</w:t>
            </w:r>
          </w:p>
        </w:tc>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Don</w:t>
            </w:r>
          </w:p>
        </w:tc>
        <w:tc>
          <w:tcPr>
            <w:tcW w:type="dxa" w:w="183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CN-07, DEC-008, FEC-01</w:t>
            </w:r>
          </w:p>
        </w:tc>
      </w:tr>
      <w:tr>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RSK-04</w:t>
            </w:r>
          </w:p>
        </w:tc>
        <w:tc>
          <w:tcPr>
            <w:tcW w:type="dxa" w:w="227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The two-approval rule deadlocks the team: with three members, every substantive merge requires both other members, so a single absence halts all controlled work</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Master Project Brief section 9 requires two approvals from members other than the author, and the team has exactly three members</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44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Team Working Agreement fixes a 24-hour review turnaround, a daily review window, and small single-purpose pull requests so review is cheap. Work is partitioned so that no member is blocked on their own critical path by a single reviewer.</w:t>
            </w:r>
          </w:p>
        </w:tc>
        <w:tc>
          <w:tcPr>
            <w:tcW w:type="dxa" w:w="24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Planned absence is announced at least 24 hours ahead and outstanding pull requests are reviewed before departure. Unplanned absence beyond 48 hours is escalated to the lecturer with evidence, rather than resolved by weakening the control.</w:t>
            </w:r>
          </w:p>
        </w:tc>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Don</w:t>
            </w:r>
          </w:p>
        </w:tc>
        <w:tc>
          <w:tcPr>
            <w:tcW w:type="dxa" w:w="183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CN-08, DEC-001, DEC-010</w:t>
            </w:r>
          </w:p>
        </w:tc>
      </w:tr>
      <w:tr>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RSK-05</w:t>
            </w:r>
          </w:p>
        </w:tc>
        <w:tc>
          <w:tcPr>
            <w:tcW w:type="dxa" w:w="227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Target resolution times per category are not agreed, so FR-021 (overdue identification) has no validated threshold and its acceptance criteria cannot be finalised</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No live client stakeholder is available to authorise service-level targets</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44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FR-021 is specified against a configurable per-category target (FR-023) rather than a hard-coded value, so the requirement remains testable at boundary values even while the values themselves are provisional. Automated escalation is deferred (SCOPE-D-02).</w:t>
            </w:r>
          </w:p>
        </w:tc>
        <w:tc>
          <w:tcPr>
            <w:tcW w:type="dxa" w:w="24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Adopt provisional targets agreed with the lecturer as proxy client, record them as an assumption, and revisit at the M2 gate.</w:t>
            </w:r>
          </w:p>
        </w:tc>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Masego</w:t>
            </w:r>
          </w:p>
        </w:tc>
        <w:tc>
          <w:tcPr>
            <w:tcW w:type="dxa" w:w="183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FR-021, SCOPE-D-02, AS-02</w:t>
            </w:r>
          </w:p>
        </w:tc>
      </w:tr>
      <w:tr>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RSK-06</w:t>
            </w:r>
          </w:p>
        </w:tc>
        <w:tc>
          <w:tcPr>
            <w:tcW w:type="dxa" w:w="227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 credential, connection string or API key is committed to the repository and remains recoverable in history</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Multiple contributors, AI-assisted code generation that frequently embeds sample credentials, and configuration files added under time pressure</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5</w:t>
            </w:r>
          </w:p>
        </w:tc>
        <w:tc>
          <w:tcPr>
            <w:tcW w:type="dxa" w:w="44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15</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Secret scanning enforced on every pull request from M1. .gitignore covers environment and configuration files before any code exists. Configuration supplied through environment variables only. NFR-005 makes the control testable.</w:t>
            </w:r>
          </w:p>
        </w:tc>
        <w:tc>
          <w:tcPr>
            <w:tcW w:type="dxa" w:w="24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Immediately revoke and rotate the exposed credential, then purge history. Treat the exposure as a realised risk with a decision record, not a silent fix.</w:t>
            </w:r>
          </w:p>
        </w:tc>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Don</w:t>
            </w:r>
          </w:p>
        </w:tc>
        <w:tc>
          <w:tcPr>
            <w:tcW w:type="dxa" w:w="183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CN-05, NFR-005, FEC-04</w:t>
            </w:r>
          </w:p>
        </w:tc>
      </w:tr>
      <w:tr>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RSK-07</w:t>
            </w:r>
          </w:p>
        </w:tc>
        <w:tc>
          <w:tcPr>
            <w:tcW w:type="dxa" w:w="227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Unverified AI-generated content enters the controlled baseline and cannot be defended by the student who submitted it</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All three members use AI assistants; AI output is fluent and therefore easy to accept without verification</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44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16</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AI Usage Register is mandatory for material contributions and records the verification actually performed. Pull request template requires the author to declare AI assistance. Reviewers check the register entry, not only the code. Every member must be able to explain any artefact they merged.</w:t>
            </w:r>
          </w:p>
        </w:tc>
        <w:tc>
          <w:tcPr>
            <w:tcW w:type="dxa" w:w="24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Any artefact that its author cannot explain at review is reverted from the baseline and reworked, regardless of correctness.</w:t>
            </w:r>
          </w:p>
        </w:tc>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Emile</w:t>
            </w:r>
          </w:p>
        </w:tc>
        <w:tc>
          <w:tcPr>
            <w:tcW w:type="dxa" w:w="183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CN-08, NFR-005, DEC-004</w:t>
            </w:r>
          </w:p>
        </w:tc>
      </w:tr>
      <w:tr>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RSK-08</w:t>
            </w:r>
          </w:p>
        </w:tc>
        <w:tc>
          <w:tcPr>
            <w:tcW w:type="dxa" w:w="227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Stakeholder expectations that were deferred or excluded (SMS escalation, attachments, anonymity) resurface late as assumed scope</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Deferred items are easily remembered as promised rather than as deferred</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44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9</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Medium</w:t>
            </w:r>
          </w:p>
        </w:tc>
        <w:tc>
          <w:tcPr>
            <w:tcW w:type="dxa" w:w="308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Deferred scope is held on a visible register with the reason and the evidence still required, rather than deleted. Every deferral names the milestone at which it is revisited.</w:t>
            </w:r>
          </w:p>
        </w:tc>
        <w:tc>
          <w:tcPr>
            <w:tcW w:type="dxa" w:w="24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Route any resurfaced item through the change request process so its cost is made explicit before it is accepted.</w:t>
            </w:r>
          </w:p>
        </w:tc>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Masego</w:t>
            </w:r>
          </w:p>
        </w:tc>
        <w:tc>
          <w:tcPr>
            <w:tcW w:type="dxa" w:w="183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SCOPE-D-01..06, CF-03, CN-01</w:t>
            </w:r>
          </w:p>
        </w:tc>
      </w:tr>
      <w:tr>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RSK-09</w:t>
            </w:r>
          </w:p>
        </w:tc>
        <w:tc>
          <w:tcPr>
            <w:tcW w:type="dxa" w:w="227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Contribution becomes uneven and one or more members cannot defend the shared artefacts individually</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Workstream specialisation combined with time pressure encourages members to work only on their own section</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44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16</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Every member authors at least one pull request, reviews at least two, and owns issues in their own name. Cross-workstream review is compulsory, so each member reads the other two workstreams. A defence rehearsal is held before the milestone with questions directed across workstream boundaries.</w:t>
            </w:r>
          </w:p>
        </w:tc>
        <w:tc>
          <w:tcPr>
            <w:tcW w:type="dxa" w:w="24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Reallocate work at the mid-point checkpoint and record the reallocation in the project history.</w:t>
            </w:r>
          </w:p>
        </w:tc>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Masego</w:t>
            </w:r>
          </w:p>
        </w:tc>
        <w:tc>
          <w:tcPr>
            <w:tcW w:type="dxa" w:w="183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CN-02, DEC-010</w:t>
            </w:r>
          </w:p>
        </w:tc>
      </w:tr>
      <w:tr>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RSK-10</w:t>
            </w:r>
          </w:p>
        </w:tc>
        <w:tc>
          <w:tcPr>
            <w:tcW w:type="dxa" w:w="227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Requirements prove unstable because no real CivicConnect stakeholder exists to validate them</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Stakeholders are represented by the team acting as proxy, informed only by the scenario description</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44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9</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Medium</w:t>
            </w:r>
          </w:p>
        </w:tc>
        <w:tc>
          <w:tcPr>
            <w:tcW w:type="dxa" w:w="308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Every requirement records its source. Where a source is a team assumption rather than a stated stakeholder need, it is recorded on the assumption register and flagged for validation. Requirements are written to be testable independently of the proxy's opinion.</w:t>
            </w:r>
          </w:p>
        </w:tc>
        <w:tc>
          <w:tcPr>
            <w:tcW w:type="dxa" w:w="24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Validate the highest-value assumptions with the lecturer as proxy client at the M2 gate and process any resulting corrections as change requests.</w:t>
            </w:r>
          </w:p>
        </w:tc>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Don</w:t>
            </w:r>
          </w:p>
        </w:tc>
        <w:tc>
          <w:tcPr>
            <w:tcW w:type="dxa" w:w="183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AS-01, RSK-05, CN-01</w:t>
            </w:r>
          </w:p>
        </w:tc>
      </w:tr>
      <w:tr>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RSK-11</w:t>
            </w:r>
          </w:p>
        </w:tc>
        <w:tc>
          <w:tcPr>
            <w:tcW w:type="dxa" w:w="227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Sensitive request content (security concerns, personal circumstances) is disclosed to users who should not see it</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Requests explicitly include security concerns and lost property; role boundaries are enforced in application code that has not yet been designed</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5</w:t>
            </w:r>
          </w:p>
        </w:tc>
        <w:tc>
          <w:tcPr>
            <w:tcW w:type="dxa" w:w="44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15</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NFR-012 and NFR-004 make the boundary testable before it is built. Privacy is a baselined requirement so the M2 design cannot omit it. Anonymity is deferred rather than improvised (SCOPE-D-04).</w:t>
            </w:r>
          </w:p>
        </w:tc>
        <w:tc>
          <w:tcPr>
            <w:tcW w:type="dxa" w:w="24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Restrict the affected data element to the Administrator role, record the residual risk, and notify affected parties in line with organisational policy.</w:t>
            </w:r>
          </w:p>
        </w:tc>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Don</w:t>
            </w:r>
          </w:p>
        </w:tc>
        <w:tc>
          <w:tcPr>
            <w:tcW w:type="dxa" w:w="183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CF-01, NFR-012, NFR-004, FEC-04</w:t>
            </w:r>
          </w:p>
        </w:tc>
      </w:tr>
      <w:tr>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RSK-12</w:t>
            </w:r>
          </w:p>
        </w:tc>
        <w:tc>
          <w:tcPr>
            <w:tcW w:type="dxa" w:w="227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Late M1 baseline compresses M2, so architecture decisions are made on an unstable foundation</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Four milestones inside one delivery period leaves no float; M1 slippage propagates directly</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44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M1 scope is deliberately bounded to foundation artefacts, with technology and architecture explicitly out of scope. Three parallel workstreams with one fixed integration point rather than sequential handover.</w:t>
            </w:r>
          </w:p>
        </w:tc>
        <w:tc>
          <w:tcPr>
            <w:tcW w:type="dxa" w:w="24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If the baseline slips, freeze scope at the Must-priority requirements only and record the reduction as a decision with its consequence.</w:t>
            </w:r>
          </w:p>
        </w:tc>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Emile</w:t>
            </w:r>
          </w:p>
        </w:tc>
        <w:tc>
          <w:tcPr>
            <w:tcW w:type="dxa" w:w="183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CN-02, DEC-008</w:t>
            </w:r>
          </w:p>
        </w:tc>
      </w:tr>
      <w:tr>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RSK-13</w:t>
            </w:r>
          </w:p>
        </w:tc>
        <w:tc>
          <w:tcPr>
            <w:tcW w:type="dxa" w:w="227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Critical knowledge (deployment, pipeline, database) is held by only one member</w:t>
            </w:r>
          </w:p>
        </w:tc>
        <w:tc>
          <w:tcPr>
            <w:tcW w:type="dxa" w:w="17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Workstream specialisation under schedule pressure</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3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44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12</w:t>
            </w:r>
          </w:p>
        </w:tc>
        <w:tc>
          <w:tcPr>
            <w:tcW w:type="dxa" w:w="80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Cross-workstream review is compulsory. Every controlled procedure is written down in the repository rather than held informally. Each member must be able to trace one requirement end to end and explain one decision that is not their own.</w:t>
            </w:r>
          </w:p>
        </w:tc>
        <w:tc>
          <w:tcPr>
            <w:tcW w:type="dxa" w:w="24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Pair the sole holder with a second member for one working session and record the transfer in the project history.</w:t>
            </w:r>
          </w:p>
        </w:tc>
        <w:tc>
          <w:tcPr>
            <w:tcW w:type="dxa" w:w="66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Masego</w:t>
            </w:r>
          </w:p>
        </w:tc>
        <w:tc>
          <w:tcPr>
            <w:tcW w:type="dxa" w:w="183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CN-06, RSK-09, FEC-07</w:t>
            </w:r>
          </w:p>
        </w:tc>
      </w:tr>
      <w:tr>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3"/>
                <w:szCs w:val="13"/>
              </w:rPr>
              <w:t xml:space="preserve">RSK-14</w:t>
            </w:r>
          </w:p>
        </w:tc>
        <w:tc>
          <w:tcPr>
            <w:tcW w:type="dxa" w:w="227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Concurrent editing of a single large binary PED produces merge conflicts and lost content, and makes review meaningless</w:t>
            </w:r>
          </w:p>
        </w:tc>
        <w:tc>
          <w:tcPr>
            <w:tcW w:type="dxa" w:w="17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Three authors editing one .docx; binary files cannot be merged or reviewed line by line</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4</w:t>
            </w:r>
          </w:p>
        </w:tc>
        <w:tc>
          <w:tcPr>
            <w:tcW w:type="dxa" w:w="3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3</w:t>
            </w:r>
          </w:p>
        </w:tc>
        <w:tc>
          <w:tcPr>
            <w:tcW w:type="dxa" w:w="44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12</w:t>
            </w:r>
          </w:p>
        </w:tc>
        <w:tc>
          <w:tcPr>
            <w:tcW w:type="dxa" w:w="80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High</w:t>
            </w:r>
          </w:p>
        </w:tc>
        <w:tc>
          <w:tcPr>
            <w:tcW w:type="dxa" w:w="308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DEC-002: the PED is authored as modular Markdown in the repository, one file per section, and compiled to a single controlled document at baseline. Registers are held as CSV so that changes are reviewable as diffs.</w:t>
            </w:r>
          </w:p>
        </w:tc>
        <w:tc>
          <w:tcPr>
            <w:tcW w:type="dxa" w:w="24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If a conflict occurs, the section owner reconstructs from the last approved version in history; the compiled document is never the source of truth.</w:t>
            </w:r>
          </w:p>
        </w:tc>
        <w:tc>
          <w:tcPr>
            <w:tcW w:type="dxa" w:w="66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Emile</w:t>
            </w:r>
          </w:p>
        </w:tc>
        <w:tc>
          <w:tcPr>
            <w:tcW w:type="dxa" w:w="183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3"/>
                <w:szCs w:val="13"/>
              </w:rPr>
              <w:t xml:space="preserve">DEC-002, DEC-005, CN-08</w:t>
            </w:r>
          </w:p>
        </w:tc>
      </w:tr>
    </w:tbl>
    <w:p>
      <w:pPr>
        <w:sectPr>
          <w:headerReference w:type="default" r:id="rId9"/>
          <w:footerReference w:type="default" r:id="rId10"/>
          <w:pgSz w:w="16838" w:h="11906" w:orient="landscape"/>
          <w:pgMar w:top="1080" w:right="1080" w:bottom="1080" w:left="1080" w:header="708" w:footer="708" w:gutter="0"/>
          <w:pgNumType/>
          <w:docGrid w:linePitch="360"/>
        </w:sectPr>
      </w:pPr>
    </w:p>
    <w:p>
      <w:pPr>
        <w:pStyle w:val="Heading2"/>
        <w:spacing w:after="110" w:before="240"/>
      </w:pPr>
      <w:r>
        <w:rPr>
          <w:rFonts w:ascii="Calibri" w:cs="Calibri" w:eastAsia="Calibri" w:hAnsi="Calibri"/>
          <w:b/>
          <w:bCs/>
          <w:color w:val="2E5C8A"/>
          <w:sz w:val="24"/>
          <w:szCs w:val="24"/>
        </w:rPr>
        <w:t xml:space="preserve">8.1 The risk deserving most attention</w:t>
      </w:r>
    </w:p>
    <w:tbl>
      <w:tblPr>
        <w:tblW w:type="dxa" w:w="9026"/>
        <w:tblBorders>
          <w:top w:val="single" w:color="2E5C8A" w:sz="4"/>
          <w:left w:val="single" w:color="2E5C8A" w:sz="18"/>
          <w:bottom w:val="single" w:color="2E5C8A" w:sz="4"/>
          <w:right w:val="single" w:color="2E5C8A" w:sz="4"/>
          <w:insideH w:val="none"/>
          <w:insideV w:val="none"/>
        </w:tblBorders>
      </w:tblPr>
      <w:tblGrid>
        <w:gridCol w:w="9026"/>
      </w:tblGrid>
      <w:tr>
        <w:tc>
          <w:tcPr>
            <w:tcW w:type="dxa" w:w="9026"/>
            <w:shd w:fill="DCE6F1" w:color="auto" w:val="clear"/>
            <w:tcMar>
              <w:top w:type="dxa" w:w="120"/>
              <w:left w:type="dxa" w:w="160"/>
              <w:bottom w:type="dxa" w:w="120"/>
              <w:right w:type="dxa" w:w="160"/>
            </w:tcMar>
          </w:tcPr>
          <w:p>
            <w:pPr>
              <w:spacing w:after="60" w:before="0" w:line="264"/>
              <w:jc w:val="left"/>
            </w:pPr>
            <w:r>
              <w:rPr>
                <w:rFonts w:ascii="Calibri" w:cs="Calibri" w:eastAsia="Calibri" w:hAnsi="Calibri"/>
                <w:b/>
                <w:bCs/>
                <w:i w:val="false"/>
                <w:iCs w:val="false"/>
                <w:color w:val="1F3864"/>
                <w:sz w:val="17"/>
                <w:szCs w:val="17"/>
              </w:rPr>
              <w:t xml:space="preserve">RSK-01 — score 20, Critical — owner Emile</w:t>
            </w:r>
          </w:p>
          <w:p>
            <w:pPr>
              <w:spacing w:after="50" w:before="0" w:line="264"/>
              <w:jc w:val="left"/>
            </w:pPr>
            <w:r>
              <w:rPr>
                <w:rFonts w:ascii="Calibri" w:cs="Calibri" w:eastAsia="Calibri" w:hAnsi="Calibri"/>
                <w:b w:val="false"/>
                <w:bCs w:val="false"/>
                <w:i w:val="false"/>
                <w:iCs w:val="false"/>
                <w:color w:val="000000"/>
                <w:sz w:val="17"/>
                <w:szCs w:val="17"/>
              </w:rPr>
              <w:t xml:space="preserve">A change request arriving after baseline and being absorbed informally. Rated probability 5 because Milestone 3 explicitly mandates a lecturer change request: the event is planned, not merely possible.</w:t>
            </w:r>
          </w:p>
          <w:p>
            <w:pPr>
              <w:spacing w:after="50" w:before="0" w:line="264"/>
              <w:jc w:val="left"/>
            </w:pPr>
            <w:r>
              <w:rPr>
                <w:rFonts w:ascii="Calibri" w:cs="Calibri" w:eastAsia="Calibri" w:hAnsi="Calibri"/>
                <w:b w:val="false"/>
                <w:bCs w:val="false"/>
                <w:i w:val="false"/>
                <w:iCs w:val="false"/>
                <w:color w:val="000000"/>
                <w:sz w:val="17"/>
                <w:szCs w:val="17"/>
              </w:rPr>
              <w:t xml:space="preserve">That rating makes the mitigation real. Because the change is certain, the change control procedure, impact analysis template and CHG- identifier scheme exist now — not designed under pressure when it arrives.</w:t>
            </w:r>
          </w:p>
          <w:p>
            <w:pPr>
              <w:spacing w:after="50" w:before="0" w:line="264"/>
              <w:jc w:val="left"/>
            </w:pPr>
            <w:r>
              <w:rPr>
                <w:rFonts w:ascii="Calibri" w:cs="Calibri" w:eastAsia="Calibri" w:hAnsi="Calibri"/>
                <w:b w:val="false"/>
                <w:bCs w:val="false"/>
                <w:i w:val="false"/>
                <w:iCs w:val="false"/>
                <w:color w:val="000000"/>
                <w:sz w:val="17"/>
                <w:szCs w:val="17"/>
              </w:rPr>
              <w:t xml:space="preserve">The contingency is not "work harder". If the change cannot be absorbed, scope is exchanged against the deferred register and the trade-off recorded as a decision. Trading scope is controllable; silently compressing testing is not.</w:t>
            </w:r>
          </w:p>
          <w:p>
            <w:pPr>
              <w:spacing w:after="50" w:before="0" w:line="264"/>
              <w:jc w:val="left"/>
            </w:pPr>
            <w:r>
              <w:rPr>
                <w:rFonts w:ascii="Calibri" w:cs="Calibri" w:eastAsia="Calibri" w:hAnsi="Calibri"/>
                <w:b w:val="false"/>
                <w:bCs w:val="false"/>
                <w:i w:val="false"/>
                <w:iCs w:val="false"/>
                <w:color w:val="000000"/>
                <w:sz w:val="17"/>
                <w:szCs w:val="17"/>
              </w:rPr>
              <w:t xml:space="preserve">RSK-02 (16) affects the product more, but is already managed by deferring the decision it threatens (DEC-008). RSK-01 threatens the control system itself, and every other artefact depends on the baseline holding.</w:t>
            </w:r>
          </w:p>
        </w:tc>
      </w:tr>
    </w:tbl>
    <w:p>
      <w:pPr>
        <w:pStyle w:val="Heading1"/>
        <w:pageBreakBefore/>
        <w:spacing w:after="160" w:before="320"/>
      </w:pPr>
      <w:r>
        <w:rPr>
          <w:rFonts w:ascii="Calibri" w:cs="Calibri" w:eastAsia="Calibri" w:hAnsi="Calibri"/>
          <w:b/>
          <w:bCs/>
          <w:color w:val="1F3864"/>
          <w:sz w:val="30"/>
          <w:szCs w:val="30"/>
        </w:rPr>
        <w:t xml:space="preserve">9. Forward Engineering Considerations</w:t>
      </w:r>
    </w:p>
    <w:p>
      <w:pPr>
        <w:spacing w:after="120" w:before="0" w:line="264"/>
        <w:jc w:val="left"/>
      </w:pPr>
      <w:r>
        <w:rPr>
          <w:rFonts w:ascii="Calibri" w:cs="Calibri" w:eastAsia="Calibri" w:hAnsi="Calibri"/>
          <w:b w:val="false"/>
          <w:bCs w:val="false"/>
          <w:i w:val="false"/>
          <w:iCs w:val="false"/>
          <w:color w:val="000000"/>
          <w:sz w:val="19"/>
          <w:szCs w:val="19"/>
        </w:rPr>
        <w:t xml:space="preserve">Seven later lifecycle concerns that already influence current requirements, constraints, risks or assumptions [2, §4]. None is decided here — the register preserves later options rather than closing them.</w:t>
      </w:r>
    </w:p>
    <w:p>
      <w:pPr>
        <w:pStyle w:val="Heading3"/>
        <w:spacing w:after="110" w:before="240"/>
      </w:pPr>
      <w:r>
        <w:rPr>
          <w:rFonts w:ascii="Calibri" w:cs="Calibri" w:eastAsia="Calibri" w:hAnsi="Calibri"/>
          <w:b/>
          <w:bCs/>
          <w:color w:val="2E5C8A"/>
          <w:sz w:val="21"/>
          <w:szCs w:val="21"/>
        </w:rPr>
        <w:t xml:space="preserve">FEC-01 — Deployment environment and free-tier operating characteristics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7221"/>
      </w:tblGrid>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Why now</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The cost constraint permits only free-tier hosting, whose idle-shutdown and capacity behaviour directly determines whether NFR-001 and NFR-002 are achievable. These NFRs are being baselined now, so the constraint shapes requirements before any deployment work begins.</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Influences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 platform and architecture decision (DEC-008); M3 staging deployment; M4 operational cost review.</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Missing information</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Measured cold-start latency of candidate hosts; free-tier compute, storage and row limits; whether the platform is reachable and supported from the Belgium Campus desktop environment.</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 of ignoring</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Performance and availability targets are baselined that the eventual platform cannot meet, forcing either a requirements change after baseline or an undefended quality claim.</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Links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RSK-02, RSK-03, CN-03, CN-07</w:t>
            </w:r>
          </w:p>
        </w:tc>
      </w:tr>
    </w:tbl>
    <w:p>
      <w:pPr>
        <w:spacing w:after="110" w:before="0" w:line="264"/>
        <w:jc w:val="left"/>
      </w:pPr>
      <w:r>
        <w:rPr>
          <w:rFonts w:ascii="Calibri" w:cs="Calibri" w:eastAsia="Calibri" w:hAnsi="Calibri"/>
          <w:b w:val="false"/>
          <w:bCs w:val="false"/>
          <w:i w:val="false"/>
          <w:iCs w:val="false"/>
          <w:color w:val="000000"/>
          <w:sz w:val="19"/>
          <w:szCs w:val="19"/>
        </w:rPr>
        <w:t xml:space="preserve"/>
      </w:r>
    </w:p>
    <w:p>
      <w:pPr>
        <w:pStyle w:val="Heading3"/>
        <w:spacing w:after="110" w:before="240"/>
      </w:pPr>
      <w:r>
        <w:rPr>
          <w:rFonts w:ascii="Calibri" w:cs="Calibri" w:eastAsia="Calibri" w:hAnsi="Calibri"/>
          <w:b/>
          <w:bCs/>
          <w:color w:val="2E5C8A"/>
          <w:sz w:val="21"/>
          <w:szCs w:val="21"/>
        </w:rPr>
        <w:t xml:space="preserve">FEC-02 — Testability of the request lifecycle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7221"/>
      </w:tblGrid>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Why now</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FR-015 defines a state machine and FR-025 an immutable audit trail. Both are only cheaply testable if the transition logic is separable from the user interface. That is an M2 design constraint which must be recorded now, while the requirements are being written, rather than discovered during M3 test design.</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Influences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 component and layering decisions; M3 test strategy and coverage target in NFR-009.</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Missing information</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Which transitions are permitted from each terminal state, particularly whether Closed may be reopened and by whom; whether the audit trail is written by the application or enforced at the persistence layer.</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 of ignoring</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Transition logic embedded in controllers or pages forces slow end-to-end tests for behaviour that unit tests should cover, making NFR-009 unaffordable and regression testing unreliable.</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Links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FR-015, FR-025, NFR-006, NFR-009</w:t>
            </w:r>
          </w:p>
        </w:tc>
      </w:tr>
    </w:tbl>
    <w:p>
      <w:pPr>
        <w:spacing w:after="110" w:before="0" w:line="264"/>
        <w:jc w:val="left"/>
      </w:pPr>
      <w:r>
        <w:rPr>
          <w:rFonts w:ascii="Calibri" w:cs="Calibri" w:eastAsia="Calibri" w:hAnsi="Calibri"/>
          <w:b w:val="false"/>
          <w:bCs w:val="false"/>
          <w:i w:val="false"/>
          <w:iCs w:val="false"/>
          <w:color w:val="000000"/>
          <w:sz w:val="19"/>
          <w:szCs w:val="19"/>
        </w:rPr>
        <w:t xml:space="preserve"/>
      </w:r>
    </w:p>
    <w:p>
      <w:pPr>
        <w:pStyle w:val="Heading3"/>
        <w:spacing w:after="110" w:before="240"/>
      </w:pPr>
      <w:r>
        <w:rPr>
          <w:rFonts w:ascii="Calibri" w:cs="Calibri" w:eastAsia="Calibri" w:hAnsi="Calibri"/>
          <w:b/>
          <w:bCs/>
          <w:color w:val="2E5C8A"/>
          <w:sz w:val="21"/>
          <w:szCs w:val="21"/>
        </w:rPr>
        <w:t xml:space="preserve">FEC-03 — Automated build, integration and quality gates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7221"/>
      </w:tblGrid>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Why now</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M3 requires automated build, test, static analysis and dependency checking. The quality gate defines what evidence must exist before a merge, so the definition of done and the acceptance criteria written now must be expressible as automated checks.</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Influences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 technology choice, which determines available tooling; M3 pipeline implementation and quality-gate definition.</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Missing information</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Which build and test tooling the chosen stack supports; free-tier pipeline minute limits; whether a coverage gate can be enforced on the branch protection rule.</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 of ignoring</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Acceptance criteria are written that can only be verified manually, so quality evidence in M3 becomes screenshots and assertion rather than measurement.</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Links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NFR-009, NFR-005, CN-04, DEC-008</w:t>
            </w:r>
          </w:p>
        </w:tc>
      </w:tr>
    </w:tbl>
    <w:p>
      <w:pPr>
        <w:spacing w:after="110" w:before="0" w:line="264"/>
        <w:jc w:val="left"/>
      </w:pPr>
      <w:r>
        <w:rPr>
          <w:rFonts w:ascii="Calibri" w:cs="Calibri" w:eastAsia="Calibri" w:hAnsi="Calibri"/>
          <w:b w:val="false"/>
          <w:bCs w:val="false"/>
          <w:i w:val="false"/>
          <w:iCs w:val="false"/>
          <w:color w:val="000000"/>
          <w:sz w:val="19"/>
          <w:szCs w:val="19"/>
        </w:rPr>
        <w:t xml:space="preserve"/>
      </w:r>
    </w:p>
    <w:p>
      <w:pPr>
        <w:pStyle w:val="Heading3"/>
        <w:spacing w:after="110" w:before="240"/>
      </w:pPr>
      <w:r>
        <w:rPr>
          <w:rFonts w:ascii="Calibri" w:cs="Calibri" w:eastAsia="Calibri" w:hAnsi="Calibri"/>
          <w:b/>
          <w:bCs/>
          <w:color w:val="2E5C8A"/>
          <w:sz w:val="21"/>
          <w:szCs w:val="21"/>
        </w:rPr>
        <w:t xml:space="preserve">FEC-04 — Security architecture, secrets and dependency exposure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7221"/>
      </w:tblGrid>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Why now</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Security requirements baselined in M1 (NFR-003 to NFR-006, NFR-012, NFR-014) constrain the M2 architecture. Secret handling and dependency vulnerability exposure begin the moment the first line of code exists, which is why the secret-scanning control is being enabled before construction rather than after.</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Influences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 authentication, authorisation and trust-boundary design; M3 dependency scanning, security testing and configuration management.</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Missing information</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Where the trust boundaries actually sit once the architecture is known; which vulnerability-scanning tooling is available at zero cost; how configuration is injected per environment on the chosen platform.</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 of ignoring</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Security becomes a late hardening pass, which the Master Project Brief explicitly rejects, and a leaked credential in early history is expensive to purge and impossible to hide.</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Links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RSK-06, RSK-11, NFR-005, CN-05</w:t>
            </w:r>
          </w:p>
        </w:tc>
      </w:tr>
    </w:tbl>
    <w:p>
      <w:pPr>
        <w:spacing w:after="110" w:before="0" w:line="264"/>
        <w:jc w:val="left"/>
      </w:pPr>
      <w:r>
        <w:rPr>
          <w:rFonts w:ascii="Calibri" w:cs="Calibri" w:eastAsia="Calibri" w:hAnsi="Calibri"/>
          <w:b w:val="false"/>
          <w:bCs w:val="false"/>
          <w:i w:val="false"/>
          <w:iCs w:val="false"/>
          <w:color w:val="000000"/>
          <w:sz w:val="19"/>
          <w:szCs w:val="19"/>
        </w:rPr>
        <w:t xml:space="preserve"/>
      </w:r>
    </w:p>
    <w:p>
      <w:pPr>
        <w:pStyle w:val="Heading3"/>
        <w:spacing w:after="110" w:before="240"/>
      </w:pPr>
      <w:r>
        <w:rPr>
          <w:rFonts w:ascii="Calibri" w:cs="Calibri" w:eastAsia="Calibri" w:hAnsi="Calibri"/>
          <w:b/>
          <w:bCs/>
          <w:color w:val="2E5C8A"/>
          <w:sz w:val="21"/>
          <w:szCs w:val="21"/>
        </w:rPr>
        <w:t xml:space="preserve">FEC-05 — Data model evolution, migration and recovery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7221"/>
      </w:tblGrid>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Why now</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The audit trail (FR-025) and the deferred legacy import (SCOPE-D-05) both constrain the persistence design. NFR-011 commits the team to a verified restore. Recovery cannot be retrofitted onto a schema that has no backup path within its free tier.</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Influences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 persistence design; M3 migration approach and restore rehearsal; M4 operational readiness evidence.</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Missing information</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Free-tier backup and point-in-time-recovery capability of candidate databases; the quality and structure of the legacy spreadsheet and paper records; whether audit records are retained indefinitely or aged out under NFR-013 capacity limits.</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 of ignoring</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 schema is baselined that cannot support an append-only audit trail within free-tier row limits, or a restore that has never been rehearsed fails at the moment it is needed.</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Links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NFR-011, NFR-013, FR-025, SCOPE-D-05</w:t>
            </w:r>
          </w:p>
        </w:tc>
      </w:tr>
    </w:tbl>
    <w:p>
      <w:pPr>
        <w:spacing w:after="110" w:before="0" w:line="264"/>
        <w:jc w:val="left"/>
      </w:pPr>
      <w:r>
        <w:rPr>
          <w:rFonts w:ascii="Calibri" w:cs="Calibri" w:eastAsia="Calibri" w:hAnsi="Calibri"/>
          <w:b w:val="false"/>
          <w:bCs w:val="false"/>
          <w:i w:val="false"/>
          <w:iCs w:val="false"/>
          <w:color w:val="000000"/>
          <w:sz w:val="19"/>
          <w:szCs w:val="19"/>
        </w:rPr>
        <w:t xml:space="preserve"/>
      </w:r>
    </w:p>
    <w:p>
      <w:pPr>
        <w:pStyle w:val="Heading3"/>
        <w:spacing w:after="110" w:before="240"/>
      </w:pPr>
      <w:r>
        <w:rPr>
          <w:rFonts w:ascii="Calibri" w:cs="Calibri" w:eastAsia="Calibri" w:hAnsi="Calibri"/>
          <w:b/>
          <w:bCs/>
          <w:color w:val="2E5C8A"/>
          <w:sz w:val="21"/>
          <w:szCs w:val="21"/>
        </w:rPr>
        <w:t xml:space="preserve">FEC-06 — Observability and operational readiness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7221"/>
      </w:tblGrid>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Why now</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M4 asks how the team would know the system is degrading before users complain. Logging and health checks must be designed in M2, not added in M4, and NFR-002 cannot be evidenced at all without an uptime measurement that has to be running throughout M3.</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Influences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 logging and health-check design; M3 staging monitoring; M4 operational readiness and incident response evidence.</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Missing information</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What monitoring the chosen platform provides at zero cost; what log retention the free tier permits; what constitutes a meaningful health check for this application.</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 of ignoring</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NFR-002 has no evidence because nothing was measuring availability during the period it describes, and the M4 operational readiness claim is unsupported.</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Links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NFR-002, NFR-011, CN-03</w:t>
            </w:r>
          </w:p>
        </w:tc>
      </w:tr>
    </w:tbl>
    <w:p>
      <w:pPr>
        <w:spacing w:after="110" w:before="0" w:line="264"/>
        <w:jc w:val="left"/>
      </w:pPr>
      <w:r>
        <w:rPr>
          <w:rFonts w:ascii="Calibri" w:cs="Calibri" w:eastAsia="Calibri" w:hAnsi="Calibri"/>
          <w:b w:val="false"/>
          <w:bCs w:val="false"/>
          <w:i w:val="false"/>
          <w:iCs w:val="false"/>
          <w:color w:val="000000"/>
          <w:sz w:val="19"/>
          <w:szCs w:val="19"/>
        </w:rPr>
        <w:t xml:space="preserve"/>
      </w:r>
    </w:p>
    <w:p>
      <w:pPr>
        <w:pStyle w:val="Heading3"/>
        <w:spacing w:after="110" w:before="240"/>
      </w:pPr>
      <w:r>
        <w:rPr>
          <w:rFonts w:ascii="Calibri" w:cs="Calibri" w:eastAsia="Calibri" w:hAnsi="Calibri"/>
          <w:b/>
          <w:bCs/>
          <w:color w:val="2E5C8A"/>
          <w:sz w:val="21"/>
          <w:szCs w:val="21"/>
        </w:rPr>
        <w:t xml:space="preserve">FEC-07 — Maintainability, technical debt and knowledge transfer</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7221"/>
      </w:tblGrid>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Why now</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Only three engineers exist and each currently owns a distinct workstream. Debt incurred under M3 schedule pressure will be defended in M4, and a decision taken now to skip a control is a debt item whether or not it is recorded as one.</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Influences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 design for changeability; M3 technical-debt register and rework decisions; M4 decision-consequence reflection.</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Missing information</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Which parts of the system are most likely to change for a new stakeholder need; what the team's actual review capacity is once construction begins alongside other modules.</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 of ignoring</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Debt accumulates unrecorded, so the M4 reflection becomes hindsight narrative rather than evidence, and single-point knowledge concentration (RSK-13) is discovered only when a member is unavailable.</w:t>
            </w:r>
          </w:p>
        </w:tc>
      </w:tr>
      <w:tr>
        <w:tc>
          <w:tcPr>
            <w:tcW w:type="dxa" w:w="1805"/>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Links</w:t>
            </w:r>
          </w:p>
        </w:tc>
        <w:tc>
          <w:tcPr>
            <w:tcW w:type="dxa" w:w="722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RSK-13, RSK-09, NFR-009, CN-06</w:t>
            </w:r>
          </w:p>
        </w:tc>
      </w:tr>
    </w:tbl>
    <w:p>
      <w:pPr>
        <w:spacing w:after="110" w:before="0" w:line="264"/>
        <w:jc w:val="left"/>
      </w:pPr>
      <w:r>
        <w:rPr>
          <w:rFonts w:ascii="Calibri" w:cs="Calibri" w:eastAsia="Calibri" w:hAnsi="Calibri"/>
          <w:b w:val="false"/>
          <w:bCs w:val="false"/>
          <w:i w:val="false"/>
          <w:iCs w:val="false"/>
          <w:color w:val="000000"/>
          <w:sz w:val="19"/>
          <w:szCs w:val="19"/>
        </w:rPr>
        <w:t xml:space="preserve"/>
      </w:r>
    </w:p>
    <w:p>
      <w:pPr>
        <w:pStyle w:val="Heading1"/>
        <w:pageBreakBefore/>
        <w:spacing w:after="160" w:before="320"/>
      </w:pPr>
      <w:r>
        <w:rPr>
          <w:rFonts w:ascii="Calibri" w:cs="Calibri" w:eastAsia="Calibri" w:hAnsi="Calibri"/>
          <w:b/>
          <w:bCs/>
          <w:color w:val="1F3864"/>
          <w:sz w:val="30"/>
          <w:szCs w:val="30"/>
        </w:rPr>
        <w:t xml:space="preserve">10. Engineering Decision Log</w:t>
      </w:r>
    </w:p>
    <w:p>
      <w:pPr>
        <w:spacing w:after="120" w:before="0" w:line="264"/>
        <w:jc w:val="left"/>
      </w:pPr>
      <w:r>
        <w:rPr>
          <w:rFonts w:ascii="Calibri" w:cs="Calibri" w:eastAsia="Calibri" w:hAnsi="Calibri"/>
          <w:b w:val="false"/>
          <w:bCs w:val="false"/>
          <w:i w:val="false"/>
          <w:iCs w:val="false"/>
          <w:color w:val="000000"/>
          <w:sz w:val="19"/>
          <w:szCs w:val="19"/>
        </w:rPr>
        <w:t xml:space="preserve">Ten decisions taken, two deliberately deferred. A decision not actually made is recorded as deferred with the evidence required, rather than presented as decided.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32"/>
        <w:gridCol w:w="2347"/>
        <w:gridCol w:w="2708"/>
        <w:gridCol w:w="2437"/>
        <w:gridCol w:w="902"/>
      </w:tblGrid>
      <w:tr>
        <w:trPr>
          <w:tblHeader/>
        </w:trPr>
        <w:tc>
          <w:tcPr>
            <w:tcW w:type="dxa" w:w="63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ID</w:t>
            </w:r>
          </w:p>
        </w:tc>
        <w:tc>
          <w:tcPr>
            <w:tcW w:type="dxa" w:w="234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Decision</w:t>
            </w:r>
          </w:p>
        </w:tc>
        <w:tc>
          <w:tcPr>
            <w:tcW w:type="dxa" w:w="270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Rationale</w:t>
            </w:r>
          </w:p>
        </w:tc>
        <w:tc>
          <w:tcPr>
            <w:tcW w:type="dxa" w:w="243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Trade-off accepted</w:t>
            </w:r>
          </w:p>
        </w:tc>
        <w:tc>
          <w:tcPr>
            <w:tcW w:type="dxa" w:w="90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Risk</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DEC-001</w:t>
            </w:r>
          </w:p>
        </w:tc>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 single controlled repository, protected main, pull request required, two approvals from members other than the author, no self-approval, linear history.</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It is the mandated control, it produces the review evidence the milestone assesses, and one repository keeps documentation and future code under a single traceable history.</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With three members, two approvals means unanimous consent from the other two; this is slower and creates a deadlock exposure.</w:t>
            </w:r>
          </w:p>
        </w:tc>
        <w:tc>
          <w:tcPr>
            <w:tcW w:type="dxa" w:w="9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RSK-04</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DEC-002</w:t>
            </w:r>
          </w:p>
        </w:tc>
        <w:tc>
          <w:tcPr>
            <w:tcW w:type="dxa" w:w="234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B - the PED is authored as numbered Markdown sections in docs/PED/ and compiled to PED_v1.0.docx for submission and sign-off.</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Markdown produces line-level diffs, so a reviewer can see exactly what changed and approve a specific change. A binary .docx cannot be merged or meaningfully reviewed, and option C guarantees an integration crisis at the deadline.</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An extra compile-and-format step is needed before each baseline, and the submitted document must be regenerated rather than edited directly.</w:t>
            </w:r>
          </w:p>
        </w:tc>
        <w:tc>
          <w:tcPr>
            <w:tcW w:type="dxa" w:w="9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RSK-14</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DEC-003</w:t>
            </w:r>
          </w:p>
        </w:tc>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 FR-nnn, NFR-nnn, AC-nnn, SH-nn, CF-nn, CN-nn, RSK-nn, DEC-nnn, FEC-nn, AS-nn, CHG-nnn, TST-nnn, DEF-nnn. Identifiers are never reused and never renumbered.</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Stable flat identifiers survive reprioritisation and deletion. Hierarchical identifiers break as soon as a requirement is split or moved, which is exactly what happens between M1 and M2.</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Identifiers carry no meaning, so a reader must consult the register rather than infer relationships from the number.</w:t>
            </w:r>
          </w:p>
        </w:tc>
        <w:tc>
          <w:tcPr>
            <w:tcW w:type="dxa" w:w="9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Low</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DEC-004</w:t>
            </w:r>
          </w:p>
        </w:tc>
        <w:tc>
          <w:tcPr>
            <w:tcW w:type="dxa" w:w="234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 the AI Usage Register records material contributions with the verification actually performed, and the pull request template requires an AI declaration that the reviewer checks.</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The assessed risk is unverified content entering the baseline, which applies at least as much to requirements and risk text as to code. Prohibition would be unenforceable and would waste a permitted engineering aid.</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The register is only as good as the honesty of the entries, and maintaining it costs time on every substantive contribution.</w:t>
            </w:r>
          </w:p>
        </w:tc>
        <w:tc>
          <w:tcPr>
            <w:tcW w:type="dxa" w:w="9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RSK-07</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DEC-005</w:t>
            </w:r>
          </w:p>
        </w:tc>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 registers are held as CSV under docs/, and a compiled .xlsx is generated for presentation and submission.</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CSV changes appear as reviewable diffs, so a risk being downgraded or a requirement being edited is visible to reviewers. A workbook is opaque in review, and tables embedded only in the PED cannot be maintained between baselines.</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Two representations must be kept in step, and the workbook must be regenerated rather than edited.</w:t>
            </w:r>
          </w:p>
        </w:tc>
        <w:tc>
          <w:tcPr>
            <w:tcW w:type="dxa" w:w="9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RSK-14</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DEC-006</w:t>
            </w:r>
          </w:p>
        </w:tc>
        <w:tc>
          <w:tcPr>
            <w:tcW w:type="dxa" w:w="234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 all submissions are authenticated in v1. Identity is protected by restricted visibility (NFR-012) rather than by absence of identity. A confidential channel is deferred (SCOPE-D-04).</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Accountability and audit are the core business need in the CivicConnect scenario, and an anonymous request cannot be clarified, updated or fed back on, which breaks FR-009 and FR-010. Option C requires a second authorisation model that the M1 scope cannot support.</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The reprisal concern raised by SH-01 is not fully resolved and remains open on the deferred register.</w:t>
            </w:r>
          </w:p>
        </w:tc>
        <w:tc>
          <w:tcPr>
            <w:tcW w:type="dxa" w:w="9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RSK-11</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DEC-009</w:t>
            </w:r>
          </w:p>
        </w:tc>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 MoSCoW, with Must reserved for requirements without which the minimum business capabilities in Master Project Brief section 3 are not met.</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MoSCoW makes the contingency in RSK-12 executable: under pressure the team drops Could and Should items in a defined order rather than negotiating individually. A numeric scale invites everything to be rated 5.</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MoSCoW carries no ordering within a band, so sequencing still requires the backlog.</w:t>
            </w:r>
          </w:p>
        </w:tc>
        <w:tc>
          <w:tcPr>
            <w:tcW w:type="dxa" w:w="9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Low</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DEC-010</w:t>
            </w:r>
          </w:p>
        </w:tc>
        <w:tc>
          <w:tcPr>
            <w:tcW w:type="dxa" w:w="234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 documented in docs/governance/team-working-agreement.md and agreed by all three members.</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fixed turnaround makes review latency predictable, and small pull requests make review cheap enough to actually perform properly. Batched review would concentrate risk immediately before the milestone.</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Requires daily engagement from all three members regardless of whose workstream is active.</w:t>
            </w:r>
          </w:p>
        </w:tc>
        <w:tc>
          <w:tcPr>
            <w:tcW w:type="dxa" w:w="9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RSK-04, RSK-09</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DEC-011</w:t>
            </w:r>
          </w:p>
        </w:tc>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 the Coordinator responsibilities of SH-03 are served by the Manager role in v1.</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fifth role multiplies the authorisation test matrix in NFR-004 for a separation of duty that no stakeholder has stated as a need. Scope discipline favours the smaller controlled model.</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If assignment volume grows, Managers carry coordination workload that a dedicated role would absorb; SH-03 needs are met functionally but not organisationally.</w:t>
            </w:r>
          </w:p>
        </w:tc>
        <w:tc>
          <w:tcPr>
            <w:tcW w:type="dxa" w:w="90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Low</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DEC-012</w:t>
            </w:r>
          </w:p>
        </w:tc>
        <w:tc>
          <w:tcPr>
            <w:tcW w:type="dxa" w:w="234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 a single-level controlled list, administered under FR-023.</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 single level keeps the submission form to one selector, keeps FR-020 reporting reconcilable, and keeps the target resolution time in FR-021 attached to exactly one level. Two levels double the administration and create ambiguous parent-level reporting.</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Reporting granularity is limited to the top level, which SH-04 may find coarse once real volume exists.</w:t>
            </w:r>
          </w:p>
        </w:tc>
        <w:tc>
          <w:tcPr>
            <w:tcW w:type="dxa" w:w="90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Low</w:t>
            </w:r>
          </w:p>
        </w:tc>
      </w:tr>
    </w:tbl>
    <w:p>
      <w:pPr>
        <w:pStyle w:val="Heading2"/>
        <w:pageBreakBefore/>
        <w:spacing w:after="110" w:before="240"/>
      </w:pPr>
      <w:r>
        <w:rPr>
          <w:rFonts w:ascii="Calibri" w:cs="Calibri" w:eastAsia="Calibri" w:hAnsi="Calibri"/>
          <w:b/>
          <w:bCs/>
          <w:color w:val="2E5C8A"/>
          <w:sz w:val="24"/>
          <w:szCs w:val="24"/>
        </w:rPr>
        <w:t xml:space="preserve">10.1 Deferred decisions</w:t>
      </w:r>
    </w:p>
    <w:p>
      <w:pPr>
        <w:spacing w:after="120" w:before="0" w:line="264"/>
        <w:jc w:val="left"/>
      </w:pPr>
      <w:r>
        <w:rPr>
          <w:rFonts w:ascii="Calibri" w:cs="Calibri" w:eastAsia="Calibri" w:hAnsi="Calibri"/>
          <w:b w:val="false"/>
          <w:bCs w:val="false"/>
          <w:i w:val="false"/>
          <w:iCs w:val="false"/>
          <w:color w:val="000000"/>
          <w:sz w:val="19"/>
          <w:szCs w:val="19"/>
        </w:rPr>
        <w:t xml:space="preserve">Deferring is acceptable and often correct where the team can state the evidence still required [2, §4]. Neither of these is an omission.</w:t>
      </w:r>
    </w:p>
    <w:p>
      <w:pPr>
        <w:pStyle w:val="Heading3"/>
        <w:spacing w:after="110" w:before="240"/>
      </w:pPr>
      <w:r>
        <w:rPr>
          <w:rFonts w:ascii="Calibri" w:cs="Calibri" w:eastAsia="Calibri" w:hAnsi="Calibri"/>
          <w:b/>
          <w:bCs/>
          <w:color w:val="2E5C8A"/>
          <w:sz w:val="21"/>
          <w:szCs w:val="21"/>
        </w:rPr>
        <w:t xml:space="preserve">DEC-007 — File and photograph attachments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166"/>
        <w:gridCol w:w="6860"/>
      </w:tblGrid>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Context</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Attachments would materially improve fault reporting, but introduce storage cost, malware exposure and a retention obligation.</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Status</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DEFERRED - decision to be taken at M2 once the platform decision establishes actual free-tier storage limits.</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Why deferring is correct</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Committing now would bind the M2 platform choice to a storage requirement whose cost is unknown, which inverts the correct decision order.</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Consequence accepted</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Fault reports remain text-only in the interim, which SH-02 may find limiting.</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Evidence required</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Evidence still required: free-tier object-storage limits of candidate platforms; frequency with which a photograph is genuinely needed; malware-scanning options at zero cost; retention rules for images containing personal data.</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What it determines</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Affects persistence design, upload validation, security testing and operational cost from M2 onwards.</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RSK-02</w:t>
            </w:r>
          </w:p>
        </w:tc>
      </w:tr>
    </w:tbl>
    <w:p>
      <w:pPr>
        <w:spacing w:after="130" w:before="0" w:line="264"/>
        <w:jc w:val="left"/>
      </w:pPr>
      <w:r>
        <w:rPr>
          <w:rFonts w:ascii="Calibri" w:cs="Calibri" w:eastAsia="Calibri" w:hAnsi="Calibri"/>
          <w:b w:val="false"/>
          <w:bCs w:val="false"/>
          <w:i w:val="false"/>
          <w:iCs w:val="false"/>
          <w:color w:val="000000"/>
          <w:sz w:val="19"/>
          <w:szCs w:val="19"/>
        </w:rPr>
        <w:t xml:space="preserve"/>
      </w:r>
    </w:p>
    <w:p>
      <w:pPr>
        <w:pStyle w:val="Heading3"/>
        <w:spacing w:after="110" w:before="240"/>
      </w:pPr>
      <w:r>
        <w:rPr>
          <w:rFonts w:ascii="Calibri" w:cs="Calibri" w:eastAsia="Calibri" w:hAnsi="Calibri"/>
          <w:b/>
          <w:bCs/>
          <w:color w:val="2E5C8A"/>
          <w:sz w:val="21"/>
          <w:szCs w:val="21"/>
        </w:rPr>
        <w:t xml:space="preserve">DEC-008 — Technology stack, architecture and deployment platform</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166"/>
        <w:gridCol w:w="6860"/>
      </w:tblGrid>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Context</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These are the most consequential technical decisions in the project and are explicitly outside the M1 boundary.</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Status</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DEFERRED to M2, to be taken through a weighted decision matrix and an Architecture Decision Record supported by a measured proof of concept.</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Why deferring is correct</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The evidence required to choose well does not exist yet. Baselined requirements and NFRs are inputs to the decision, not outputs of it. Choosing a stack in M1 would be a preference exercise rather than an engineering decision, and the Master Project Brief makes technology selection an assessed decision.</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Consequence accepted</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The team cannot begin construction, which compresses M2. Accepted deliberately.</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Evidence required</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Evidence still required: verified availability and compatibility on the Belgium Campus desktop platform; free-tier limits and cold-start behaviour of candidate hosts; an honest team capability audit; a small proof of concept exercising authentication, persistence and deployment.</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What it determines</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Determines architecture, persistence, CI, deployment, operational cost and the achievability of NFR-001, NFR-002, NFR-010 and NFR-013.</w:t>
            </w:r>
          </w:p>
        </w:tc>
      </w:tr>
      <w:tr>
        <w:tc>
          <w:tcPr>
            <w:tcW w:type="dxa" w:w="2166"/>
            <w:shd w:fill="DCE6F1"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w:t>
            </w:r>
          </w:p>
        </w:tc>
        <w:tc>
          <w:tcPr>
            <w:tcW w:type="dxa" w:w="686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RSK-02, RSK-03, RSK-12</w:t>
            </w:r>
          </w:p>
        </w:tc>
      </w:tr>
    </w:tbl>
    <w:p>
      <w:pPr>
        <w:spacing w:after="130" w:before="0" w:line="264"/>
        <w:jc w:val="left"/>
      </w:pPr>
      <w:r>
        <w:rPr>
          <w:rFonts w:ascii="Calibri" w:cs="Calibri" w:eastAsia="Calibri" w:hAnsi="Calibri"/>
          <w:b w:val="false"/>
          <w:bCs w:val="false"/>
          <w:i w:val="false"/>
          <w:iCs w:val="false"/>
          <w:color w:val="000000"/>
          <w:sz w:val="19"/>
          <w:szCs w:val="19"/>
        </w:rPr>
        <w:t xml:space="preserve"/>
      </w:r>
    </w:p>
    <w:p>
      <w:pPr>
        <w:pStyle w:val="Heading1"/>
        <w:pageBreakBefore/>
        <w:spacing w:after="160" w:before="320"/>
      </w:pPr>
      <w:r>
        <w:rPr>
          <w:rFonts w:ascii="Calibri" w:cs="Calibri" w:eastAsia="Calibri" w:hAnsi="Calibri"/>
          <w:b/>
          <w:bCs/>
          <w:color w:val="1F3864"/>
          <w:sz w:val="30"/>
          <w:szCs w:val="30"/>
        </w:rPr>
        <w:t xml:space="preserve">11. Process and Team Governance</w:t>
      </w:r>
    </w:p>
    <w:p>
      <w:pPr>
        <w:spacing w:after="120" w:before="0" w:line="264"/>
        <w:jc w:val="left"/>
      </w:pPr>
      <w:r>
        <w:rPr>
          <w:rFonts w:ascii="Calibri" w:cs="Calibri" w:eastAsia="Calibri" w:hAnsi="Calibri"/>
          <w:b w:val="false"/>
          <w:bCs w:val="false"/>
          <w:i w:val="false"/>
          <w:iCs w:val="false"/>
          <w:color w:val="000000"/>
          <w:sz w:val="19"/>
          <w:szCs w:val="19"/>
        </w:rPr>
        <w:t xml:space="preserve">Short milestone-aligned increments with a controlled baseline at each gate. With three part-time engineers, the process elements that earn their cost are a shared issue backlog, small reviewable changes, a fixed review cadence and a formal gate.</w:t>
      </w:r>
    </w:p>
    <w:p>
      <w:pPr>
        <w:pStyle w:val="Heading2"/>
        <w:spacing w:after="110" w:before="240"/>
      </w:pPr>
      <w:r>
        <w:rPr>
          <w:rFonts w:ascii="Calibri" w:cs="Calibri" w:eastAsia="Calibri" w:hAnsi="Calibri"/>
          <w:b/>
          <w:bCs/>
          <w:color w:val="2E5C8A"/>
          <w:sz w:val="24"/>
          <w:szCs w:val="24"/>
        </w:rPr>
        <w:t xml:space="preserve">11.1 Team working agreement (DEC-010)</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534"/>
        <w:gridCol w:w="7492"/>
      </w:tblGrid>
      <w:tr>
        <w:trPr>
          <w:tblHeader/>
        </w:trPr>
        <w:tc>
          <w:tcPr>
            <w:tcW w:type="dxa" w:w="153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Area</w:t>
            </w:r>
          </w:p>
        </w:tc>
        <w:tc>
          <w:tcPr>
            <w:tcW w:type="dxa" w:w="749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Agreement</w:t>
            </w:r>
          </w:p>
        </w:tc>
      </w:tr>
      <w:tr>
        <w:tc>
          <w:tcPr>
            <w:tcW w:type="dxa" w:w="15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Ownership</w:t>
            </w:r>
          </w:p>
        </w:tc>
        <w:tc>
          <w:tcPr>
            <w:tcW w:type="dxa" w:w="749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Masego: problem, stakeholders, scope, constraints, decisions. Don: requirements, acceptance criteria, RTM, forward engineering, repository setup and governance. Emile: risk, AI control, working agreement, document control, PED assembly and baseline. Ownership is drafting responsibility, not exclusive knowledge.</w:t>
            </w:r>
          </w:p>
        </w:tc>
      </w:tr>
      <w:tr>
        <w:tc>
          <w:tcPr>
            <w:tcW w:type="dxa" w:w="15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Review turnaround</w:t>
            </w:r>
          </w:p>
        </w:tc>
        <w:tc>
          <w:tcPr>
            <w:tcW w:type="dxa" w:w="749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24 hours, with a fixed daily review window so review is never the thing that waits.</w:t>
            </w:r>
          </w:p>
        </w:tc>
      </w:tr>
      <w:tr>
        <w:tc>
          <w:tcPr>
            <w:tcW w:type="dxa" w:w="15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Change size</w:t>
            </w:r>
          </w:p>
        </w:tc>
        <w:tc>
          <w:tcPr>
            <w:tcW w:type="dxa" w:w="749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Small and single-purpose. A change that cannot be reviewed properly in fifteen minutes is split.</w:t>
            </w:r>
          </w:p>
        </w:tc>
      </w:tr>
      <w:tr>
        <w:tc>
          <w:tcPr>
            <w:tcW w:type="dxa" w:w="15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Approval</w:t>
            </w:r>
          </w:p>
        </w:tc>
        <w:tc>
          <w:tcPr>
            <w:tcW w:type="dxa" w:w="749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Two approvals from members other than the author. No self-approval, no administrator bypass.</w:t>
            </w:r>
          </w:p>
        </w:tc>
      </w:tr>
      <w:tr>
        <w:tc>
          <w:tcPr>
            <w:tcW w:type="dxa" w:w="15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Absence</w:t>
            </w:r>
          </w:p>
        </w:tc>
        <w:tc>
          <w:tcPr>
            <w:tcW w:type="dxa" w:w="749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Planned absence announced 24 hours ahead with reviews cleared first. Unplanned absence beyond 48 hours is escalated to the lecturer rather than resolved by weakening the control (RSK-04).</w:t>
            </w:r>
          </w:p>
        </w:tc>
      </w:tr>
      <w:tr>
        <w:tc>
          <w:tcPr>
            <w:tcW w:type="dxa" w:w="15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Cross-review</w:t>
            </w:r>
          </w:p>
        </w:tc>
        <w:tc>
          <w:tcPr>
            <w:tcW w:type="dxa" w:w="749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Each member reviews both other workstreams — no member reviews only their own area, which would guarantee RSK-13.</w:t>
            </w:r>
          </w:p>
        </w:tc>
      </w:tr>
      <w:tr>
        <w:tc>
          <w:tcPr>
            <w:tcW w:type="dxa" w:w="15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Individual evidence</w:t>
            </w:r>
          </w:p>
        </w:tc>
        <w:tc>
          <w:tcPr>
            <w:tcW w:type="dxa" w:w="749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Each member authors ≥1 pull request, meaningfully reviews ≥2, owns issues, can trace one requirement end to end, and can explain one decision and one AI verification that are not their own.</w:t>
            </w:r>
          </w:p>
        </w:tc>
      </w:tr>
      <w:tr>
        <w:tc>
          <w:tcPr>
            <w:tcW w:type="dxa" w:w="15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Disagreement</w:t>
            </w:r>
          </w:p>
        </w:tc>
        <w:tc>
          <w:tcPr>
            <w:tcW w:type="dxa" w:w="749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Resolved by evidence. Where evidence is unavailable the decision is deferred with the evidence required stated — the standard applied to DEC-007 and DEC-008.</w:t>
            </w:r>
          </w:p>
        </w:tc>
      </w:tr>
      <w:tr>
        <w:tc>
          <w:tcPr>
            <w:tcW w:type="dxa" w:w="1534"/>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Done</w:t>
            </w:r>
          </w:p>
        </w:tc>
        <w:tc>
          <w:tcPr>
            <w:tcW w:type="dxa" w:w="749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Reviewed and approved by two members, identifiers consistent, RTM and affected registers updated, project history entry written.</w:t>
            </w:r>
          </w:p>
        </w:tc>
      </w:tr>
    </w:tbl>
    <w:p>
      <w:pPr>
        <w:pStyle w:val="Heading2"/>
        <w:spacing w:after="110" w:before="240"/>
      </w:pPr>
      <w:r>
        <w:rPr>
          <w:rFonts w:ascii="Calibri" w:cs="Calibri" w:eastAsia="Calibri" w:hAnsi="Calibri"/>
          <w:b/>
          <w:bCs/>
          <w:color w:val="2E5C8A"/>
          <w:sz w:val="24"/>
          <w:szCs w:val="24"/>
        </w:rPr>
        <w:t xml:space="preserve">11.2 Change control from this baseline</w:t>
      </w:r>
    </w:p>
    <w:p>
      <w:pPr>
        <w:spacing w:after="100" w:before="0" w:line="264"/>
        <w:jc w:val="left"/>
      </w:pPr>
      <w:r>
        <w:rPr>
          <w:rFonts w:ascii="Calibri" w:cs="Calibri" w:eastAsia="Calibri" w:hAnsi="Calibri"/>
          <w:b w:val="false"/>
          <w:bCs w:val="false"/>
          <w:i w:val="false"/>
          <w:iCs w:val="false"/>
          <w:color w:val="000000"/>
          <w:sz w:val="19"/>
          <w:szCs w:val="19"/>
        </w:rPr>
        <w:t xml:space="preserve">The procedure and template exist now, before the first change request arrives — the mitigation for RSK-01 [1, §14].</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173"/>
        <w:gridCol w:w="5686"/>
        <w:gridCol w:w="2167"/>
      </w:tblGrid>
      <w:tr>
        <w:trPr>
          <w:tblHeader/>
        </w:trPr>
        <w:tc>
          <w:tcPr>
            <w:tcW w:type="dxa" w:w="117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Step</w:t>
            </w:r>
          </w:p>
        </w:tc>
        <w:tc>
          <w:tcPr>
            <w:tcW w:type="dxa" w:w="5686"/>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Action</w:t>
            </w:r>
          </w:p>
        </w:tc>
        <w:tc>
          <w:tcPr>
            <w:tcW w:type="dxa" w:w="216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Evidence</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1 Raise</w:t>
            </w:r>
          </w:p>
        </w:tc>
        <w:tc>
          <w:tcPr>
            <w:tcW w:type="dxa" w:w="568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Logged with a CHG- identifier, requester, date, expected value</w:t>
            </w:r>
          </w:p>
        </w:tc>
        <w:tc>
          <w:tcPr>
            <w:tcW w:type="dxa" w:w="21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Change request record</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2 Impact</w:t>
            </w:r>
          </w:p>
        </w:tc>
        <w:tc>
          <w:tcPr>
            <w:tcW w:type="dxa" w:w="568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Requirements and acceptance criteria, architecture, UI, data and migration, API contracts, security and privacy, scope, schedule, cost, testing and regression, deployment and operations, risk and debt</w:t>
            </w:r>
          </w:p>
        </w:tc>
        <w:tc>
          <w:tcPr>
            <w:tcW w:type="dxa" w:w="21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Impact analysis</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3 Decide</w:t>
            </w:r>
          </w:p>
        </w:tc>
        <w:tc>
          <w:tcPr>
            <w:tcW w:type="dxa" w:w="568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Accept, modify, defer or reject, with rationale</w:t>
            </w:r>
          </w:p>
        </w:tc>
        <w:tc>
          <w:tcPr>
            <w:tcW w:type="dxa" w:w="21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Decision log entry</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4 Authorise</w:t>
            </w:r>
          </w:p>
        </w:tc>
        <w:tc>
          <w:tcPr>
            <w:tcW w:type="dxa" w:w="568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Two approvals from non-authors</w:t>
            </w:r>
          </w:p>
        </w:tc>
        <w:tc>
          <w:tcPr>
            <w:tcW w:type="dxa" w:w="21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Pull request approvals</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5 Implement</w:t>
            </w:r>
          </w:p>
        </w:tc>
        <w:tc>
          <w:tcPr>
            <w:tcW w:type="dxa" w:w="568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On a branch referencing the CHG- identifier</w:t>
            </w:r>
          </w:p>
        </w:tc>
        <w:tc>
          <w:tcPr>
            <w:tcW w:type="dxa" w:w="21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Commits, pull request</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6 Verify</w:t>
            </w:r>
          </w:p>
        </w:tc>
        <w:tc>
          <w:tcPr>
            <w:tcW w:type="dxa" w:w="568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Acceptance criteria re-verified; regression considered</w:t>
            </w:r>
          </w:p>
        </w:tc>
        <w:tc>
          <w:tcPr>
            <w:tcW w:type="dxa" w:w="216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Test evidence</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7 Baseline</w:t>
            </w:r>
          </w:p>
        </w:tc>
        <w:tc>
          <w:tcPr>
            <w:tcW w:type="dxa" w:w="568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PED version incremented; RTM and registers updated</w:t>
            </w:r>
          </w:p>
        </w:tc>
        <w:tc>
          <w:tcPr>
            <w:tcW w:type="dxa" w:w="216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New version, RTM diff</w:t>
            </w:r>
          </w:p>
        </w:tc>
      </w:tr>
    </w:tbl>
    <w:p>
      <w:pPr>
        <w:pStyle w:val="Heading1"/>
        <w:pageBreakBefore/>
        <w:spacing w:after="160" w:before="320"/>
      </w:pPr>
      <w:r>
        <w:rPr>
          <w:rFonts w:ascii="Calibri" w:cs="Calibri" w:eastAsia="Calibri" w:hAnsi="Calibri"/>
          <w:b/>
          <w:bCs/>
          <w:color w:val="1F3864"/>
          <w:sz w:val="30"/>
          <w:szCs w:val="30"/>
        </w:rPr>
        <w:t xml:space="preserve">12. Repository and Configuration Management</w:t>
      </w:r>
    </w:p>
    <w:p>
      <w:pPr>
        <w:spacing w:after="120" w:before="0" w:line="264"/>
        <w:jc w:val="left"/>
      </w:pPr>
      <w:r>
        <w:rPr>
          <w:rFonts w:ascii="Calibri" w:cs="Calibri" w:eastAsia="Calibri" w:hAnsi="Calibri"/>
          <w:b w:val="false"/>
          <w:bCs w:val="false"/>
          <w:i w:val="false"/>
          <w:iCs w:val="false"/>
          <w:color w:val="000000"/>
          <w:sz w:val="19"/>
          <w:szCs w:val="19"/>
        </w:rPr>
        <w:t xml:space="preserve">GitHub is an engineering control environment, not file storage. These controls have operated since the start of M1; the evidence is repository history rather than this description of it.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4694"/>
        <w:gridCol w:w="2527"/>
      </w:tblGrid>
      <w:tr>
        <w:trPr>
          <w:tblHeader/>
        </w:trPr>
        <w:tc>
          <w:tcPr>
            <w:tcW w:type="dxa" w:w="180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Control</w:t>
            </w:r>
          </w:p>
        </w:tc>
        <w:tc>
          <w:tcPr>
            <w:tcW w:type="dxa" w:w="469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Configuration</w:t>
            </w:r>
          </w:p>
        </w:tc>
        <w:tc>
          <w:tcPr>
            <w:tcW w:type="dxa" w:w="252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Evidence</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Repository</w:t>
            </w:r>
          </w:p>
        </w:tc>
        <w:tc>
          <w:tcPr>
            <w:tcW w:type="dxa" w:w="469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One controlled team repository for documentation, registers and (from M3) source</w:t>
            </w:r>
          </w:p>
        </w:tc>
        <w:tc>
          <w:tcPr>
            <w:tcW w:type="dxa" w:w="25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Repository settings</w:t>
            </w:r>
          </w:p>
        </w:tc>
      </w:tr>
      <w:tr>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Protected main</w:t>
            </w:r>
          </w:p>
        </w:tc>
        <w:tc>
          <w:tcPr>
            <w:tcW w:type="dxa" w:w="469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Direct pushes blocked; main is the controlled product state</w:t>
            </w:r>
          </w:p>
        </w:tc>
        <w:tc>
          <w:tcPr>
            <w:tcW w:type="dxa" w:w="25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Branch rule; a refused direct push</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Pull requests</w:t>
            </w:r>
          </w:p>
        </w:tc>
        <w:tc>
          <w:tcPr>
            <w:tcW w:type="dxa" w:w="469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Required for every substantive change, including documentation</w:t>
            </w:r>
          </w:p>
        </w:tc>
        <w:tc>
          <w:tcPr>
            <w:tcW w:type="dxa" w:w="25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Merged pull request history</w:t>
            </w:r>
          </w:p>
        </w:tc>
      </w:tr>
      <w:tr>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Approvals</w:t>
            </w:r>
          </w:p>
        </w:tc>
        <w:tc>
          <w:tcPr>
            <w:tcW w:type="dxa" w:w="469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Two, from members other than the author; self-approval refused</w:t>
            </w:r>
          </w:p>
        </w:tc>
        <w:tc>
          <w:tcPr>
            <w:tcW w:type="dxa" w:w="25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Approval records</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Stale approvals</w:t>
            </w:r>
          </w:p>
        </w:tc>
        <w:tc>
          <w:tcPr>
            <w:tcW w:type="dxa" w:w="469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Dismissed on new commits, so approval refers to what merges</w:t>
            </w:r>
          </w:p>
        </w:tc>
        <w:tc>
          <w:tcPr>
            <w:tcW w:type="dxa" w:w="25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Branch rule</w:t>
            </w:r>
          </w:p>
        </w:tc>
      </w:tr>
      <w:tr>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Conversation resolution</w:t>
            </w:r>
          </w:p>
        </w:tc>
        <w:tc>
          <w:tcPr>
            <w:tcW w:type="dxa" w:w="469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Required before merge</w:t>
            </w:r>
          </w:p>
        </w:tc>
        <w:tc>
          <w:tcPr>
            <w:tcW w:type="dxa" w:w="25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Resolved threads</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Administrator bypass</w:t>
            </w:r>
          </w:p>
        </w:tc>
        <w:tc>
          <w:tcPr>
            <w:tcW w:type="dxa" w:w="469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Disabled — applies to every member including the owner</w:t>
            </w:r>
          </w:p>
        </w:tc>
        <w:tc>
          <w:tcPr>
            <w:tcW w:type="dxa" w:w="25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Branch rule</w:t>
            </w:r>
          </w:p>
        </w:tc>
      </w:tr>
      <w:tr>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Force push / deletion</w:t>
            </w:r>
          </w:p>
        </w:tc>
        <w:tc>
          <w:tcPr>
            <w:tcW w:type="dxa" w:w="469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Blocked, so history cannot be rewritten</w:t>
            </w:r>
          </w:p>
        </w:tc>
        <w:tc>
          <w:tcPr>
            <w:tcW w:type="dxa" w:w="25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Branch rule</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Secrets</w:t>
            </w:r>
          </w:p>
        </w:tc>
        <w:tc>
          <w:tcPr>
            <w:tcW w:type="dxa" w:w="469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Secret scanning and push protection on; .gitignore covers environment files before any code exists (NFR-005)</w:t>
            </w:r>
          </w:p>
        </w:tc>
        <w:tc>
          <w:tcPr>
            <w:tcW w:type="dxa" w:w="25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Scan results, .gitignore</w:t>
            </w:r>
          </w:p>
        </w:tc>
      </w:tr>
      <w:tr>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Issues</w:t>
            </w:r>
          </w:p>
        </w:tc>
        <w:tc>
          <w:tcPr>
            <w:tcW w:type="dxa" w:w="469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Substantive work is an issue with an owner, linked to the closing pull request</w:t>
            </w:r>
          </w:p>
        </w:tc>
        <w:tc>
          <w:tcPr>
            <w:tcW w:type="dxa" w:w="252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Issue history</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Conventions</w:t>
            </w:r>
          </w:p>
        </w:tc>
        <w:tc>
          <w:tcPr>
            <w:tcW w:type="dxa" w:w="469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Branches docs/, feat/FR-nnn-, fix/, chore/. Commits type(scope): summary (refs #issue)</w:t>
            </w:r>
          </w:p>
        </w:tc>
        <w:tc>
          <w:tcPr>
            <w:tcW w:type="dxa" w:w="252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Commit history</w:t>
            </w:r>
          </w:p>
        </w:tc>
      </w:tr>
    </w:tbl>
    <w:p>
      <w:pPr>
        <w:spacing w:after="100" w:before="100" w:line="264"/>
        <w:jc w:val="left"/>
      </w:pPr>
      <w:r>
        <w:rPr>
          <w:rFonts w:ascii="Calibri" w:cs="Calibri" w:eastAsia="Calibri" w:hAnsi="Calibri"/>
          <w:b w:val="false"/>
          <w:bCs w:val="false"/>
          <w:i w:val="false"/>
          <w:iCs w:val="false"/>
          <w:color w:val="000000"/>
          <w:sz w:val="19"/>
          <w:szCs w:val="19"/>
        </w:rPr>
        <w:t xml:space="preserve">Two approvals matter because a substantive change alters the controlled state every later artefact depends on, and the author is least able to see what they missed — which matters most for AI-generated content, since it is fluent and therefore easy to accept unchecked. The cost is recorded honestly as RSK-04 rather than avoided.</w:t>
      </w:r>
    </w:p>
    <w:p>
      <w:pPr>
        <w:pStyle w:val="Heading1"/>
        <w:pageBreakBefore/>
        <w:spacing w:after="160" w:before="320"/>
      </w:pPr>
      <w:r>
        <w:rPr>
          <w:rFonts w:ascii="Calibri" w:cs="Calibri" w:eastAsia="Calibri" w:hAnsi="Calibri"/>
          <w:b/>
          <w:bCs/>
          <w:color w:val="1F3864"/>
          <w:sz w:val="30"/>
          <w:szCs w:val="30"/>
        </w:rPr>
        <w:t xml:space="preserve">13. Responsible AI Use</w:t>
      </w:r>
    </w:p>
    <w:p>
      <w:pPr>
        <w:spacing w:after="120" w:before="0" w:line="264"/>
        <w:jc w:val="left"/>
      </w:pPr>
      <w:r>
        <w:rPr>
          <w:rFonts w:ascii="Calibri" w:cs="Calibri" w:eastAsia="Calibri" w:hAnsi="Calibri"/>
          <w:b w:val="false"/>
          <w:bCs w:val="false"/>
          <w:i w:val="false"/>
          <w:iCs w:val="false"/>
          <w:color w:val="000000"/>
          <w:sz w:val="19"/>
          <w:szCs w:val="19"/>
        </w:rPr>
        <w:t xml:space="preserve">All three members use AI assistants. AI output is not authoritative and does not transfer accountability [1, §10]. The control (DEC-004): material contributions are registered with the verification performed; the pull request template requires an AI declaration the reviewer checks; any member may be asked to explain any AI-assisted artefact, including one they did not author.</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32"/>
        <w:gridCol w:w="903"/>
        <w:gridCol w:w="1986"/>
        <w:gridCol w:w="3971"/>
        <w:gridCol w:w="1534"/>
      </w:tblGrid>
      <w:tr>
        <w:trPr>
          <w:tblHeader/>
        </w:trPr>
        <w:tc>
          <w:tcPr>
            <w:tcW w:type="dxa" w:w="63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ID</w:t>
            </w:r>
          </w:p>
        </w:tc>
        <w:tc>
          <w:tcPr>
            <w:tcW w:type="dxa" w:w="90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Member</w:t>
            </w:r>
          </w:p>
        </w:tc>
        <w:tc>
          <w:tcPr>
            <w:tcW w:type="dxa" w:w="1986"/>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Task</w:t>
            </w:r>
          </w:p>
        </w:tc>
        <w:tc>
          <w:tcPr>
            <w:tcW w:type="dxa" w:w="397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Verification applied</w:t>
            </w:r>
          </w:p>
        </w:tc>
        <w:tc>
          <w:tcPr>
            <w:tcW w:type="dxa" w:w="1534"/>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Outcome</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AI-001</w:t>
            </w:r>
          </w:p>
        </w:tc>
        <w:tc>
          <w:tcPr>
            <w:tcW w:type="dxa" w:w="9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Masego</w:t>
            </w:r>
          </w:p>
        </w:tc>
        <w:tc>
          <w:tcPr>
            <w:tcW w:type="dxa" w:w="198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Structuring the M1 artefact set against the Milestone 1 brief and Master Project Brief</w:t>
            </w:r>
          </w:p>
        </w:tc>
        <w:tc>
          <w:tcPr>
            <w:tcW w:type="dxa" w:w="397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Cross-checked every proposed artefact against Milestone 1 section 3 required outputs and the grading criteria. Two suggested artefacts with no assessed purpose were removed; the FEC register was restructured to carry the four fields the brief explicitly requires.</w:t>
            </w:r>
          </w:p>
        </w:tc>
        <w:tc>
          <w:tcPr>
            <w:tcW w:type="dxa" w:w="15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Accepted with modification</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AI-002</w:t>
            </w:r>
          </w:p>
        </w:tc>
        <w:tc>
          <w:tcPr>
            <w:tcW w:type="dxa" w:w="9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Don</w:t>
            </w:r>
          </w:p>
        </w:tc>
        <w:tc>
          <w:tcPr>
            <w:tcW w:type="dxa" w:w="198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Drafting candidate functional and non-functional requirements from the CivicConnect scenario</w:t>
            </w:r>
          </w:p>
        </w:tc>
        <w:tc>
          <w:tcPr>
            <w:tcW w:type="dxa" w:w="397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Every requirement was traced back to a Master Project Brief section 3 capability or a section 2 stated problem. Requirements without a traceable source were deleted. Nine NFRs were rewritten because the generated versions used unmeasurable language such as 'fast', 'user-friendly' and 'secure'.</w:t>
            </w:r>
          </w:p>
        </w:tc>
        <w:tc>
          <w:tcPr>
            <w:tcW w:type="dxa" w:w="15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Accepted with substantial modification</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AI-003</w:t>
            </w:r>
          </w:p>
        </w:tc>
        <w:tc>
          <w:tcPr>
            <w:tcW w:type="dxa" w:w="9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Don</w:t>
            </w:r>
          </w:p>
        </w:tc>
        <w:tc>
          <w:tcPr>
            <w:tcW w:type="dxa" w:w="198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Independent critique of the draft requirement set for testability</w:t>
            </w:r>
          </w:p>
        </w:tc>
        <w:tc>
          <w:tcPr>
            <w:tcW w:type="dxa" w:w="397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The flags were assessed by hand against the verification method column. Four acceptance criteria were rewritten to state a measurable outcome and a verification route; one flag was rejected because the criterion was already testable at boundary values.</w:t>
            </w:r>
          </w:p>
        </w:tc>
        <w:tc>
          <w:tcPr>
            <w:tcW w:type="dxa" w:w="15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Partially accepted</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AI-004</w:t>
            </w:r>
          </w:p>
        </w:tc>
        <w:tc>
          <w:tcPr>
            <w:tcW w:type="dxa" w:w="9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Emile</w:t>
            </w:r>
          </w:p>
        </w:tc>
        <w:tc>
          <w:tcPr>
            <w:tcW w:type="dxa" w:w="198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Drafting the risk register and forward engineering considerations</w:t>
            </w:r>
          </w:p>
        </w:tc>
        <w:tc>
          <w:tcPr>
            <w:tcW w:type="dxa" w:w="397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Generic entries such as 'team communication problems' and 'technical difficulties' were deleted for failing the specificity standard in Master Project Brief section 12. Each retained risk was rewritten with a named cause and a contingency distinct from its mitigation. Probability and impact were re-rated by the team rather than accepted as generated.</w:t>
            </w:r>
          </w:p>
        </w:tc>
        <w:tc>
          <w:tcPr>
            <w:tcW w:type="dxa" w:w="15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Accepted with substantial modification</w:t>
            </w:r>
          </w:p>
        </w:tc>
      </w:tr>
      <w:tr>
        <w:tc>
          <w:tcPr>
            <w:tcW w:type="dxa" w:w="632"/>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AI-005</w:t>
            </w:r>
          </w:p>
        </w:tc>
        <w:tc>
          <w:tcPr>
            <w:tcW w:type="dxa" w:w="903"/>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Don</w:t>
            </w:r>
          </w:p>
        </w:tc>
        <w:tc>
          <w:tcPr>
            <w:tcW w:type="dxa" w:w="1986"/>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Drafting the GitHub governance procedure and pull request template</w:t>
            </w:r>
          </w:p>
        </w:tc>
        <w:tc>
          <w:tcPr>
            <w:tcW w:type="dxa" w:w="397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Each setting was applied in the live repository and verified by attempting a direct push to main and a self-approved merge; both were correctly refused. Screenshots retained alongside the settings evidence.</w:t>
            </w:r>
          </w:p>
        </w:tc>
        <w:tc>
          <w:tcPr>
            <w:tcW w:type="dxa" w:w="1534"/>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Accepted and verified in the live repository</w:t>
            </w:r>
          </w:p>
        </w:tc>
      </w:tr>
      <w:tr>
        <w:tc>
          <w:tcPr>
            <w:tcW w:type="dxa" w:w="63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5"/>
                <w:szCs w:val="15"/>
              </w:rPr>
              <w:t xml:space="preserve">AI-006</w:t>
            </w:r>
          </w:p>
        </w:tc>
        <w:tc>
          <w:tcPr>
            <w:tcW w:type="dxa" w:w="90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Masego</w:t>
            </w:r>
          </w:p>
        </w:tc>
        <w:tc>
          <w:tcPr>
            <w:tcW w:type="dxa" w:w="1986"/>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Analysis of stakeholder conflicts and scope exclusion rationale</w:t>
            </w:r>
          </w:p>
        </w:tc>
        <w:tc>
          <w:tcPr>
            <w:tcW w:type="dxa" w:w="397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Each proposed conflict was tested against the scenario text for evidence that both positions are genuinely held. One proposed conflict was discarded as invented. The resolutions were rewritten to name the artefact that implements them so the resolution is traceable rather than rhetorical.</w:t>
            </w:r>
          </w:p>
        </w:tc>
        <w:tc>
          <w:tcPr>
            <w:tcW w:type="dxa" w:w="1534"/>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5"/>
                <w:szCs w:val="15"/>
              </w:rPr>
              <w:t xml:space="preserve">Accepted with modification</w:t>
            </w:r>
          </w:p>
        </w:tc>
      </w:tr>
    </w:tbl>
    <w:tbl>
      <w:tblPr>
        <w:tblW w:type="dxa" w:w="9026"/>
        <w:tblBorders>
          <w:top w:val="single" w:color="2E5C8A" w:sz="4"/>
          <w:left w:val="single" w:color="2E5C8A" w:sz="18"/>
          <w:bottom w:val="single" w:color="2E5C8A" w:sz="4"/>
          <w:right w:val="single" w:color="2E5C8A" w:sz="4"/>
          <w:insideH w:val="none"/>
          <w:insideV w:val="none"/>
        </w:tblBorders>
      </w:tblPr>
      <w:tblGrid>
        <w:gridCol w:w="9026"/>
      </w:tblGrid>
      <w:tr>
        <w:tc>
          <w:tcPr>
            <w:tcW w:type="dxa" w:w="9026"/>
            <w:shd w:fill="DCE6F1" w:color="auto" w:val="clear"/>
            <w:tcMar>
              <w:top w:type="dxa" w:w="120"/>
              <w:left w:type="dxa" w:w="160"/>
              <w:bottom w:type="dxa" w:w="120"/>
              <w:right w:type="dxa" w:w="160"/>
            </w:tcMar>
          </w:tcPr>
          <w:p>
            <w:pPr>
              <w:spacing w:after="60" w:before="0" w:line="264"/>
              <w:jc w:val="left"/>
            </w:pPr>
            <w:r>
              <w:rPr>
                <w:rFonts w:ascii="Calibri" w:cs="Calibri" w:eastAsia="Calibri" w:hAnsi="Calibri"/>
                <w:b/>
                <w:bCs/>
                <w:i w:val="false"/>
                <w:iCs w:val="false"/>
                <w:color w:val="1F3864"/>
                <w:sz w:val="17"/>
                <w:szCs w:val="17"/>
              </w:rPr>
              <w:t xml:space="preserve">AI-002 — a verified example</w:t>
            </w:r>
          </w:p>
          <w:p>
            <w:pPr>
              <w:spacing w:after="50" w:before="0" w:line="264"/>
              <w:jc w:val="left"/>
            </w:pPr>
            <w:r>
              <w:rPr>
                <w:rFonts w:ascii="Calibri" w:cs="Calibri" w:eastAsia="Calibri" w:hAnsi="Calibri"/>
                <w:b w:val="false"/>
                <w:bCs w:val="false"/>
                <w:i w:val="false"/>
                <w:iCs w:val="false"/>
                <w:color w:val="000000"/>
                <w:sz w:val="17"/>
                <w:szCs w:val="17"/>
              </w:rPr>
              <w:t xml:space="preserve">A generated candidate requirement set was used as a starting point and was not accepted as written.</w:t>
            </w:r>
          </w:p>
          <w:p>
            <w:pPr>
              <w:spacing w:after="50" w:before="0" w:line="264"/>
              <w:jc w:val="left"/>
            </w:pPr>
            <w:r>
              <w:rPr>
                <w:rFonts w:ascii="Calibri" w:cs="Calibri" w:eastAsia="Calibri" w:hAnsi="Calibri"/>
                <w:b w:val="false"/>
                <w:bCs w:val="false"/>
                <w:i w:val="false"/>
                <w:iCs w:val="false"/>
                <w:color w:val="000000"/>
                <w:sz w:val="17"/>
                <w:szCs w:val="17"/>
              </w:rPr>
              <w:t xml:space="preserve">Verified: every requirement traced back to a Master Project Brief §3 capability or §2 problem; anything untraceable was deleted. Changed: nine NFRs rewritten for using unmeasurable language, which fails the verifiability standard in [3].</w:t>
            </w:r>
          </w:p>
          <w:p>
            <w:pPr>
              <w:spacing w:after="50" w:before="0" w:line="264"/>
              <w:jc w:val="left"/>
            </w:pPr>
            <w:r>
              <w:rPr>
                <w:rFonts w:ascii="Calibri" w:cs="Calibri" w:eastAsia="Calibri" w:hAnsi="Calibri"/>
                <w:b w:val="false"/>
                <w:bCs w:val="false"/>
                <w:i w:val="false"/>
                <w:iCs w:val="false"/>
                <w:color w:val="000000"/>
                <w:sz w:val="17"/>
                <w:szCs w:val="17"/>
              </w:rPr>
              <w:t xml:space="preserve">Rejected: AI-based automatic triage — no stakeholder need, no definable acceptance criterion, and it would place an unverifiable component on the accountability path. Recorded as SCOPE-O-07 so the reasoning survives.</w:t>
            </w:r>
          </w:p>
          <w:p>
            <w:pPr>
              <w:spacing w:after="50" w:before="0" w:line="264"/>
              <w:jc w:val="left"/>
            </w:pPr>
            <w:r>
              <w:rPr>
                <w:rFonts w:ascii="Calibri" w:cs="Calibri" w:eastAsia="Calibri" w:hAnsi="Calibri"/>
                <w:b w:val="false"/>
                <w:bCs w:val="false"/>
                <w:i w:val="false"/>
                <w:iCs w:val="false"/>
                <w:color w:val="000000"/>
                <w:sz w:val="17"/>
                <w:szCs w:val="17"/>
              </w:rPr>
              <w:t xml:space="preserve">Cross-checked: a second model (AI-003) found the original NFR-001 stated no concurrency and no data volume, making it untestable.</w:t>
            </w:r>
          </w:p>
        </w:tc>
      </w:tr>
    </w:tbl>
    <w:p>
      <w:pPr>
        <w:spacing w:after="100" w:before="100" w:line="264"/>
        <w:jc w:val="left"/>
      </w:pPr>
      <w:r>
        <w:rPr>
          <w:rFonts w:ascii="Calibri" w:cs="Calibri" w:eastAsia="Calibri" w:hAnsi="Calibri"/>
          <w:b w:val="false"/>
          <w:bCs w:val="false"/>
          <w:i w:val="false"/>
          <w:iCs w:val="false"/>
          <w:color w:val="000000"/>
          <w:sz w:val="19"/>
          <w:szCs w:val="19"/>
        </w:rPr>
        <w:t xml:space="preserve">The register records what was rejected and changed, not only what was used. A register listing only successes evidences record-keeping, not verification.</w:t>
      </w:r>
    </w:p>
    <w:p>
      <w:pPr>
        <w:pStyle w:val="Heading1"/>
        <w:pageBreakBefore/>
        <w:spacing w:after="160" w:before="320"/>
      </w:pPr>
      <w:r>
        <w:rPr>
          <w:rFonts w:ascii="Calibri" w:cs="Calibri" w:eastAsia="Calibri" w:hAnsi="Calibri"/>
          <w:b/>
          <w:bCs/>
          <w:color w:val="1F3864"/>
          <w:sz w:val="30"/>
          <w:szCs w:val="30"/>
        </w:rPr>
        <w:t xml:space="preserve">14. What Has Deliberately Not Been Decided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625"/>
        <w:gridCol w:w="3520"/>
        <w:gridCol w:w="722"/>
        <w:gridCol w:w="3159"/>
      </w:tblGrid>
      <w:tr>
        <w:trPr>
          <w:tblHeader/>
        </w:trPr>
        <w:tc>
          <w:tcPr>
            <w:tcW w:type="dxa" w:w="162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Not decided</w:t>
            </w:r>
          </w:p>
        </w:tc>
        <w:tc>
          <w:tcPr>
            <w:tcW w:type="dxa" w:w="3520"/>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Why</w:t>
            </w:r>
          </w:p>
        </w:tc>
        <w:tc>
          <w:tcPr>
            <w:tcW w:type="dxa" w:w="722"/>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When</w:t>
            </w:r>
          </w:p>
        </w:tc>
        <w:tc>
          <w:tcPr>
            <w:tcW w:type="dxa" w:w="3159"/>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Prepared</w:t>
            </w:r>
          </w:p>
        </w:tc>
      </w:tr>
      <w:tr>
        <w:tc>
          <w:tcPr>
            <w:tcW w:type="dxa" w:w="162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Technology stack</w:t>
            </w:r>
          </w:p>
        </w:tc>
        <w:tc>
          <w:tcPr>
            <w:tcW w:type="dxa" w:w="352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Requires compatibility verification, measured free-tier behaviour, a capability audit and a proof of concept — none exist yet (DEC-008)</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w:t>
            </w:r>
          </w:p>
        </w:tc>
        <w:tc>
          <w:tcPr>
            <w:tcW w:type="dxa" w:w="315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NFRs act as selection criteria; CN-06, CN-07; RSK-03 owned</w:t>
            </w:r>
          </w:p>
        </w:tc>
      </w:tr>
      <w:tr>
        <w:tc>
          <w:tcPr>
            <w:tcW w:type="dxa" w:w="162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Architecture</w:t>
            </w:r>
          </w:p>
        </w:tc>
        <w:tc>
          <w:tcPr>
            <w:tcW w:type="dxa" w:w="352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Follows from architecturally significant requirements, baselined here</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w:t>
            </w:r>
          </w:p>
        </w:tc>
        <w:tc>
          <w:tcPr>
            <w:tcW w:type="dxa" w:w="315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NFR-001, 002, 009, 013 identified as likely drivers</w:t>
            </w:r>
          </w:p>
        </w:tc>
      </w:tr>
      <w:tr>
        <w:tc>
          <w:tcPr>
            <w:tcW w:type="dxa" w:w="162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Database schema</w:t>
            </w:r>
          </w:p>
        </w:tc>
        <w:tc>
          <w:tcPr>
            <w:tcW w:type="dxa" w:w="352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Depends on the persistence decision; must hold an append-only audit trail within free-tier limits</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w:t>
            </w:r>
          </w:p>
        </w:tc>
        <w:tc>
          <w:tcPr>
            <w:tcW w:type="dxa" w:w="315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FEC-05; FR-025, NFR-006 constrain the design</w:t>
            </w:r>
          </w:p>
        </w:tc>
      </w:tr>
      <w:tr>
        <w:tc>
          <w:tcPr>
            <w:tcW w:type="dxa" w:w="162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UI design</w:t>
            </w:r>
          </w:p>
        </w:tc>
        <w:tc>
          <w:tcPr>
            <w:tcW w:type="dxa" w:w="352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Outside the M1 boundary; targets set first so design has criteria to meet</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w:t>
            </w:r>
          </w:p>
        </w:tc>
        <w:tc>
          <w:tcPr>
            <w:tcW w:type="dxa" w:w="315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NFR-007, NFR-008</w:t>
            </w:r>
          </w:p>
        </w:tc>
      </w:tr>
      <w:tr>
        <w:tc>
          <w:tcPr>
            <w:tcW w:type="dxa" w:w="162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API contracts</w:t>
            </w:r>
          </w:p>
        </w:tc>
        <w:tc>
          <w:tcPr>
            <w:tcW w:type="dxa" w:w="352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Depend on the architecture decision</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w:t>
            </w:r>
          </w:p>
        </w:tc>
        <w:tc>
          <w:tcPr>
            <w:tcW w:type="dxa" w:w="315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FEC-02 records the testability constraint</w:t>
            </w:r>
          </w:p>
        </w:tc>
      </w:tr>
      <w:tr>
        <w:tc>
          <w:tcPr>
            <w:tcW w:type="dxa" w:w="162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CI pipeline</w:t>
            </w:r>
          </w:p>
        </w:tc>
        <w:tc>
          <w:tcPr>
            <w:tcW w:type="dxa" w:w="352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Cannot be built before the stack is chosen</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M3</w:t>
            </w:r>
          </w:p>
        </w:tc>
        <w:tc>
          <w:tcPr>
            <w:tcW w:type="dxa" w:w="315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FEC-03; NFR-005 secret scanning already active</w:t>
            </w:r>
          </w:p>
        </w:tc>
      </w:tr>
      <w:tr>
        <w:tc>
          <w:tcPr>
            <w:tcW w:type="dxa" w:w="162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Attachments</w:t>
            </w:r>
          </w:p>
        </w:tc>
        <w:tc>
          <w:tcPr>
            <w:tcW w:type="dxa" w:w="3520"/>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Storage cost, malware handling and retention unknown until the platform is chosen (DEC-007)</w:t>
            </w:r>
          </w:p>
        </w:tc>
        <w:tc>
          <w:tcPr>
            <w:tcW w:type="dxa" w:w="722"/>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w:t>
            </w:r>
          </w:p>
        </w:tc>
        <w:tc>
          <w:tcPr>
            <w:tcW w:type="dxa" w:w="315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SCOPE-D-01 with evidence required stated</w:t>
            </w:r>
          </w:p>
        </w:tc>
      </w:tr>
      <w:tr>
        <w:tc>
          <w:tcPr>
            <w:tcW w:type="dxa" w:w="162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SLA thresholds</w:t>
            </w:r>
          </w:p>
        </w:tc>
        <w:tc>
          <w:tcPr>
            <w:tcW w:type="dxa" w:w="3520"/>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 stakeholder authority exists to set service-level values (RSK-05)</w:t>
            </w:r>
          </w:p>
        </w:tc>
        <w:tc>
          <w:tcPr>
            <w:tcW w:type="dxa" w:w="722"/>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w:t>
            </w:r>
          </w:p>
        </w:tc>
        <w:tc>
          <w:tcPr>
            <w:tcW w:type="dxa" w:w="315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FR-021 configurable, so it stays testable</w:t>
            </w:r>
          </w:p>
        </w:tc>
      </w:tr>
    </w:tbl>
    <w:p>
      <w:pPr>
        <w:pStyle w:val="Heading1"/>
        <w:pageBreakBefore/>
        <w:spacing w:after="160" w:before="320"/>
      </w:pPr>
      <w:r>
        <w:rPr>
          <w:rFonts w:ascii="Calibri" w:cs="Calibri" w:eastAsia="Calibri" w:hAnsi="Calibri"/>
          <w:b/>
          <w:bCs/>
          <w:color w:val="1F3864"/>
          <w:sz w:val="30"/>
          <w:szCs w:val="30"/>
        </w:rPr>
        <w:t xml:space="preserve">15. Baseline Sign-Off</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347"/>
        <w:gridCol w:w="6679"/>
      </w:tblGrid>
      <w:tr>
        <w:trPr>
          <w:tblHeader/>
        </w:trPr>
        <w:tc>
          <w:tcPr>
            <w:tcW w:type="dxa" w:w="234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Field</w:t>
            </w:r>
          </w:p>
        </w:tc>
        <w:tc>
          <w:tcPr>
            <w:tcW w:type="dxa" w:w="6679"/>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Record</w:t>
            </w:r>
          </w:p>
        </w:tc>
      </w:tr>
      <w:tr>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Project / baseline type</w:t>
            </w:r>
          </w:p>
        </w:tc>
        <w:tc>
          <w:tcPr>
            <w:tcW w:type="dxa" w:w="667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CivicConnect — engineering foundation and requirements baseline</w:t>
            </w:r>
          </w:p>
        </w:tc>
      </w:tr>
      <w:tr>
        <w:tc>
          <w:tcPr>
            <w:tcW w:type="dxa" w:w="234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Version and date</w:t>
            </w:r>
          </w:p>
        </w:tc>
        <w:tc>
          <w:tcPr>
            <w:tcW w:type="dxa" w:w="667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PED v1.0, 8 September 2026</w:t>
            </w:r>
          </w:p>
        </w:tc>
      </w:tr>
      <w:tr>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Scope reviewed</w:t>
            </w:r>
          </w:p>
        </w:tc>
        <w:tc>
          <w:tcPr>
            <w:tcW w:type="dxa" w:w="667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YES — 12 in-scope areas, 9 exclusions, 6 deferments reviewed by all three; SCOPE-O-07 defended in §4.4</w:t>
            </w:r>
          </w:p>
        </w:tc>
      </w:tr>
      <w:tr>
        <w:tc>
          <w:tcPr>
            <w:tcW w:type="dxa" w:w="234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Requirements and traceability checked</w:t>
            </w:r>
          </w:p>
        </w:tc>
        <w:tc>
          <w:tcPr>
            <w:tcW w:type="dxa" w:w="667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YES — 40 requirements, all traced; each has source, priority and acceptance criteria; identifiers reconciled across all registers</w:t>
            </w:r>
          </w:p>
        </w:tc>
      </w:tr>
      <w:tr>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 review completed</w:t>
            </w:r>
          </w:p>
        </w:tc>
        <w:tc>
          <w:tcPr>
            <w:tcW w:type="dxa" w:w="667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YES — 14 risks scored and owned (1 Critical, 11 High, 2 Medium); 5 assumptions linked to risks</w:t>
            </w:r>
          </w:p>
        </w:tc>
      </w:tr>
      <w:tr>
        <w:tc>
          <w:tcPr>
            <w:tcW w:type="dxa" w:w="234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Repository and governance checked</w:t>
            </w:r>
          </w:p>
        </w:tc>
        <w:tc>
          <w:tcPr>
            <w:tcW w:type="dxa" w:w="6679"/>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YES — protected main verified by a refused direct push and refused self-approval; two-approval rule evidenced on merged pull requests; secret scanning active</w:t>
            </w:r>
          </w:p>
        </w:tc>
      </w:tr>
      <w:tr>
        <w:tc>
          <w:tcPr>
            <w:tcW w:type="dxa" w:w="2347"/>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Outcome</w:t>
            </w:r>
          </w:p>
        </w:tc>
        <w:tc>
          <w:tcPr>
            <w:tcW w:type="dxa" w:w="6679"/>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ACCEPTED by the team as a sufficiently controlled foundation. The formal gate decision rests with the assessor.</w:t>
            </w:r>
          </w:p>
        </w:tc>
      </w:tr>
    </w:tbl>
    <w:p>
      <w:pPr>
        <w:pStyle w:val="Heading2"/>
        <w:spacing w:after="110" w:before="240"/>
      </w:pPr>
      <w:r>
        <w:rPr>
          <w:rFonts w:ascii="Calibri" w:cs="Calibri" w:eastAsia="Calibri" w:hAnsi="Calibri"/>
          <w:b/>
          <w:bCs/>
          <w:color w:val="2E5C8A"/>
          <w:sz w:val="24"/>
          <w:szCs w:val="24"/>
        </w:rPr>
        <w:t xml:space="preserve">15.1 Known limitations</w:t>
      </w:r>
    </w:p>
    <w:p>
      <w:pPr>
        <w:spacing w:after="80" w:before="0" w:line="264"/>
        <w:jc w:val="left"/>
      </w:pPr>
      <w:r>
        <w:rPr>
          <w:rFonts w:ascii="Calibri" w:cs="Calibri" w:eastAsia="Calibri" w:hAnsi="Calibri"/>
          <w:b w:val="false"/>
          <w:bCs w:val="false"/>
          <w:i w:val="false"/>
          <w:iCs w:val="false"/>
          <w:color w:val="000000"/>
          <w:sz w:val="19"/>
          <w:szCs w:val="19"/>
        </w:rPr>
        <w:t xml:space="preserve">Recorded deliberately — honesty about limitations is valued above unsupported claims of completeness [1, §23].</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No live CivicConnect stakeholder exists; the team acts as proxy (AS-01, RSK-10). Requirements are testable, but their business validity is not independently confirmed.</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Target resolution times underlying FR-021 are provisional (RSK-05). The requirement is testable at boundary values; the values are not authorised.</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Every NFR states a metric and a verification method, but none has been measured. They are commitments, not evidence, until M3.</w:t>
      </w:r>
    </w:p>
    <w:p>
      <w:pPr>
        <w:pStyle w:val="ListParagraph"/>
        <w:numPr>
          <w:ilvl w:val="0"/>
          <w:numId w:val="2"/>
        </w:numPr>
        <w:spacing w:after="60" w:line="264"/>
      </w:pPr>
      <w:r>
        <w:rPr>
          <w:rFonts w:ascii="Calibri" w:cs="Calibri" w:eastAsia="Calibri" w:hAnsi="Calibri"/>
          <w:b w:val="false"/>
          <w:bCs w:val="false"/>
          <w:i w:val="false"/>
          <w:iCs w:val="false"/>
          <w:color w:val="000000"/>
          <w:sz w:val="19"/>
          <w:szCs w:val="19"/>
        </w:rPr>
        <w:t xml:space="preserve">Task-level scheduling and effort estimation follow the M2 architecture decision.</w:t>
      </w:r>
    </w:p>
    <w:p>
      <w:pPr>
        <w:pStyle w:val="Heading2"/>
        <w:spacing w:after="110" w:before="240"/>
      </w:pPr>
      <w:r>
        <w:rPr>
          <w:rFonts w:ascii="Calibri" w:cs="Calibri" w:eastAsia="Calibri" w:hAnsi="Calibri"/>
          <w:b/>
          <w:bCs/>
          <w:color w:val="2E5C8A"/>
          <w:sz w:val="24"/>
          <w:szCs w:val="24"/>
        </w:rPr>
        <w:t xml:space="preserve">15.2 Declaration</w:t>
      </w:r>
    </w:p>
    <w:p>
      <w:pPr>
        <w:spacing w:after="140" w:before="0" w:line="264"/>
        <w:jc w:val="left"/>
      </w:pPr>
      <w:r>
        <w:rPr>
          <w:rFonts w:ascii="Calibri" w:cs="Calibri" w:eastAsia="Calibri" w:hAnsi="Calibri"/>
          <w:b w:val="false"/>
          <w:bCs w:val="false"/>
          <w:i w:val="false"/>
          <w:iCs w:val="false"/>
          <w:color w:val="000000"/>
          <w:sz w:val="19"/>
          <w:szCs w:val="19"/>
        </w:rPr>
        <w:t xml:space="preserve">We confirm this document reflects the actual engineering work of the registered team; that AI assistance is recorded with the verification applied; that each of us reviewed the whole document, not only our own workstream; and that each of us can independently locate, explain and defend any artefact in this baseline.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1805"/>
        <w:gridCol w:w="3791"/>
        <w:gridCol w:w="1625"/>
      </w:tblGrid>
      <w:tr>
        <w:trPr>
          <w:tblHeader/>
        </w:trPr>
        <w:tc>
          <w:tcPr>
            <w:tcW w:type="dxa" w:w="180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Member</w:t>
            </w:r>
          </w:p>
        </w:tc>
        <w:tc>
          <w:tcPr>
            <w:tcW w:type="dxa" w:w="180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Workstream</w:t>
            </w:r>
          </w:p>
        </w:tc>
        <w:tc>
          <w:tcPr>
            <w:tcW w:type="dxa" w:w="379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Signature</w:t>
            </w:r>
          </w:p>
        </w:tc>
        <w:tc>
          <w:tcPr>
            <w:tcW w:type="dxa" w:w="162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Date</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7"/>
                <w:szCs w:val="17"/>
              </w:rPr>
              <w:t xml:space="preserve">Masego</w:t>
            </w:r>
          </w:p>
        </w:tc>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7"/>
                <w:szCs w:val="17"/>
              </w:rPr>
              <w:t xml:space="preserve">A</w:t>
            </w:r>
          </w:p>
        </w:tc>
        <w:tc>
          <w:tcPr>
            <w:tcW w:type="dxa" w:w="379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7"/>
                <w:szCs w:val="17"/>
              </w:rPr>
              <w:t xml:space="preserve"/>
            </w:r>
          </w:p>
        </w:tc>
        <w:tc>
          <w:tcPr>
            <w:tcW w:type="dxa" w:w="162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7"/>
                <w:szCs w:val="17"/>
              </w:rPr>
              <w:t xml:space="preserve">8 September 2026</w:t>
            </w:r>
          </w:p>
        </w:tc>
      </w:tr>
      <w:tr>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7"/>
                <w:szCs w:val="17"/>
              </w:rPr>
              <w:t xml:space="preserve">Don</w:t>
            </w:r>
          </w:p>
        </w:tc>
        <w:tc>
          <w:tcPr>
            <w:tcW w:type="dxa" w:w="180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7"/>
                <w:szCs w:val="17"/>
              </w:rPr>
              <w:t xml:space="preserve">B</w:t>
            </w:r>
          </w:p>
        </w:tc>
        <w:tc>
          <w:tcPr>
            <w:tcW w:type="dxa" w:w="379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7"/>
                <w:szCs w:val="17"/>
              </w:rPr>
              <w:t xml:space="preserve"/>
            </w:r>
          </w:p>
        </w:tc>
        <w:tc>
          <w:tcPr>
            <w:tcW w:type="dxa" w:w="162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7"/>
                <w:szCs w:val="17"/>
              </w:rPr>
              <w:t xml:space="preserve">8 September 2026</w:t>
            </w:r>
          </w:p>
        </w:tc>
      </w:tr>
      <w:tr>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7"/>
                <w:szCs w:val="17"/>
              </w:rPr>
              <w:t xml:space="preserve">Emile</w:t>
            </w:r>
          </w:p>
        </w:tc>
        <w:tc>
          <w:tcPr>
            <w:tcW w:type="dxa" w:w="180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7"/>
                <w:szCs w:val="17"/>
              </w:rPr>
              <w:t xml:space="preserve">C</w:t>
            </w:r>
          </w:p>
        </w:tc>
        <w:tc>
          <w:tcPr>
            <w:tcW w:type="dxa" w:w="379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7"/>
                <w:szCs w:val="17"/>
              </w:rPr>
              <w:t xml:space="preserve"/>
            </w:r>
          </w:p>
        </w:tc>
        <w:tc>
          <w:tcPr>
            <w:tcW w:type="dxa" w:w="1625"/>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7"/>
                <w:szCs w:val="17"/>
              </w:rPr>
              <w:t xml:space="preserve">8 September 2026</w:t>
            </w:r>
          </w:p>
        </w:tc>
      </w:tr>
    </w:tbl>
    <w:p>
      <w:pPr>
        <w:pStyle w:val="Heading1"/>
        <w:pageBreakBefore/>
        <w:spacing w:after="160" w:before="320"/>
      </w:pPr>
      <w:r>
        <w:rPr>
          <w:rFonts w:ascii="Calibri" w:cs="Calibri" w:eastAsia="Calibri" w:hAnsi="Calibri"/>
          <w:b/>
          <w:bCs/>
          <w:color w:val="1F3864"/>
          <w:sz w:val="30"/>
          <w:szCs w:val="30"/>
        </w:rPr>
        <w:t xml:space="preserve">16. References</w:t>
      </w:r>
    </w:p>
    <w:p>
      <w:pPr>
        <w:spacing w:after="110" w:before="0" w:line="264"/>
        <w:ind w:left="400" w:hanging="400"/>
        <w:jc w:val="left"/>
      </w:pPr>
      <w:r>
        <w:rPr>
          <w:rFonts w:ascii="Calibri" w:cs="Calibri" w:eastAsia="Calibri" w:hAnsi="Calibri"/>
          <w:b w:val="false"/>
          <w:bCs w:val="false"/>
          <w:i w:val="false"/>
          <w:iCs w:val="false"/>
          <w:color w:val="000000"/>
          <w:sz w:val="19"/>
          <w:szCs w:val="19"/>
        </w:rPr>
        <w:t xml:space="preserve">Belgium Campus ITversity, 2026. SEN381 CivicConnect Master Project Brief, Version 1.1.</w:t>
      </w:r>
    </w:p>
    <w:p>
      <w:pPr>
        <w:spacing w:after="110" w:before="0" w:line="264"/>
        <w:ind w:left="400" w:hanging="400"/>
        <w:jc w:val="left"/>
      </w:pPr>
      <w:r>
        <w:rPr>
          <w:rFonts w:ascii="Calibri" w:cs="Calibri" w:eastAsia="Calibri" w:hAnsi="Calibri"/>
          <w:b w:val="false"/>
          <w:bCs w:val="false"/>
          <w:i w:val="false"/>
          <w:iCs w:val="false"/>
          <w:color w:val="000000"/>
          <w:sz w:val="19"/>
          <w:szCs w:val="19"/>
        </w:rPr>
        <w:t xml:space="preserve">Belgium Campus ITversity, 2026. SEN381 Milestone 1 Brief: Engineering Foundation &amp; Requirements Baseline.</w:t>
      </w:r>
    </w:p>
    <w:p>
      <w:pPr>
        <w:spacing w:after="110" w:before="0" w:line="264"/>
        <w:ind w:left="400" w:hanging="400"/>
        <w:jc w:val="left"/>
      </w:pPr>
      <w:r>
        <w:rPr>
          <w:rFonts w:ascii="Calibri" w:cs="Calibri" w:eastAsia="Calibri" w:hAnsi="Calibri"/>
          <w:b w:val="false"/>
          <w:bCs w:val="false"/>
          <w:i w:val="false"/>
          <w:iCs w:val="false"/>
          <w:color w:val="000000"/>
          <w:sz w:val="19"/>
          <w:szCs w:val="19"/>
        </w:rPr>
        <w:t xml:space="preserve">International Organization for Standardization, 2018. ISO/IEC/IEEE 29148:2018 Systems and software engineering — Life cycle processes — Requirements engineering. Geneva: ISO.</w:t>
      </w:r>
    </w:p>
    <w:p>
      <w:pPr>
        <w:spacing w:after="110" w:before="0" w:line="264"/>
        <w:ind w:left="400" w:hanging="400"/>
        <w:jc w:val="left"/>
      </w:pPr>
      <w:r>
        <w:rPr>
          <w:rFonts w:ascii="Calibri" w:cs="Calibri" w:eastAsia="Calibri" w:hAnsi="Calibri"/>
          <w:b w:val="false"/>
          <w:bCs w:val="false"/>
          <w:i w:val="false"/>
          <w:iCs w:val="false"/>
          <w:color w:val="000000"/>
          <w:sz w:val="19"/>
          <w:szCs w:val="19"/>
        </w:rPr>
        <w:t xml:space="preserve">International Organization for Standardization, 2011. ISO/IEC 25010:2011 Systems and software engineering — SQuaRE — System and software quality models. Geneva: ISO.</w:t>
      </w:r>
    </w:p>
    <w:p>
      <w:pPr>
        <w:spacing w:after="110" w:before="0" w:line="264"/>
        <w:ind w:left="400" w:hanging="400"/>
        <w:jc w:val="left"/>
      </w:pPr>
      <w:r>
        <w:rPr>
          <w:rFonts w:ascii="Calibri" w:cs="Calibri" w:eastAsia="Calibri" w:hAnsi="Calibri"/>
          <w:b w:val="false"/>
          <w:bCs w:val="false"/>
          <w:i w:val="false"/>
          <w:iCs w:val="false"/>
          <w:color w:val="000000"/>
          <w:sz w:val="19"/>
          <w:szCs w:val="19"/>
        </w:rPr>
        <w:t xml:space="preserve">Project Management Institute, 2021. A Guide to the Project Management Body of Knowledge (PMBOK Guide), 7th ed. Newtown Square, PA: PMI.</w:t>
      </w:r>
    </w:p>
    <w:p>
      <w:pPr>
        <w:spacing w:after="110" w:before="0" w:line="264"/>
        <w:ind w:left="400" w:hanging="400"/>
        <w:jc w:val="left"/>
      </w:pPr>
      <w:r>
        <w:rPr>
          <w:rFonts w:ascii="Calibri" w:cs="Calibri" w:eastAsia="Calibri" w:hAnsi="Calibri"/>
          <w:b w:val="false"/>
          <w:bCs w:val="false"/>
          <w:i w:val="false"/>
          <w:iCs w:val="false"/>
          <w:color w:val="000000"/>
          <w:sz w:val="19"/>
          <w:szCs w:val="19"/>
        </w:rPr>
        <w:t xml:space="preserve">World Wide Web Consortium, 2018. Web Content Accessibility Guidelines (WCAG) 2.1. W3C Recommendation.</w:t>
      </w:r>
    </w:p>
    <w:tbl>
      <w:tblPr>
        <w:tblW w:type="dxa" w:w="9026"/>
        <w:tblBorders>
          <w:top w:val="single" w:color="2E5C8A" w:sz="4"/>
          <w:left w:val="single" w:color="2E5C8A" w:sz="18"/>
          <w:bottom w:val="single" w:color="2E5C8A" w:sz="4"/>
          <w:right w:val="single" w:color="2E5C8A" w:sz="4"/>
          <w:insideH w:val="none"/>
          <w:insideV w:val="none"/>
        </w:tblBorders>
      </w:tblPr>
      <w:tblGrid>
        <w:gridCol w:w="9026"/>
      </w:tblGrid>
      <w:tr>
        <w:tc>
          <w:tcPr>
            <w:tcW w:type="dxa" w:w="9026"/>
            <w:shd w:fill="FFF2CC" w:color="auto" w:val="clear"/>
            <w:tcMar>
              <w:top w:type="dxa" w:w="120"/>
              <w:left w:type="dxa" w:w="160"/>
              <w:bottom w:type="dxa" w:w="120"/>
              <w:right w:type="dxa" w:w="160"/>
            </w:tcMar>
          </w:tcPr>
          <w:p>
            <w:pPr>
              <w:spacing w:after="60" w:before="0" w:line="264"/>
              <w:jc w:val="left"/>
            </w:pPr>
            <w:r>
              <w:rPr>
                <w:rFonts w:ascii="Calibri" w:cs="Calibri" w:eastAsia="Calibri" w:hAnsi="Calibri"/>
                <w:b/>
                <w:bCs/>
                <w:i w:val="false"/>
                <w:iCs w:val="false"/>
                <w:color w:val="1F3864"/>
                <w:sz w:val="17"/>
                <w:szCs w:val="17"/>
              </w:rPr>
              <w:t xml:space="preserve">Before submitting</w:t>
            </w:r>
          </w:p>
          <w:p>
            <w:pPr>
              <w:spacing w:after="50" w:before="0" w:line="264"/>
              <w:jc w:val="left"/>
            </w:pPr>
            <w:r>
              <w:rPr>
                <w:rFonts w:ascii="Calibri" w:cs="Calibri" w:eastAsia="Calibri" w:hAnsi="Calibri"/>
                <w:b w:val="false"/>
                <w:bCs w:val="false"/>
                <w:i w:val="false"/>
                <w:iCs w:val="false"/>
                <w:color w:val="000000"/>
                <w:sz w:val="17"/>
                <w:szCs w:val="17"/>
              </w:rPr>
              <w:t xml:space="preserve">Confirm this list matches your required referencing style and that every citation marker resolves to an entry. Missing in-text citations and references result in an automatic mark of zero [2, §10].</w:t>
            </w:r>
          </w:p>
          <w:p>
            <w:pPr>
              <w:spacing w:after="50" w:before="0" w:line="264"/>
              <w:jc w:val="left"/>
            </w:pPr>
            <w:r>
              <w:rPr>
                <w:rFonts w:ascii="Calibri" w:cs="Calibri" w:eastAsia="Calibri" w:hAnsi="Calibri"/>
                <w:b w:val="false"/>
                <w:bCs w:val="false"/>
                <w:i w:val="false"/>
                <w:iCs w:val="false"/>
                <w:color w:val="000000"/>
                <w:sz w:val="17"/>
                <w:szCs w:val="17"/>
              </w:rPr>
              <w:t xml:space="preserve">Verify each source independently and add any others your team actually consulted.</w:t>
            </w:r>
          </w:p>
        </w:tc>
      </w:tr>
    </w:tbl>
    <w:p>
      <w:pPr>
        <w:pStyle w:val="Heading1"/>
        <w:pageBreakBefore/>
        <w:spacing w:after="160" w:before="320"/>
      </w:pPr>
      <w:r>
        <w:rPr>
          <w:rFonts w:ascii="Calibri" w:cs="Calibri" w:eastAsia="Calibri" w:hAnsi="Calibri"/>
          <w:b/>
          <w:bCs/>
          <w:color w:val="1F3864"/>
          <w:sz w:val="30"/>
          <w:szCs w:val="30"/>
        </w:rPr>
        <w:t xml:space="preserve">Appendix A — End-to-End Trace: FR-025</w:t>
      </w:r>
    </w:p>
    <w:p>
      <w:pPr>
        <w:spacing w:after="120" w:before="0" w:line="264"/>
        <w:jc w:val="left"/>
      </w:pPr>
      <w:r>
        <w:rPr>
          <w:rFonts w:ascii="Calibri" w:cs="Calibri" w:eastAsia="Calibri" w:hAnsi="Calibri"/>
          <w:b w:val="false"/>
          <w:bCs w:val="false"/>
          <w:i w:val="false"/>
          <w:iCs w:val="false"/>
          <w:color w:val="000000"/>
          <w:sz w:val="19"/>
          <w:szCs w:val="19"/>
        </w:rPr>
        <w:t xml:space="preserve">FR-025 carries the accountability property that is the core business value, and shows how one stakeholder need propagates into requirements, quality attributes, design constraints, risks and future verification.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715"/>
        <w:gridCol w:w="7311"/>
      </w:tblGrid>
      <w:tr>
        <w:trPr>
          <w:tblHeader/>
        </w:trPr>
        <w:tc>
          <w:tcPr>
            <w:tcW w:type="dxa" w:w="1715"/>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Stage</w:t>
            </w:r>
          </w:p>
        </w:tc>
        <w:tc>
          <w:tcPr>
            <w:tcW w:type="dxa" w:w="7311"/>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Evidence at v1.0</w:t>
            </w:r>
          </w:p>
        </w:tc>
      </w:tr>
      <w:tr>
        <w:tc>
          <w:tcPr>
            <w:tcW w:type="dxa" w:w="171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Source</w:t>
            </w:r>
          </w:p>
        </w:tc>
        <w:tc>
          <w:tcPr>
            <w:tcW w:type="dxa" w:w="731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[1, §2] "There is weak accountability for changes to request status and actions taken." SH-04, supported by SH-09.</w:t>
            </w:r>
          </w:p>
        </w:tc>
      </w:tr>
      <w:tr>
        <w:tc>
          <w:tcPr>
            <w:tcW w:type="dxa" w:w="1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Requirement</w:t>
            </w:r>
          </w:p>
        </w:tc>
        <w:tc>
          <w:tcPr>
            <w:tcW w:type="dxa" w:w="731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FR-025 — record every status and assignment change with actor, timestamp, previous and new value; do not permit editing or deletion through the application. Must.</w:t>
            </w:r>
          </w:p>
        </w:tc>
      </w:tr>
      <w:tr>
        <w:tc>
          <w:tcPr>
            <w:tcW w:type="dxa" w:w="171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Quality requirement</w:t>
            </w:r>
          </w:p>
        </w:tc>
        <w:tc>
          <w:tcPr>
            <w:tcW w:type="dxa" w:w="731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NFR-006 — 100% of such changes recorded with all four fields, not modifiable through the application.</w:t>
            </w:r>
          </w:p>
        </w:tc>
      </w:tr>
      <w:tr>
        <w:tc>
          <w:tcPr>
            <w:tcW w:type="dxa" w:w="1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Acceptance criteria</w:t>
            </w:r>
          </w:p>
        </w:tc>
        <w:tc>
          <w:tcPr>
            <w:tcW w:type="dxa" w:w="731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AC-025 and AC-N006: for k changes the history shows exactly k ordered entries with all four fields, and no application function edits or deletes one. The negative half matters most — this requirement is about what the system must refuse to do.</w:t>
            </w:r>
          </w:p>
        </w:tc>
      </w:tr>
      <w:tr>
        <w:tc>
          <w:tcPr>
            <w:tcW w:type="dxa" w:w="171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Verification</w:t>
            </w:r>
          </w:p>
        </w:tc>
        <w:tc>
          <w:tcPr>
            <w:tcW w:type="dxa" w:w="731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Functional test, negative test and code review (M3).</w:t>
            </w:r>
          </w:p>
        </w:tc>
      </w:tr>
      <w:tr>
        <w:tc>
          <w:tcPr>
            <w:tcW w:type="dxa" w:w="1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Trace records</w:t>
            </w:r>
          </w:p>
        </w:tc>
        <w:tc>
          <w:tcPr>
            <w:tcW w:type="dxa" w:w="731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TR-007 (FR-025), TR-008 (NFR-006).</w:t>
            </w:r>
          </w:p>
        </w:tc>
      </w:tr>
      <w:tr>
        <w:tc>
          <w:tcPr>
            <w:tcW w:type="dxa" w:w="171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Dependencies</w:t>
            </w:r>
          </w:p>
        </w:tc>
        <w:tc>
          <w:tcPr>
            <w:tcW w:type="dxa" w:w="731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FR-014 and FR-015 must emit change events; FR-013 exposes history to authorised users; NFR-012 bounds who may read it.</w:t>
            </w:r>
          </w:p>
        </w:tc>
      </w:tr>
      <w:tr>
        <w:tc>
          <w:tcPr>
            <w:tcW w:type="dxa" w:w="1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Constraint interaction</w:t>
            </w:r>
          </w:p>
        </w:tc>
        <w:tc>
          <w:tcPr>
            <w:tcW w:type="dxa" w:w="731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CN-03 — an append-only trail grows monotonically against free-tier row capacity, interacting with NFR-013. Retention is open (FEC-05).</w:t>
            </w:r>
          </w:p>
        </w:tc>
      </w:tr>
      <w:tr>
        <w:tc>
          <w:tcPr>
            <w:tcW w:type="dxa" w:w="171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Design constraint</w:t>
            </w:r>
          </w:p>
        </w:tc>
        <w:tc>
          <w:tcPr>
            <w:tcW w:type="dxa" w:w="731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FEC-02 — transition logic must be separable from the UI, or audit behaviour is only testable end to end and NFR-009 coverage becomes unaffordable.</w:t>
            </w:r>
          </w:p>
        </w:tc>
      </w:tr>
      <w:tr>
        <w:tc>
          <w:tcPr>
            <w:tcW w:type="dxa" w:w="1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Risk</w:t>
            </w:r>
          </w:p>
        </w:tc>
        <w:tc>
          <w:tcPr>
            <w:tcW w:type="dxa" w:w="731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RSK-11 — the trail concentrates sensitive history, so NFR-012 must bound read access.</w:t>
            </w:r>
          </w:p>
        </w:tc>
      </w:tr>
      <w:tr>
        <w:tc>
          <w:tcPr>
            <w:tcW w:type="dxa" w:w="1715"/>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Decision</w:t>
            </w:r>
          </w:p>
        </w:tc>
        <w:tc>
          <w:tcPr>
            <w:tcW w:type="dxa" w:w="7311"/>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DEC-006 — authenticated submission only; without an identity there is no actor to record, so CF-01 was resolved in a way that preserves this requirement.</w:t>
            </w:r>
          </w:p>
        </w:tc>
      </w:tr>
      <w:tr>
        <w:tc>
          <w:tcPr>
            <w:tcW w:type="dxa" w:w="1715"/>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Still to come</w:t>
            </w:r>
          </w:p>
        </w:tc>
        <w:tc>
          <w:tcPr>
            <w:tcW w:type="dxa" w:w="7311"/>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M2 persistence design and enforcement point; M3 issue, pull request, test identifiers and results; M4 release evidence.</w:t>
            </w:r>
          </w:p>
        </w:tc>
      </w:tr>
    </w:tbl>
    <w:p>
      <w:pPr>
        <w:spacing w:after="100" w:before="100" w:line="264"/>
        <w:jc w:val="left"/>
      </w:pPr>
      <w:r>
        <w:rPr>
          <w:rFonts w:ascii="Calibri" w:cs="Calibri" w:eastAsia="Calibri" w:hAnsi="Calibri"/>
          <w:b w:val="false"/>
          <w:bCs w:val="false"/>
          <w:i/>
          <w:iCs/>
          <w:color w:val="000000"/>
          <w:sz w:val="19"/>
          <w:szCs w:val="19"/>
        </w:rPr>
        <w:t xml:space="preserve">A change to FR-025 after baseline would require revisiting NFR-006, FR-013, FR-014, FR-015, NFR-012, FEC-02, FEC-05, RSK-11 and DEC-006. The matrix makes that list discoverable rather than remembered.</w:t>
      </w:r>
    </w:p>
    <w:p>
      <w:pPr>
        <w:pStyle w:val="Heading1"/>
        <w:spacing w:after="160" w:before="320"/>
      </w:pPr>
      <w:r>
        <w:rPr>
          <w:rFonts w:ascii="Calibri" w:cs="Calibri" w:eastAsia="Calibri" w:hAnsi="Calibri"/>
          <w:b/>
          <w:bCs/>
          <w:color w:val="1F3864"/>
          <w:sz w:val="30"/>
          <w:szCs w:val="30"/>
        </w:rPr>
        <w:t xml:space="preserve">Appendix B — Request Lifecycle States</w:t>
      </w:r>
    </w:p>
    <w:p>
      <w:pPr>
        <w:spacing w:after="100" w:before="0" w:line="264"/>
        <w:jc w:val="left"/>
      </w:pPr>
      <w:r>
        <w:rPr>
          <w:rFonts w:ascii="Calibri" w:cs="Calibri" w:eastAsia="Calibri" w:hAnsi="Calibri"/>
          <w:b w:val="false"/>
          <w:bCs w:val="false"/>
          <w:i w:val="false"/>
          <w:iCs w:val="false"/>
          <w:color w:val="000000"/>
          <w:sz w:val="19"/>
          <w:szCs w:val="19"/>
        </w:rPr>
        <w:t xml:space="preserve">The model underlying FR-015 — a requirements artefact stating which transitions are legitimate, not how they are implemented.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173"/>
        <w:gridCol w:w="2708"/>
        <w:gridCol w:w="2708"/>
        <w:gridCol w:w="2437"/>
      </w:tblGrid>
      <w:tr>
        <w:trPr>
          <w:tblHeader/>
        </w:trPr>
        <w:tc>
          <w:tcPr>
            <w:tcW w:type="dxa" w:w="1173"/>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State</w:t>
            </w:r>
          </w:p>
        </w:tc>
        <w:tc>
          <w:tcPr>
            <w:tcW w:type="dxa" w:w="270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Meaning</w:t>
            </w:r>
          </w:p>
        </w:tc>
        <w:tc>
          <w:tcPr>
            <w:tcW w:type="dxa" w:w="2708"/>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May move to</w:t>
            </w:r>
          </w:p>
        </w:tc>
        <w:tc>
          <w:tcPr>
            <w:tcW w:type="dxa" w:w="2437"/>
            <w:shd w:fill="1F3864"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FFFFFF"/>
                <w:sz w:val="16"/>
                <w:szCs w:val="16"/>
              </w:rPr>
              <w:t xml:space="preserve">Actor</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New</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Submitted, not triaged</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Accepted, Rejected</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Requester creates; Staff/Manager moves on</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Accepted</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Acknowledged as valid work</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In Progress, On Hold, Rejected</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Staff, Manager</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In Progress</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Assigned and being worked</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On Hold, Resolved</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Assigned Staff</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On Hold</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Blocked or awaiting information</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In Progress, Rejected</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Assigned Staff, Manager</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Resolved</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Work complete, resolution recorded</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Closed, In Progress (reopen)</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Staff resolves; Manager closes or reopens</w:t>
            </w:r>
          </w:p>
        </w:tc>
      </w:tr>
      <w:tr>
        <w:tc>
          <w:tcPr>
            <w:tcW w:type="dxa" w:w="1173"/>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Closed</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Terminal — confirmed complete</w:t>
            </w:r>
          </w:p>
        </w:tc>
        <w:tc>
          <w:tcPr>
            <w:tcW w:type="dxa" w:w="2708"/>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None</w:t>
            </w:r>
          </w:p>
        </w:tc>
        <w:tc>
          <w:tcPr>
            <w:tcW w:type="dxa" w:w="2437"/>
            <w:shd w:fill="F2F2F2" w:color="auto" w:val="clear"/>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Manager only</w:t>
            </w:r>
          </w:p>
        </w:tc>
      </w:tr>
      <w:tr>
        <w:tc>
          <w:tcPr>
            <w:tcW w:type="dxa" w:w="1173"/>
            <w:tcMar>
              <w:top w:type="dxa" w:w="60"/>
              <w:left w:type="dxa" w:w="90"/>
              <w:bottom w:type="dxa" w:w="60"/>
              <w:right w:type="dxa" w:w="90"/>
            </w:tcMar>
            <w:vAlign w:val="top"/>
          </w:tcPr>
          <w:p>
            <w:pPr>
              <w:spacing w:after="40" w:before="0" w:line="264"/>
              <w:jc w:val="left"/>
            </w:pPr>
            <w:r>
              <w:rPr>
                <w:rFonts w:ascii="Calibri" w:cs="Calibri" w:eastAsia="Calibri" w:hAnsi="Calibri"/>
                <w:b/>
                <w:bCs/>
                <w:i w:val="false"/>
                <w:iCs w:val="false"/>
                <w:color w:val="000000"/>
                <w:sz w:val="16"/>
                <w:szCs w:val="16"/>
              </w:rPr>
              <w:t xml:space="preserve">Rejected</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Terminal — reason mandatory</w:t>
            </w:r>
          </w:p>
        </w:tc>
        <w:tc>
          <w:tcPr>
            <w:tcW w:type="dxa" w:w="2708"/>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None</w:t>
            </w:r>
          </w:p>
        </w:tc>
        <w:tc>
          <w:tcPr>
            <w:tcW w:type="dxa" w:w="2437"/>
            <w:tcMar>
              <w:top w:type="dxa" w:w="60"/>
              <w:left w:type="dxa" w:w="90"/>
              <w:bottom w:type="dxa" w:w="60"/>
              <w:right w:type="dxa" w:w="90"/>
            </w:tcMar>
            <w:vAlign w:val="top"/>
          </w:tcPr>
          <w:p>
            <w:pPr>
              <w:spacing w:after="40" w:before="0" w:line="264"/>
              <w:jc w:val="left"/>
            </w:pPr>
            <w:r>
              <w:rPr>
                <w:rFonts w:ascii="Calibri" w:cs="Calibri" w:eastAsia="Calibri" w:hAnsi="Calibri"/>
                <w:b w:val="false"/>
                <w:bCs w:val="false"/>
                <w:i w:val="false"/>
                <w:iCs w:val="false"/>
                <w:color w:val="000000"/>
                <w:sz w:val="16"/>
                <w:szCs w:val="16"/>
              </w:rPr>
              <w:t xml:space="preserve">Staff or Manager (FR-018)</w:t>
            </w:r>
          </w:p>
        </w:tc>
      </w:tr>
    </w:tbl>
    <w:p>
      <w:pPr>
        <w:spacing w:after="100" w:before="100" w:line="264"/>
        <w:jc w:val="left"/>
      </w:pPr>
      <w:r>
        <w:rPr>
          <w:rFonts w:ascii="Calibri" w:cs="Calibri" w:eastAsia="Calibri" w:hAnsi="Calibri"/>
          <w:b w:val="false"/>
          <w:bCs w:val="false"/>
          <w:i w:val="false"/>
          <w:iCs w:val="false"/>
          <w:color w:val="000000"/>
          <w:sz w:val="19"/>
          <w:szCs w:val="19"/>
        </w:rPr>
        <w:t xml:space="preserve">Open question carried to M2 (FEC-02): whether Closed may be reopened and by whom. Left open deliberately — a business rule the team cannot authorise without a stakeholder, and guessing would embed an unvalidated rule in the acceptance criteria.</w:t>
      </w:r>
    </w:p>
    <w:sectPr>
      <w:headerReference w:type="default" r:id="rId11"/>
      <w:footerReference w:type="default" r:id="rId12"/>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spacing w:before="60"/>
      <w:jc w:val="left"/>
    </w:pPr>
    <w:r>
      <w:rPr>
        <w:rFonts w:ascii="Calibri" w:cs="Calibri" w:eastAsia="Calibri" w:hAnsi="Calibri"/>
        <w:color w:val="595959"/>
        <w:sz w:val="14"/>
        <w:szCs w:val="14"/>
      </w:rPr>
      <w:t xml:space="preserve">SEN381 Milestone 1 · Baselined 8 September 2026    </w:t>
    </w:r>
    <w:ptab w:alignment="right" w:relativeTo="margin" w:leader="none"/>
    <w:r>
      <w:rPr>
        <w:rFonts w:ascii="Calibri" w:cs="Calibri" w:eastAsia="Calibri" w:hAnsi="Calibri"/>
        <w:color w:val="595959"/>
        <w:sz w:val="14"/>
        <w:szCs w:val="14"/>
      </w:rPr>
      <w:t xml:space="preserve">Page </w:t>
    </w:r>
    <w:r>
      <w:rPr>
        <w:rFonts w:ascii="Calibri" w:cs="Calibri" w:eastAsia="Calibri" w:hAnsi="Calibri"/>
        <w:color w:val="595959"/>
        <w:sz w:val="14"/>
        <w:szCs w:val="14"/>
      </w:rPr>
      <w:fldChar w:fldCharType="begin"/>
      <w:instrText xml:space="preserve">PAGE</w:instrText>
      <w:fldChar w:fldCharType="separate"/>
      <w:fldChar w:fldCharType="end"/>
    </w:r>
    <w:r>
      <w:rPr>
        <w:rFonts w:ascii="Calibri" w:cs="Calibri" w:eastAsia="Calibri" w:hAnsi="Calibri"/>
        <w:color w:val="595959"/>
        <w:sz w:val="14"/>
        <w:szCs w:val="14"/>
      </w:rPr>
      <w:t xml:space="preserve"> of </w:t>
    </w:r>
    <w:r>
      <w:rPr>
        <w:rFonts w:ascii="Calibri" w:cs="Calibri" w:eastAsia="Calibri" w:hAnsi="Calibri"/>
        <w:color w:val="59595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spacing w:before="60"/>
      <w:jc w:val="left"/>
    </w:pPr>
    <w:r>
      <w:rPr>
        <w:rFonts w:ascii="Calibri" w:cs="Calibri" w:eastAsia="Calibri" w:hAnsi="Calibri"/>
        <w:color w:val="595959"/>
        <w:sz w:val="14"/>
        <w:szCs w:val="14"/>
      </w:rPr>
      <w:t xml:space="preserve">SEN381 Milestone 1 · Baselined 8 September 2026    </w:t>
    </w:r>
    <w:ptab w:alignment="right" w:relativeTo="margin" w:leader="none"/>
    <w:r>
      <w:rPr>
        <w:rFonts w:ascii="Calibri" w:cs="Calibri" w:eastAsia="Calibri" w:hAnsi="Calibri"/>
        <w:color w:val="595959"/>
        <w:sz w:val="14"/>
        <w:szCs w:val="14"/>
      </w:rPr>
      <w:t xml:space="preserve">Page </w:t>
    </w:r>
    <w:r>
      <w:rPr>
        <w:rFonts w:ascii="Calibri" w:cs="Calibri" w:eastAsia="Calibri" w:hAnsi="Calibri"/>
        <w:color w:val="595959"/>
        <w:sz w:val="14"/>
        <w:szCs w:val="14"/>
      </w:rPr>
      <w:fldChar w:fldCharType="begin"/>
      <w:instrText xml:space="preserve">PAGE</w:instrText>
      <w:fldChar w:fldCharType="separate"/>
      <w:fldChar w:fldCharType="end"/>
    </w:r>
    <w:r>
      <w:rPr>
        <w:rFonts w:ascii="Calibri" w:cs="Calibri" w:eastAsia="Calibri" w:hAnsi="Calibri"/>
        <w:color w:val="595959"/>
        <w:sz w:val="14"/>
        <w:szCs w:val="14"/>
      </w:rPr>
      <w:t xml:space="preserve"> of </w:t>
    </w:r>
    <w:r>
      <w:rPr>
        <w:rFonts w:ascii="Calibri" w:cs="Calibri" w:eastAsia="Calibri" w:hAnsi="Calibri"/>
        <w:color w:val="595959"/>
        <w:sz w:val="14"/>
        <w:szCs w:val="14"/>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spacing w:before="60"/>
      <w:jc w:val="left"/>
    </w:pPr>
    <w:r>
      <w:rPr>
        <w:rFonts w:ascii="Calibri" w:cs="Calibri" w:eastAsia="Calibri" w:hAnsi="Calibri"/>
        <w:color w:val="595959"/>
        <w:sz w:val="14"/>
        <w:szCs w:val="14"/>
      </w:rPr>
      <w:t xml:space="preserve">SEN381 Milestone 1 · Baselined 8 September 2026    </w:t>
    </w:r>
    <w:ptab w:alignment="right" w:relativeTo="margin" w:leader="none"/>
    <w:r>
      <w:rPr>
        <w:rFonts w:ascii="Calibri" w:cs="Calibri" w:eastAsia="Calibri" w:hAnsi="Calibri"/>
        <w:color w:val="595959"/>
        <w:sz w:val="14"/>
        <w:szCs w:val="14"/>
      </w:rPr>
      <w:t xml:space="preserve">Page </w:t>
    </w:r>
    <w:r>
      <w:rPr>
        <w:rFonts w:ascii="Calibri" w:cs="Calibri" w:eastAsia="Calibri" w:hAnsi="Calibri"/>
        <w:color w:val="595959"/>
        <w:sz w:val="14"/>
        <w:szCs w:val="14"/>
      </w:rPr>
      <w:fldChar w:fldCharType="begin"/>
      <w:instrText xml:space="preserve">PAGE</w:instrText>
      <w:fldChar w:fldCharType="separate"/>
      <w:fldChar w:fldCharType="end"/>
    </w:r>
    <w:r>
      <w:rPr>
        <w:rFonts w:ascii="Calibri" w:cs="Calibri" w:eastAsia="Calibri" w:hAnsi="Calibri"/>
        <w:color w:val="595959"/>
        <w:sz w:val="14"/>
        <w:szCs w:val="14"/>
      </w:rPr>
      <w:t xml:space="preserve"> of </w:t>
    </w:r>
    <w:r>
      <w:rPr>
        <w:rFonts w:ascii="Calibri" w:cs="Calibri" w:eastAsia="Calibri" w:hAnsi="Calibri"/>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120"/>
      <w:jc w:val="left"/>
    </w:pPr>
    <w:r>
      <w:rPr>
        <w:rFonts w:ascii="Calibri" w:cs="Calibri" w:eastAsia="Calibri" w:hAnsi="Calibri"/>
        <w:color w:val="2E5C8A"/>
        <w:sz w:val="15"/>
        <w:szCs w:val="15"/>
      </w:rPr>
      <w:t xml:space="preserve">CivicConnect — PED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120"/>
      <w:jc w:val="left"/>
    </w:pPr>
    <w:r>
      <w:rPr>
        <w:rFonts w:ascii="Calibri" w:cs="Calibri" w:eastAsia="Calibri" w:hAnsi="Calibri"/>
        <w:color w:val="2E5C8A"/>
        <w:sz w:val="15"/>
        <w:szCs w:val="15"/>
      </w:rPr>
      <w:t xml:space="preserve">CivicConnect — PED v1.0 · Requirements, Traceability, Risk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120"/>
      <w:jc w:val="left"/>
    </w:pPr>
    <w:r>
      <w:rPr>
        <w:rFonts w:ascii="Calibri" w:cs="Calibri" w:eastAsia="Calibri" w:hAnsi="Calibri"/>
        <w:color w:val="2E5C8A"/>
        <w:sz w:val="15"/>
        <w:szCs w:val="15"/>
      </w:rPr>
      <w:t xml:space="preserve">CivicConnect — PED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lvl w:ilvl="1" w15:tentative="1">
      <w:start w:val="1"/>
      <w:numFmt w:val="lowerLetter"/>
      <w:lvlText w:val="%2."/>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C8A"/>
      <w:sz w:val="24"/>
      <w:szCs w:val="24"/>
    </w:rPr>
  </w:style>
  <w:style w:type="paragraph" w:styleId="Heading3">
    <w:name w:val="Heading 3"/>
    <w:basedOn w:val="Normal"/>
    <w:next w:val="Normal"/>
    <w:qFormat/>
    <w:rPr>
      <w:rFonts w:ascii="Calibri" w:cs="Calibri" w:eastAsia="Calibri" w:hAnsi="Calibri"/>
      <w:b/>
      <w:bCs/>
      <w:color w:val="2E5C8A"/>
      <w:sz w:val="21"/>
      <w:szCs w:val="21"/>
    </w:rPr>
  </w:style>
  <w:style w:type="paragraph" w:styleId="Heading4">
    <w:name w:val="Heading 4"/>
    <w:basedOn w:val="Normal"/>
    <w:next w:val="Normal"/>
    <w:qFormat/>
    <w:rPr>
      <w:rFonts w:ascii="Calibri" w:cs="Calibri" w:eastAsia="Calibri" w:hAnsi="Calibri"/>
      <w:b/>
      <w:bCs/>
      <w:color w:val="2E5C8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2026-09-09T04:04:00.199Z</dcterms:created>
  <dcterms:modified xsi:type="dcterms:W3CDTF">2026-09-09T04:04:00.209Z</dcterms:modified>
</cp:coreProperties>
</file>

<file path=docProps/custom.xml><?xml version="1.0" encoding="utf-8"?>
<Properties xmlns="http://schemas.openxmlformats.org/officeDocument/2006/custom-properties" xmlns:vt="http://schemas.openxmlformats.org/officeDocument/2006/docPropsVTypes"/>
</file>