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24" w:after="400"/>
        <w:jc w:val="center"/>
      </w:pPr>
      <w:r>
        <w:rPr>
          <w:rFonts w:ascii="Calibri" w:hAnsi="Calibri"/>
          <w:b/>
          <w:color w:val="00A6B2"/>
          <w:sz w:val="22"/>
        </w:rPr>
        <w:t>INFORME FINAL</w:t>
      </w:r>
    </w:p>
    <w:p>
      <w:pPr>
        <w:pStyle w:val="Title"/>
        <w:jc w:val="center"/>
      </w:pPr>
      <w:r>
        <w:t>Sistema web de reconocimiento de audio con redes neuronales</w:t>
      </w:r>
    </w:p>
    <w:p>
      <w:pPr>
        <w:pStyle w:val="Subtitle"/>
        <w:jc w:val="center"/>
      </w:pPr>
      <w:r>
        <w:t>Clasificación de seis sonidos ambientales reales mediante una CNN entrenada con ESC-50</w:t>
      </w:r>
    </w:p>
    <w:p>
      <w:pPr>
        <w:spacing w:before="360" w:after="560"/>
        <w:jc w:val="center"/>
      </w:pPr>
      <w:r>
        <w:rPr>
          <w:rFonts w:ascii="Calibri" w:hAnsi="Calibri"/>
          <w:b/>
          <w:color w:val="2E74B5"/>
          <w:sz w:val="18"/>
        </w:rPr>
        <w:t>CLAXON  ·  LADRIDO  ·  APLAUSOS  ·  LLUVIA  ·  SIRENA  ·  HELICÓPTERO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MATERIA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Sistemas Embebidos y Redes Neuronales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PERÍODO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2026_2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DOCENTE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Ing. Sergio Granizo, MSc.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INTEGRANTES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Erick · Miguel · Jorge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DEFENSA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3 y 4 de septiembre de 2026</w:t>
            </w:r>
          </w:p>
        </w:tc>
      </w:tr>
    </w:tbl>
    <w:p>
      <w:pPr>
        <w:spacing w:before="600"/>
        <w:jc w:val="center"/>
      </w:pPr>
      <w:r>
        <w:rPr>
          <w:rFonts w:ascii="Calibri" w:hAnsi="Calibri"/>
          <w:b/>
          <w:color w:val="17365D"/>
          <w:sz w:val="30"/>
        </w:rPr>
        <w:t>ONDA</w:t>
      </w:r>
    </w:p>
    <w:p>
      <w:r>
        <w:br w:type="page"/>
      </w:r>
    </w:p>
    <w:p>
      <w:pPr>
        <w:pStyle w:val="Heading1"/>
      </w:pPr>
      <w:r>
        <w:t>Resumen ejecutivo</w:t>
      </w:r>
    </w:p>
    <w:p>
      <w:pPr>
        <w:keepLines w:val="0"/>
      </w:pPr>
      <w:r>
        <w:t>Este informe documenta el diseño, entrenamiento, evaluación e integración de un sistema web capaz de clasificar seis sonidos ambientales reales: claxon, ladrido, aplausos, lluvia, sirena y helicóptero. Se utilizaron 240 grabaciones de ESC-50 —40 por clase— y se respetaron sus folds oficiales para evitar fuga de información. La entrada de audio se transforma en un Mel-espectrograma de 64 × 320 × 1 y se procesa con una CNN ligera de 89.286 parámetros.</w:t>
      </w:r>
    </w:p>
    <w:p>
      <w:pPr>
        <w:keepLines w:val="0"/>
      </w:pPr>
      <w:r>
        <w:t>Se compararon Adam y SGD con Momentum sobre la misma arquitectura, datos, semilla y presupuesto de 70 épocas. SGD fue seleccionado por lograr 100 % de accuracy de validación y 89,58 % de accuracy en prueba (43 aciertos de 48), con F1 macro de 89,29 %. El modelo resultante se integró en Flask con una interfaz para escuchar ejemplos, cargar o grabar audio y visualizar la clase junto con sus seis probabilidades.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rPr>
          <w:cantSplit w:val="true"/>
        </w:trP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855A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60"/>
            </w:pPr>
            <w:r>
              <w:rPr>
                <w:b/>
                <w:color w:val="17365D"/>
              </w:rPr>
              <w:t>Resultado principal</w:t>
            </w:r>
          </w:p>
          <w:p>
            <w:pPr>
              <w:spacing w:after="0"/>
            </w:pPr>
            <w:r>
              <w:rPr>
                <w:color w:val="1F2937"/>
              </w:rPr>
              <w:t>El 60 % del dataset se destinó al entrenamiento, 20 % a validación y 20 % a prueba. El conjunto de prueba permaneció aislado hasta la evaluación final.</w:t>
            </w:r>
          </w:p>
        </w:tc>
      </w:tr>
    </w:tbl>
    <w:p>
      <w:pPr>
        <w:spacing w:after="0"/>
      </w:pPr>
    </w:p>
    <w:p>
      <w:pPr>
        <w:pStyle w:val="Heading2"/>
      </w:pPr>
      <w:r>
        <w:t>Contenido del informe</w:t>
      </w:r>
    </w:p>
    <w:p>
      <w:pPr>
        <w:pStyle w:val="ListNumber"/>
        <w:numPr>
          <w:ilvl w:val="0"/>
          <w:numId w:val="10"/>
        </w:numPr>
      </w:pPr>
      <w:r>
        <w:t>Introducción y planteamiento del problema</w:t>
      </w:r>
    </w:p>
    <w:p>
      <w:pPr>
        <w:pStyle w:val="ListNumber"/>
        <w:numPr>
          <w:ilvl w:val="0"/>
          <w:numId w:val="10"/>
        </w:numPr>
      </w:pPr>
      <w:r>
        <w:t>Objetivos general y específicos</w:t>
      </w:r>
    </w:p>
    <w:p>
      <w:pPr>
        <w:pStyle w:val="ListNumber"/>
        <w:numPr>
          <w:ilvl w:val="0"/>
          <w:numId w:val="10"/>
        </w:numPr>
      </w:pPr>
      <w:r>
        <w:t>Desarrollo y arquitectura del sistema</w:t>
      </w:r>
    </w:p>
    <w:p>
      <w:pPr>
        <w:pStyle w:val="ListNumber"/>
        <w:numPr>
          <w:ilvl w:val="0"/>
          <w:numId w:val="10"/>
        </w:numPr>
      </w:pPr>
      <w:r>
        <w:t>Dataset ESC-50, partición y preprocesamiento</w:t>
      </w:r>
    </w:p>
    <w:p>
      <w:pPr>
        <w:pStyle w:val="ListNumber"/>
        <w:numPr>
          <w:ilvl w:val="0"/>
          <w:numId w:val="10"/>
        </w:numPr>
      </w:pPr>
      <w:r>
        <w:t>Arquitectura CNN y proceso de entrenamiento</w:t>
      </w:r>
    </w:p>
    <w:p>
      <w:pPr>
        <w:pStyle w:val="ListNumber"/>
        <w:numPr>
          <w:ilvl w:val="0"/>
          <w:numId w:val="10"/>
        </w:numPr>
      </w:pPr>
      <w:r>
        <w:t>Resultados, conclusiones y recomendaciones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keepLines w:val="0"/>
      </w:pPr>
      <w:r>
        <w:t>El reconocimiento automático de sonidos permite convertir una señal acústica en información útil para monitoreo, seguridad, accesibilidad e interacción humano–máquina. A diferencia del reconocimiento de voz, este proyecto se concentra en eventos ambientales que pueden ser identificados de forma intuitiva por el público antes de probar el sistema.</w:t>
      </w:r>
    </w:p>
    <w:p>
      <w:pPr>
        <w:keepLines w:val="0"/>
      </w:pPr>
      <w:r>
        <w:t>El proyecto propone una solución completa: preparación de datos reales, transformación de audio, entrenamiento de una red neuronal convolucional, evaluación controlada e integración web. La aplicación denominada ONDA permite comparar la percepción humana con la predicción de la CNN y hace visible la distribución de probabilidades, no solo la etiqueta ganadora.</w:t>
      </w:r>
    </w:p>
    <w:p>
      <w:pPr>
        <w:pStyle w:val="Heading2"/>
      </w:pPr>
      <w:r>
        <w:t>1.1 Planteamiento del problema</w:t>
      </w:r>
    </w:p>
    <w:p>
      <w:pPr>
        <w:keepLines w:val="0"/>
      </w:pPr>
      <w:r>
        <w:t>Una señal de audio es una secuencia temporal extensa y sensible al volumen, al ruido y a la duración. Para clasificarla de forma consistente es necesario normalizarla, representar su contenido espectral y entrenar un modelo con ejemplos suficientemente variados. Además, una demostración académica debe ser reproducible y separar estrictamente los datos usados para entrenar de los usados para evaluar.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rPr>
          <w:cantSplit w:val="true"/>
        </w:trP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60"/>
            </w:pPr>
            <w:r>
              <w:rPr>
                <w:b/>
                <w:color w:val="17365D"/>
              </w:rPr>
              <w:t>Pregunta de trabajo</w:t>
            </w:r>
          </w:p>
          <w:p>
            <w:pPr>
              <w:spacing w:after="0"/>
            </w:pPr>
            <w:r>
              <w:rPr>
                <w:color w:val="1F2937"/>
              </w:rPr>
              <w:t>¿Puede una CNN compacta distinguir seis eventos ambientales reales a partir de Mel-espectrogramas y ofrecer sus resultados en una aplicación web interactiva?</w:t>
            </w:r>
          </w:p>
        </w:tc>
      </w:tr>
    </w:tbl>
    <w:p>
      <w:pPr>
        <w:spacing w:after="0"/>
      </w:pPr>
    </w:p>
    <w:p>
      <w:pPr>
        <w:pStyle w:val="Heading2"/>
      </w:pPr>
      <w:r>
        <w:t>1.2 Alcance</w:t>
      </w:r>
    </w:p>
    <w:p>
      <w:pPr>
        <w:pStyle w:val="ListBullet"/>
      </w:pPr>
      <w:r>
        <w:t>Clasificación cerrada de seis clases: claxon, ladrido, aplausos, lluvia, sirena y helicóptero.</w:t>
      </w:r>
    </w:p>
    <w:p>
      <w:pPr>
        <w:pStyle w:val="ListBullet"/>
      </w:pPr>
      <w:r>
        <w:t>Entrenamiento y evaluación con grabaciones reales de ESC-50.</w:t>
      </w:r>
    </w:p>
    <w:p>
      <w:pPr>
        <w:pStyle w:val="ListBullet"/>
      </w:pPr>
      <w:r>
        <w:t>Comparación controlada entre Adam y SGD con Momentum.</w:t>
      </w:r>
    </w:p>
    <w:p>
      <w:pPr>
        <w:pStyle w:val="ListBullet"/>
      </w:pPr>
      <w:r>
        <w:t>Aplicación web Flask con carga de archivos, micrófono, probabilidades y Mel-espectrograma.</w:t>
      </w:r>
    </w:p>
    <w:p>
      <w:pPr>
        <w:pStyle w:val="ListBullet"/>
      </w:pPr>
      <w:r>
        <w:t>Preparación para despliegue académico en Railway mediante Docker y Gunicorn.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general</w:t>
      </w:r>
    </w:p>
    <w:p>
      <w:pPr>
        <w:keepLines w:val="0"/>
      </w:pPr>
      <w:r>
        <w:t>Desarrollar e integrar un sistema web de reconocimiento de audio basado en una red neuronal convolucional que clasifique seis sonidos ambientales reales y presente al usuario la predicción, la confianza y la probabilidad de cada clase.</w:t>
      </w:r>
    </w:p>
    <w:p>
      <w:pPr>
        <w:pStyle w:val="Heading2"/>
      </w:pPr>
      <w:r>
        <w:t>2.2 Objetivos específicos</w:t>
      </w:r>
    </w:p>
    <w:p>
      <w:pPr>
        <w:pStyle w:val="ListBullet"/>
      </w:pPr>
      <w:r>
        <w:t>Construir un subconjunto balanceado y auditable de ESC-50 con 240 grabaciones reales.</w:t>
      </w:r>
    </w:p>
    <w:p>
      <w:pPr>
        <w:pStyle w:val="ListBullet"/>
      </w:pPr>
      <w:r>
        <w:t>Aplicar un preprocesamiento idéntico durante entrenamiento e inferencia.</w:t>
      </w:r>
    </w:p>
    <w:p>
      <w:pPr>
        <w:pStyle w:val="ListBullet"/>
      </w:pPr>
      <w:r>
        <w:t>Diseñar una CNN ligera para entradas Mel-espectrograma de 64 × 320 × 1.</w:t>
      </w:r>
    </w:p>
    <w:p>
      <w:pPr>
        <w:pStyle w:val="ListBullet"/>
      </w:pPr>
      <w:r>
        <w:t>Comparar Adam y SGD con Momentum manteniendo constantes la arquitectura, los datos y la semilla.</w:t>
      </w:r>
    </w:p>
    <w:p>
      <w:pPr>
        <w:pStyle w:val="ListBullet"/>
      </w:pPr>
      <w:r>
        <w:t>Medir accuracy, precision, recall, F1 macro y matriz de confusión sobre datos no vistos.</w:t>
      </w:r>
    </w:p>
    <w:p>
      <w:pPr>
        <w:pStyle w:val="ListBullet"/>
      </w:pPr>
      <w:r>
        <w:t>Integrar el modelo seleccionado en una interfaz web clara y desplegable.</w:t>
      </w:r>
    </w:p>
    <w:p>
      <w:r>
        <w:br w:type="page"/>
      </w:r>
    </w:p>
    <w:p>
      <w:pPr>
        <w:pStyle w:val="Heading1"/>
      </w:pPr>
      <w:r>
        <w:t>3. Desarrollo del sistema</w:t>
      </w:r>
    </w:p>
    <w:p>
      <w:pPr>
        <w:keepLines w:val="0"/>
      </w:pPr>
      <w:r>
        <w:t>El desarrollo se organizó como un pipeline reproducible. Los datos se preparan una sola vez; el entrenamiento genera el modelo y las evidencias; el servidor reutiliza la misma función de preprocesamiento y el frontend consume una API JSON. Esta separación reduce inconsistencias entre laboratorio y producción.</w:t>
      </w:r>
    </w:p>
    <w:p>
      <w:pPr>
        <w:pStyle w:val="Heading2"/>
      </w:pPr>
      <w:r>
        <w:t>3.1 Flujo funcional</w:t>
      </w:r>
    </w:p>
    <w:p>
      <w:pPr>
        <w:pStyle w:val="ListNumber"/>
        <w:numPr>
          <w:ilvl w:val="0"/>
          <w:numId w:val="11"/>
        </w:numPr>
      </w:pPr>
      <w:r>
        <w:t>El usuario escucha ejemplos de las seis clases o aporta un audio propio.</w:t>
      </w:r>
    </w:p>
    <w:p>
      <w:pPr>
        <w:pStyle w:val="ListNumber"/>
        <w:numPr>
          <w:ilvl w:val="0"/>
          <w:numId w:val="11"/>
        </w:numPr>
      </w:pPr>
      <w:r>
        <w:t>El backend valida el formato y limita el tamaño del archivo.</w:t>
      </w:r>
    </w:p>
    <w:p>
      <w:pPr>
        <w:pStyle w:val="ListNumber"/>
        <w:numPr>
          <w:ilvl w:val="0"/>
          <w:numId w:val="11"/>
        </w:numPr>
      </w:pPr>
      <w:r>
        <w:t>La señal se convierte a mono, 16 kHz y cinco segundos.</w:t>
      </w:r>
    </w:p>
    <w:p>
      <w:pPr>
        <w:pStyle w:val="ListNumber"/>
        <w:numPr>
          <w:ilvl w:val="0"/>
          <w:numId w:val="11"/>
        </w:numPr>
      </w:pPr>
      <w:r>
        <w:t>Se calcula y normaliza el Mel-espectrograma.</w:t>
      </w:r>
    </w:p>
    <w:p>
      <w:pPr>
        <w:pStyle w:val="ListNumber"/>
        <w:numPr>
          <w:ilvl w:val="0"/>
          <w:numId w:val="11"/>
        </w:numPr>
      </w:pPr>
      <w:r>
        <w:t>La CNN produce seis probabilidades mediante Softmax.</w:t>
      </w:r>
    </w:p>
    <w:p>
      <w:pPr>
        <w:pStyle w:val="ListNumber"/>
        <w:numPr>
          <w:ilvl w:val="0"/>
          <w:numId w:val="11"/>
        </w:numPr>
      </w:pPr>
      <w:r>
        <w:t>La interfaz muestra la clase principal, confianza, probabilidades y representación espectral.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327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27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Figura 1. Arquitectura del modelo y flujo de tensores.</w:t>
      </w:r>
    </w:p>
    <w:p>
      <w:pPr>
        <w:pStyle w:val="Heading2"/>
      </w:pPr>
      <w:r>
        <w:t>3.2 Componentes implementados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252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Componente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Responsabilidad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Tecnología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Preparación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Selecciona clases, conserva folds y genera el manifiesto.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Señal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Carga, remuestrea, recorta, normaliza y calcula Mels.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librosa / NumPy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Modelo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Entrena, compara optimizadores y exporta evidencias.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TensorFlow / Keras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 audio, ejecuta inferencia y devuelve JSON.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Flask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Captura o carga audio y presenta resultados.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HTML / CSS / JavaScript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Despliegue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Ejecuta un proceso web reproducible.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 / Gunicorn / Railway</w:t>
            </w:r>
          </w:p>
        </w:tc>
      </w:tr>
    </w:tbl>
    <w:p>
      <w:pPr>
        <w:spacing w:after="0"/>
      </w:pPr>
    </w:p>
    <w:p>
      <w:pPr>
        <w:pStyle w:val="Heading1"/>
      </w:pPr>
      <w:r>
        <w:t>4. Dataset ESC-50</w:t>
      </w:r>
    </w:p>
    <w:p>
      <w:pPr>
        <w:keepLines w:val="0"/>
      </w:pPr>
      <w:r>
        <w:t>ESC-50 es un conjunto público de sonidos ambientales organizado en 50 categorías, con grabaciones de cinco segundos y cinco folds oficiales. Para este proyecto se escogieron seis categorías auditivamente reconocibles y se conservaron las 40 muestras disponibles de cada una. El subconjunto final contiene 240 WAV reales y balanceados.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840"/>
        <w:gridCol w:w="1920"/>
      </w:tblGrid>
      <w:tr>
        <w:trPr>
          <w:tblHeader w:val="true"/>
          <w:cantSplit w:val="true"/>
        </w:trP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Clase de la aplicación</w:t>
            </w:r>
          </w:p>
        </w:tc>
        <w:tc>
          <w:tcPr>
            <w:tcW w:type="dxa" w:w="3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Categoría ESC-50</w:t>
            </w:r>
          </w:p>
        </w:tc>
        <w:tc>
          <w:tcPr>
            <w:tcW w:type="dxa" w:w="1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Muestras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Claxon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car_horn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Ladrido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dog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Aplausos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clapping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Lluvia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rain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Sirena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siren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Helicóptero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helicopter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</w:tr>
    </w:tbl>
    <w:p>
      <w:pPr>
        <w:spacing w:after="0"/>
      </w:pPr>
    </w:p>
    <w:p>
      <w:pPr>
        <w:pStyle w:val="Heading2"/>
      </w:pPr>
      <w:r>
        <w:t>4.1 Partición experimental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1350"/>
        <w:gridCol w:w="1620"/>
        <w:gridCol w:w="1920"/>
        <w:gridCol w:w="1920"/>
      </w:tblGrid>
      <w:tr>
        <w:trPr>
          <w:tblHeader w:val="true"/>
          <w:cantSplit w:val="true"/>
        </w:trPr>
        <w:tc>
          <w:tcPr>
            <w:tcW w:type="dxa" w:w="2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Uso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Folds</w:t>
            </w:r>
          </w:p>
        </w:tc>
        <w:tc>
          <w:tcPr>
            <w:tcW w:type="dxa" w:w="1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Audios</w:t>
            </w:r>
          </w:p>
        </w:tc>
        <w:tc>
          <w:tcPr>
            <w:tcW w:type="dxa" w:w="1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Porcentaje</w:t>
            </w:r>
          </w:p>
        </w:tc>
        <w:tc>
          <w:tcPr>
            <w:tcW w:type="dxa" w:w="1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Por clase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Entrenamiento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1–3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144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60 %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Validación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48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20 %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Prueba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48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20 %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rPr>
          <w:cantSplit w:val="true"/>
        </w:trP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855A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60"/>
            </w:pPr>
            <w:r>
              <w:rPr>
                <w:b/>
                <w:color w:val="17365D"/>
              </w:rPr>
              <w:t>Control contra fuga de datos</w:t>
            </w:r>
          </w:p>
          <w:p>
            <w:pPr>
              <w:spacing w:after="0"/>
            </w:pPr>
            <w:r>
              <w:rPr>
                <w:color w:val="1F2937"/>
              </w:rPr>
              <w:t>La selección del modelo se realizó únicamente con validación. Los 48 audios del fold 5 no intervinieron en el ajuste ni en la comparación de optimizadores y se usaron una sola vez para la evaluación final.</w:t>
            </w:r>
          </w:p>
        </w:tc>
      </w:tr>
    </w:tbl>
    <w:p>
      <w:pPr>
        <w:spacing w:after="0"/>
      </w:pPr>
    </w:p>
    <w:p>
      <w:pPr>
        <w:keepLines w:val="0"/>
      </w:pPr>
      <w:r>
        <w:t>El manifiesto dataset/esc50/manifest.csv conserva la etiqueta, el fold, el archivo original y la referencia de Freesound. results/dataset_split.csv registra la asignación efectiva de cada muestra, lo que permite auditar el experimento. ESC-50 se distribuye bajo licencia CC BY-NC; por ello el uso y la demostración deben mantenerse académicos y no comerciales.</w:t>
      </w:r>
    </w:p>
    <w:p>
      <w:r>
        <w:br w:type="page"/>
      </w:r>
    </w:p>
    <w:p>
      <w:pPr>
        <w:pStyle w:val="Heading1"/>
      </w:pPr>
      <w:r>
        <w:t>5. Preprocesamiento y representación</w:t>
      </w:r>
    </w:p>
    <w:p>
      <w:pPr>
        <w:keepLines w:val="0"/>
      </w:pPr>
      <w:r>
        <w:t>El audio no se entrega directamente a la red. Se transforma en una imagen tiempo–frecuencia que conserva patrones relevantes, como energía continua, impulsos breves y armónicos. El procedimiento es idéntico en entrenamiento y producción.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4680"/>
      </w:tblGrid>
      <w:tr>
        <w:trPr>
          <w:tblHeader w:val="true"/>
          <w:cantSplit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Etapa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Configuración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Propósito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Canales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Conversión a mono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Unificar la forma de entrada.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Muestreo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16.000 Hz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Reducir costo y conservar el rango útil.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Duración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5,0 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Recortar o completar con ceros.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Limpieza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Recorte lateral + normalización por pico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Disminuir silencios y diferencias de volumen.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STFT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FFT 512; hop 256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Obtener evolución espectral.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Mel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64 bandas; 50–7.600 Hz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Aproximar resolución auditiva.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Escala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80 dB, normalizada a [0,1]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Estabilizar el entrenamiento.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Tensor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64 × 320 × 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Entrada fija para la CNN.</w:t>
            </w:r>
          </w:p>
        </w:tc>
      </w:tr>
    </w:tbl>
    <w:p>
      <w:pPr>
        <w:spacing w:after="0"/>
      </w:pPr>
    </w:p>
    <w:p>
      <w:pPr>
        <w:pStyle w:val="Heading2"/>
      </w:pPr>
      <w:r>
        <w:t>5.1 Aumento de datos</w:t>
      </w:r>
    </w:p>
    <w:p>
      <w:pPr>
        <w:keepLines w:val="0"/>
      </w:pPr>
      <w:r>
        <w:t>Durante el entrenamiento se aplicaron variaciones leves de posición temporal, contraste y ruido gaussiano. Estas transformaciones se calculan al vuelo y no alteran los WAV originales. Se desactivan automáticamente durante validación, prueba e inferencia para que las métricas sean comparables.</w:t>
      </w:r>
    </w:p>
    <w:p>
      <w:pPr>
        <w:pStyle w:val="Heading1"/>
      </w:pPr>
      <w:r>
        <w:t>6. Arquitectura CNN utilizada</w:t>
      </w:r>
    </w:p>
    <w:p>
      <w:pPr>
        <w:keepLines w:val="0"/>
      </w:pPr>
      <w:r>
        <w:t>La red tiene 89.286 parámetros y combina extracción local de patrones con dos resúmenes temporales. El promedio temporal representa texturas sostenidas como lluvia o helicóptero; el máximo temporal preserva eventos cortos e intensos como claxon o aplausos. Ambos vectores se concatenan antes de la clasificación.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3900"/>
        <w:gridCol w:w="3510"/>
      </w:tblGrid>
      <w:tr>
        <w:trPr>
          <w:tblHeader w:val="true"/>
          <w:cantSplit w:val="true"/>
        </w:trPr>
        <w:tc>
          <w:tcPr>
            <w:tcW w:type="dxa" w:w="1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Bloque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Operación principal</w:t>
            </w:r>
          </w:p>
        </w:tc>
        <w:tc>
          <w:tcPr>
            <w:tcW w:type="dxa" w:w="35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Salida conceptual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Entrada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Mel-espectrograma normalizado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64 × 320 × 1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Convolucional 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Conv2D 16 + ReLU + MaxPool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Patrones locales básicos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Convolucional 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Conv2D 32 + ReLU + MaxPool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Texturas intermedias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Convolucional 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Conv2D 64 + ReLU + MaxPool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Rasgos de alto nivel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Resumen temporal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Promedio + máximo en dos ramas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Contexto sostenido y transitorio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Cabeza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Concatenación + Dense 64 + Dropout 0,35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Vector discriminativo</w:t>
            </w:r>
          </w:p>
        </w:tc>
      </w:tr>
      <w:tr>
        <w:trPr>
          <w:cantSplit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Salida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Dense 6 + Softmax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Probabilidad por clase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rPr>
          <w:cantSplit w:val="true"/>
        </w:trP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60"/>
            </w:pPr>
            <w:r>
              <w:rPr>
                <w:b/>
                <w:color w:val="17365D"/>
              </w:rPr>
              <w:t>Por qué una CNN</w:t>
            </w:r>
          </w:p>
          <w:p>
            <w:pPr>
              <w:spacing w:after="0"/>
            </w:pPr>
            <w:r>
              <w:rPr>
                <w:color w:val="1F2937"/>
              </w:rPr>
              <w:t>Las convoluciones comparten filtros sobre el espectrograma, detectan patrones sin depender de una posición exacta y requieren menos parámetros que una red totalmente conectada sobre todos los píxeles.</w:t>
            </w:r>
          </w:p>
        </w:tc>
      </w:tr>
    </w:tbl>
    <w:p>
      <w:pPr>
        <w:spacing w:after="0"/>
      </w:pPr>
    </w:p>
    <w:p>
      <w:pPr>
        <w:pStyle w:val="Heading2"/>
      </w:pPr>
      <w:r>
        <w:t>6.1 Funciones de activación</w:t>
      </w:r>
    </w:p>
    <w:p>
      <w:pPr>
        <w:keepLines w:val="0"/>
      </w:pPr>
      <w:r>
        <w:t>Las tres capas convolucionales y la capa Dense de 64 unidades utilizan ReLU. Esta activación conserva los valores positivos, anula los negativos y permite aprender relaciones no lineales con un cálculo sencillo. Frente a Sigmoid o Tanh, ReLU reduce la saturación en la zona positiva y disminuye el riesgo de gradientes muy pequeños en una red de esta profundidad.</w:t>
      </w:r>
    </w:p>
    <w:p>
      <w:pPr>
        <w:keepLines w:val="0"/>
      </w:pPr>
      <w:r>
        <w:t>La capa final utiliza Softmax porque las seis categorías son mutuamente excluyentes. Softmax convierte los seis logits en valores entre 0 y 1 cuya suma es 1; la clase con mayor valor se presenta como predicción principal. No se utilizó Sigmoid en la salida porque no se trata de una clasificación multietiqueta.</w:t>
      </w:r>
    </w:p>
    <w:p>
      <w:pPr>
        <w:pStyle w:val="Heading2"/>
      </w:pPr>
      <w:r>
        <w:t>6.2 Forward pass y backpropagation</w:t>
      </w:r>
    </w:p>
    <w:p>
      <w:pPr>
        <w:keepLines w:val="0"/>
      </w:pPr>
      <w:r>
        <w:t>En el forward pass, cada lote de Mel-espectrogramas atraviesa los bloques convolucionales, las ramas de resumen temporal, la capa Dense y Softmax hasta producir seis probabilidades. La pérdida sparse categorical crossentropy compara esas probabilidades con la etiqueta real y cuantifica el error del lote.</w:t>
      </w:r>
    </w:p>
    <w:p>
      <w:pPr>
        <w:keepLines w:val="0"/>
      </w:pPr>
      <w:r>
        <w:t>En la backpropagation, TensorFlow aplica diferenciación automática para calcular el gradiente de la pérdida con respecto a cada peso. Adam o SGD + Momentum utilizan esos gradientes para actualizar los parámetros en sentido contrario al error. Este ciclo se repite por cada batch y época; durante validación, prueba e inferencia solo se ejecuta el forward pass, sin modificar pesos.</w:t>
      </w:r>
    </w:p>
    <w:p>
      <w:r>
        <w:br w:type="page"/>
      </w:r>
    </w:p>
    <w:p>
      <w:pPr>
        <w:pStyle w:val="Heading1"/>
      </w:pPr>
      <w:r>
        <w:t>7. Entrenamiento y diseño experimental</w:t>
      </w:r>
    </w:p>
    <w:p>
      <w:pPr>
        <w:keepLines w:val="0"/>
      </w:pPr>
      <w:r>
        <w:t>Se entrenaron dos copias de la misma CNN para aislar el efecto del optimizador. La arquitectura, los folds, el preprocesamiento, el batch, la semilla y el máximo de épocas permanecieron constantes. La función de pérdida fue entropía cruzada categórica dispersa y la métrica de seguimiento fue accuracy.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60"/>
        <w:gridCol w:w="6300"/>
      </w:tblGrid>
      <w:tr>
        <w:trPr>
          <w:tblHeader w:val="true"/>
          <w:cantSplit w:val="true"/>
        </w:trPr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Parámetro</w:t>
            </w:r>
          </w:p>
        </w:tc>
        <w:tc>
          <w:tcPr>
            <w:tcW w:type="dxa" w:w="6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Semilla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2026</w:t>
            </w:r>
          </w:p>
        </w:tc>
      </w:tr>
      <w:tr>
        <w:trPr>
          <w:cantSplit w:val="true"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Batch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Máximo de épocas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70 por experimento</w:t>
            </w:r>
          </w:p>
        </w:tc>
      </w:tr>
      <w:tr>
        <w:trPr>
          <w:cantSplit w:val="true"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Pérdida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Sparse categorical crossentropy</w:t>
            </w:r>
          </w:p>
        </w:tc>
      </w:tr>
      <w:tr>
        <w:trPr>
          <w:cantSplit w:val="true"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Adam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Learning rate inicial 0,001</w:t>
            </w:r>
          </w:p>
        </w:tc>
      </w:tr>
      <w:tr>
        <w:trPr>
          <w:cantSplit w:val="true"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SGD + Momentum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Learning rate inicial 0,01; momentum 0,9</w:t>
            </w:r>
          </w:p>
        </w:tc>
      </w:tr>
      <w:tr>
        <w:trPr>
          <w:cantSplit w:val="true"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Early stopping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Paciencia 12; restauración de los mejores pesos</w:t>
            </w:r>
          </w:p>
        </w:tc>
      </w:tr>
      <w:tr>
        <w:trPr>
          <w:cantSplit w:val="true"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Reducción de LR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ReduceLROnPlateau; factor 0,5</w:t>
            </w:r>
          </w:p>
        </w:tc>
      </w:tr>
      <w:tr>
        <w:trPr>
          <w:cantSplit w:val="true"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Regla de selección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Mayor accuracy de validación; luego menor loss</w:t>
            </w:r>
          </w:p>
        </w:tc>
      </w:tr>
    </w:tbl>
    <w:p>
      <w:pPr>
        <w:spacing w:after="0"/>
      </w:pPr>
    </w:p>
    <w:p>
      <w:pPr>
        <w:pStyle w:val="Heading2"/>
      </w:pPr>
      <w:r>
        <w:t>7.1 Épocas ejecutadas</w:t>
      </w:r>
    </w:p>
    <w:p>
      <w:pPr>
        <w:keepLines w:val="0"/>
      </w:pPr>
      <w:r>
        <w:t>Adam y SGD completaron las 70 épocas configuradas porque sus mejores resultados aparecieron cerca del final del presupuesto. Adam alcanzó su mejor validación en la época 60; SGD + Momentum, en la época 62. Para evaluar se restauraron los pesos de esas mejores épocas, no necesariamente los de la época 70.</w:t>
      </w:r>
    </w:p>
    <w:p>
      <w:pPr>
        <w:pStyle w:val="Heading2"/>
      </w:pPr>
      <w:r>
        <w:t>7.2 Comparación de optimizadores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13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r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1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Figura 2. Curvas de accuracy y loss para Adam y SGD + Momentum.</w:t>
      </w:r>
    </w:p>
    <w:p>
      <w:pPr>
        <w:keepLines w:val="0"/>
      </w:pPr>
      <w:r>
        <w:t>La decisión se tomó antes de consultar las etiquetas del test. SGD logró 100 % de accuracy de validación y una loss de 0,0883, frente a 97,92 % y 0,0992 de Adam. Por la regla definida, SGD fue promovido como modelo final.</w:t>
      </w:r>
    </w:p>
    <w:p>
      <w:pPr>
        <w:pStyle w:val="Heading2"/>
      </w:pPr>
      <w:r>
        <w:t>7.3 Diagnóstico del aprendizaje</w:t>
      </w:r>
    </w:p>
    <w:p>
      <w:pPr>
        <w:pStyle w:val="ListBullet"/>
      </w:pPr>
      <w:r>
        <w:t>Underfitting: no fue el problema dominante. Las curvas de entrenamiento y validación alcanzaron accuracies altas y la loss descendió de forma sostenida, por lo que la CNN sí tuvo capacidad para aprender el patrón de las seis clases.</w:t>
      </w:r>
    </w:p>
    <w:p>
      <w:pPr>
        <w:pStyle w:val="ListBullet"/>
      </w:pPr>
      <w:r>
        <w:t>Overfitting: existe un riesgo moderado por disponer de solo 40 audios por clase y por la diferencia entre 100 % de validación y 89,58 % de prueba. Se mitigó con aumento de datos, dropout 0,35, reducción del learning rate, early stopping y partición por folds.</w:t>
      </w:r>
    </w:p>
    <w:p>
      <w:pPr>
        <w:pStyle w:val="ListBullet"/>
      </w:pPr>
      <w:r>
        <w:t>Vanishing gradient: no se observaron señales claras en las curvas, aunque no se midieron los gradientes de forma directa. La red es relativamente corta, usa ReLU y entradas normalizadas; además, la mejora sostenida de accuracy y loss indica que el gradiente llegó a las capas iniciales durante el entrenamiento.</w:t>
      </w:r>
    </w:p>
    <w:p>
      <w:pPr>
        <w:pStyle w:val="Heading1"/>
      </w:pPr>
      <w:r>
        <w:t>8. Resultados y análisis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1320"/>
        <w:gridCol w:w="1560"/>
        <w:gridCol w:w="1320"/>
        <w:gridCol w:w="1680"/>
        <w:gridCol w:w="1440"/>
      </w:tblGrid>
      <w:tr>
        <w:trPr>
          <w:tblHeader w:val="true"/>
          <w:cantSplit w:val="true"/>
        </w:trPr>
        <w:tc>
          <w:tcPr>
            <w:tcW w:type="dxa" w:w="2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Optimizador</w:t>
            </w:r>
          </w:p>
        </w:tc>
        <w:tc>
          <w:tcPr>
            <w:tcW w:type="dxa" w:w="1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Mejor época</w:t>
            </w:r>
          </w:p>
        </w:tc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Accuracy val.</w:t>
            </w:r>
          </w:p>
        </w:tc>
        <w:tc>
          <w:tcPr>
            <w:tcW w:type="dxa" w:w="1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Loss val.</w:t>
            </w:r>
          </w:p>
        </w:tc>
        <w:tc>
          <w:tcPr>
            <w:tcW w:type="dxa" w:w="1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Accuracy test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F1 macro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Adam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97,92 %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0,0992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87,50 %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87,17 %</w:t>
            </w:r>
          </w:p>
        </w:tc>
      </w:tr>
      <w:tr>
        <w:trPr>
          <w:cantSplit w:val="true"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SGD + Momentum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100 %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0,0883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89,58 %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89,29 %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rPr>
          <w:cantSplit w:val="true"/>
        </w:trP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855A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60"/>
            </w:pPr>
            <w:r>
              <w:rPr>
                <w:b/>
                <w:color w:val="17365D"/>
              </w:rPr>
              <w:t>Modelo seleccionado: SGD + Momentum</w:t>
            </w:r>
          </w:p>
          <w:p>
            <w:pPr>
              <w:spacing w:after="0"/>
            </w:pPr>
            <w:r>
              <w:rPr>
                <w:color w:val="1F2937"/>
              </w:rPr>
              <w:t>43 aciertos de 48 audios de prueba · Accuracy 89,58 % · Precision macro 92,12 % · Recall macro 89,58 % · F1 macro 89,29 %.</w:t>
            </w:r>
          </w:p>
        </w:tc>
      </w:tr>
    </w:tbl>
    <w:p>
      <w:pPr>
        <w:spacing w:after="0"/>
      </w:pPr>
    </w:p>
    <w:p>
      <w:pPr>
        <w:pStyle w:val="Heading2"/>
      </w:pPr>
      <w:r>
        <w:t>8.1 Rendimiento por clase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1700"/>
        <w:gridCol w:w="1600"/>
        <w:gridCol w:w="1600"/>
        <w:gridCol w:w="19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Clase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Precision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Recall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F1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Aciertos / 8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Claxon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72,73 %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100 %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84,21 %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Ladrido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100 %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75 %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85,71 %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Aplausos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100 %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62,50 %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76,92 %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Lluvia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80 %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100 %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88,89 %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Sirena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100 %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100 %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100 %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Helicóptero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100 %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100 %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100 %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8.2 Matriz de confusión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74920" cy="47061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70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Figura 3. Matriz de confusión del modelo SGD sobre 48 audios de prueba.</w:t>
      </w:r>
    </w:p>
    <w:p>
      <w:pPr>
        <w:keepLines w:val="0"/>
      </w:pPr>
      <w:r>
        <w:t>Sirena y helicóptero fueron reconocidos sin errores. Claxon y lluvia alcanzaron recall de 100 %, aunque recibieron falsos positivos y por ello su precision fue menor. Aplausos presentó el recall más bajo: tres audios se confundieron, principalmente con texturas continuas. Esto sugiere que el modelo identifica bien eventos acústicamente distintivos, pero necesita mayor variedad para las clases con patrones irregulares.</w:t>
      </w:r>
    </w:p>
    <w:p>
      <w:pPr>
        <w:keepLines w:val="0"/>
      </w:pPr>
      <w:r>
        <w:t>La accuracy de validación superior a la de prueba no debe interpretarse como falla del sistema. Cada subconjunto contiene grabaciones distintas y el test puede incluir condiciones más difíciles. La métrica que debe comunicarse como rendimiento final es 89,58 % en prueba, no el 100 % de validación.</w:t>
      </w:r>
    </w:p>
    <w:p>
      <w:pPr>
        <w:pStyle w:val="Heading1"/>
      </w:pPr>
      <w:r>
        <w:t>9. Aplicación web e inferencia</w:t>
      </w:r>
    </w:p>
    <w:p>
      <w:pPr>
        <w:keepLines w:val="0"/>
      </w:pPr>
      <w:r>
        <w:t>El modelo se carga una sola vez al iniciar Flask. El usuario puede seleccionar un archivo o grabar desde el micrófono; el backend valida el tamaño y la extensión, guarda un temporal, aplica el preprocesamiento compartido y elimina el archivo al finalizar. La respuesta incluye etiqueta, confianza, seis probabilidades, tiempo aproximado y datos del espectrograma.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Elemento</w:t>
            </w:r>
          </w:p>
        </w:tc>
        <w:tc>
          <w:tcPr>
            <w:tcW w:type="dxa" w:w="6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Comportamiento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Ejemplos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Seis audios reales del fold 5 permiten conocer las clases antes de probar.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Entrada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Carga WAV/FLAC/MP3/OGG/M4A/WEBM o grabación de micrófono.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Clase principal, anillo de confianza y barras para las seis probabilidades.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Evidencia visual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Forma de onda y Mel-espectrograma del audio analizado.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 /api/predict; GET /api/status; GET /health.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Producción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Docker, Python 3.11 y Gunicorn con un worker para controlar memoria.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rPr>
          <w:cantSplit w:val="true"/>
        </w:trPr>
        <w:tc>
          <w:tcPr>
            <w:tcW w:type="dxa" w:w="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/>
        </w:tc>
        <w:tc>
          <w:tcPr>
            <w:tcW w:type="dxa" w:w="9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60"/>
            </w:pPr>
            <w:r>
              <w:rPr>
                <w:b/>
                <w:color w:val="17365D"/>
              </w:rPr>
              <w:t>Interpretación correcta de la confianza</w:t>
            </w:r>
          </w:p>
          <w:p>
            <w:pPr>
              <w:spacing w:after="0"/>
            </w:pPr>
            <w:r>
              <w:rPr>
                <w:color w:val="1F2937"/>
              </w:rPr>
              <w:t>Softmax reparte 100 % entre las seis clases conocidas. Una confianza alta no demuestra que el sonido pertenezca realmente a una de ellas; la versión actual no incluye una clase “desconocido”.</w:t>
            </w:r>
          </w:p>
        </w:tc>
      </w:tr>
    </w:tbl>
    <w:p>
      <w:pPr>
        <w:spacing w:after="0"/>
      </w:pPr>
    </w:p>
    <w:p>
      <w:pPr>
        <w:pStyle w:val="Heading1"/>
      </w:pPr>
      <w:r>
        <w:t>10. Limitaciones</w:t>
      </w:r>
    </w:p>
    <w:p>
      <w:pPr>
        <w:pStyle w:val="ListBullet"/>
      </w:pPr>
      <w:r>
        <w:t>Solo existen 40 grabaciones por clase; la diversidad acústica es limitada.</w:t>
      </w:r>
    </w:p>
    <w:p>
      <w:pPr>
        <w:pStyle w:val="ListBullet"/>
      </w:pPr>
      <w:r>
        <w:t>La evaluación utiliza un único fold de prueba de 48 audios.</w:t>
      </w:r>
    </w:p>
    <w:p>
      <w:pPr>
        <w:pStyle w:val="ListBullet"/>
      </w:pPr>
      <w:r>
        <w:t>La clasificación es cerrada: todo audio recibe una de las seis etiquetas.</w:t>
      </w:r>
    </w:p>
    <w:p>
      <w:pPr>
        <w:pStyle w:val="ListBullet"/>
      </w:pPr>
      <w:r>
        <w:t>Ruido intenso, distancia al micrófono o sonidos superpuestos pueden reducir el rendimiento.</w:t>
      </w:r>
    </w:p>
    <w:p>
      <w:pPr>
        <w:pStyle w:val="ListBullet"/>
      </w:pPr>
      <w:r>
        <w:t>Las probabilidades no han sido calibradas como una medida estadística de certeza.</w:t>
      </w:r>
    </w:p>
    <w:p>
      <w:pPr>
        <w:pStyle w:val="ListBullet"/>
      </w:pPr>
      <w:r>
        <w:t>La licencia CC BY-NC de ESC-50 restringe el uso a contextos no comerciales con atribución.</w:t>
      </w:r>
    </w:p>
    <w:p>
      <w:r>
        <w:br w:type="page"/>
      </w:r>
    </w:p>
    <w:p>
      <w:pPr>
        <w:pStyle w:val="Heading1"/>
      </w:pPr>
      <w:r>
        <w:t>11. Conclusiones</w:t>
      </w:r>
    </w:p>
    <w:p>
      <w:pPr>
        <w:pStyle w:val="ListNumber"/>
        <w:numPr>
          <w:ilvl w:val="0"/>
          <w:numId w:val="12"/>
        </w:numPr>
      </w:pPr>
      <w:r>
        <w:t>Se completó un sistema de extremo a extremo que une dataset real, procesamiento de señal, CNN, evaluación e interfaz web.</w:t>
      </w:r>
    </w:p>
    <w:p>
      <w:pPr>
        <w:pStyle w:val="ListNumber"/>
        <w:numPr>
          <w:ilvl w:val="0"/>
          <w:numId w:val="12"/>
        </w:numPr>
      </w:pPr>
      <w:r>
        <w:t>La partición 60 % entrenamiento, 20 % validación y 20 % prueba, basada en folds oficiales, permitió evaluar sin reutilizar muestras entre etapas.</w:t>
      </w:r>
    </w:p>
    <w:p>
      <w:pPr>
        <w:pStyle w:val="ListNumber"/>
        <w:numPr>
          <w:ilvl w:val="0"/>
          <w:numId w:val="12"/>
        </w:numPr>
      </w:pPr>
      <w:r>
        <w:t>La arquitectura de 89.286 parámetros fue suficiente para alcanzar 89,58 % de accuracy y 89,29 % de F1 macro sobre prueba.</w:t>
      </w:r>
    </w:p>
    <w:p>
      <w:pPr>
        <w:pStyle w:val="ListNumber"/>
        <w:numPr>
          <w:ilvl w:val="0"/>
          <w:numId w:val="12"/>
        </w:numPr>
      </w:pPr>
      <w:r>
        <w:t>SGD + Momentum superó a Adam bajo el protocolo fijado y fue seleccionado en la época 62 por su mejor resultado de validación.</w:t>
      </w:r>
    </w:p>
    <w:p>
      <w:pPr>
        <w:pStyle w:val="ListNumber"/>
        <w:numPr>
          <w:ilvl w:val="0"/>
          <w:numId w:val="12"/>
        </w:numPr>
      </w:pPr>
      <w:r>
        <w:t>La interfaz hace interpretable la salida al mostrar las seis probabilidades y permite que el público escuche las clases antes de realizar la demostración.</w:t>
      </w:r>
    </w:p>
    <w:p>
      <w:pPr>
        <w:pStyle w:val="ListNumber"/>
        <w:numPr>
          <w:ilvl w:val="0"/>
          <w:numId w:val="12"/>
        </w:numPr>
      </w:pPr>
      <w:r>
        <w:t>El rendimiento perfecto de algunas clases y la dificultad en aplausos evidencian que la separabilidad acústica y la variedad de ejemplos influyen directamente en el resultado.</w:t>
      </w:r>
    </w:p>
    <w:p>
      <w:pPr>
        <w:pStyle w:val="Heading1"/>
      </w:pPr>
      <w:r>
        <w:t>12. Recomendaciones</w:t>
      </w:r>
    </w:p>
    <w:p>
      <w:pPr>
        <w:pStyle w:val="ListBullet"/>
      </w:pPr>
      <w:r>
        <w:t>Ampliar el dataset con grabaciones propias y condiciones reales de Ecuador, manteniendo conjuntos separados por fuente.</w:t>
      </w:r>
    </w:p>
    <w:p>
      <w:pPr>
        <w:pStyle w:val="ListBullet"/>
      </w:pPr>
      <w:r>
        <w:t>Ejecutar validación cruzada sobre los cinco folds para estimar variabilidad y no depender de una única partición.</w:t>
      </w:r>
    </w:p>
    <w:p>
      <w:pPr>
        <w:pStyle w:val="ListBullet"/>
      </w:pPr>
      <w:r>
        <w:t>Agregar una clase desconocido o un umbral calibrado para rechazar audios fuera del dominio.</w:t>
      </w:r>
    </w:p>
    <w:p>
      <w:pPr>
        <w:pStyle w:val="ListBullet"/>
      </w:pPr>
      <w:r>
        <w:t>Reforzar especialmente aplausos y ladrido mediante más ejemplos, mezcla controlada de ruido y pruebas de micrófono.</w:t>
      </w:r>
    </w:p>
    <w:p>
      <w:pPr>
        <w:pStyle w:val="ListBullet"/>
      </w:pPr>
      <w:r>
        <w:t>Medir latencia, memoria y tamaño del modelo si se migra a un dispositivo embebido; evaluar cuantización TensorFlow Lite.</w:t>
      </w:r>
    </w:p>
    <w:p>
      <w:pPr>
        <w:pStyle w:val="ListBullet"/>
      </w:pPr>
      <w:r>
        <w:t>Mantener versionados el modelo, metadata, manifiesto y métricas para que toda cifra de la defensa sea rastreable.</w:t>
      </w:r>
    </w:p>
    <w:p>
      <w:pPr>
        <w:pStyle w:val="ListBullet"/>
      </w:pPr>
      <w:r>
        <w:t>En la exposición, comunicar 89,58 % como accuracy final de prueba y explicar que 100 % corresponde únicamente a validación.</w:t>
      </w:r>
    </w:p>
    <w:p>
      <w:pPr>
        <w:pStyle w:val="Heading1"/>
      </w:pPr>
      <w:r>
        <w:t>13. Reproducibilidad</w:t>
      </w:r>
    </w:p>
    <w:p>
      <w:pPr>
        <w:keepLines w:val="0"/>
      </w:pPr>
      <w:r>
        <w:t>El experimento puede reconstruirse con los scripts incluidos en el repositorio: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Acción</w:t>
            </w:r>
          </w:p>
        </w:tc>
        <w:tc>
          <w:tcPr>
            <w:tcW w:type="dxa" w:w="6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Comando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Preparar ESC-50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 -m src.prepare_esc50 --source-dir C:\tmp\ESC-50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Entrenar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 -m src.train --dataset-dir dataset\esc50 --epochs 70 --batch-size 16 --patience 12 --seed 2026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Probar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 -m pytest -q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Servidor local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 app.py</w:t>
            </w:r>
          </w:p>
        </w:tc>
      </w:tr>
    </w:tbl>
    <w:p>
      <w:pPr>
        <w:spacing w:after="0"/>
      </w:pPr>
    </w:p>
    <w:p>
      <w:pPr>
        <w:keepLines w:val="0"/>
      </w:pPr>
      <w:r>
        <w:t>Los artefactos clave son model/audio_classifier.keras, model/metadata.json, results/optimizer_metrics.csv, results/classification_report.json, results/test_predictions.csv y las figuras incluidas en este informe.</w:t>
      </w:r>
    </w:p>
    <w:p>
      <w:pPr>
        <w:pStyle w:val="Heading1"/>
      </w:pPr>
      <w:r>
        <w:t>Referencias</w:t>
      </w:r>
    </w:p>
    <w:p>
      <w:pPr>
        <w:pStyle w:val="ListNumber"/>
        <w:numPr>
          <w:ilvl w:val="0"/>
          <w:numId w:val="13"/>
        </w:numPr>
      </w:pPr>
      <w:r>
        <w:t>Piczak, K. J. (2015). ESC: Dataset for Environmental Sound Classification. Proceedings of ACM Multimedia. Repositorio ESC-50: https://github.com/karolpiczak/ESC-50</w:t>
      </w:r>
    </w:p>
    <w:p>
      <w:pPr>
        <w:pStyle w:val="ListNumber"/>
        <w:numPr>
          <w:ilvl w:val="0"/>
          <w:numId w:val="13"/>
        </w:numPr>
      </w:pPr>
      <w:r>
        <w:t>TensorFlow / Keras. Documentación oficial: https://www.tensorflow.org/</w:t>
      </w:r>
    </w:p>
    <w:p>
      <w:pPr>
        <w:pStyle w:val="ListNumber"/>
        <w:numPr>
          <w:ilvl w:val="0"/>
          <w:numId w:val="13"/>
        </w:numPr>
      </w:pPr>
      <w:r>
        <w:t>librosa. Audio and music signal analysis in Python: https://librosa.org/</w:t>
      </w:r>
    </w:p>
    <w:p>
      <w:pPr>
        <w:pStyle w:val="ListNumber"/>
        <w:numPr>
          <w:ilvl w:val="0"/>
          <w:numId w:val="13"/>
        </w:numPr>
      </w:pPr>
      <w:r>
        <w:t>Flask. Documentación oficial: https://flask.palletsprojects.com/</w:t>
      </w:r>
    </w:p>
    <w:p>
      <w:pPr>
        <w:keepLines w:val="0"/>
      </w:pPr>
      <w:r>
        <w:t>Fuente de resultados: artefactos generados por el entrenamiento del proyecto el 23 de agosto de 2026. Las cifras se expresan con redondeo a dos decimales; los valores completos permanecen en los archivos JSON y CSV del repositorio.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160"/>
    </w:tblGrid>
    <w:tr>
      <w:trPr>
        <w:cantSplit w:val="true"/>
      </w:trPr>
      <w:tc>
        <w:tcPr>
          <w:tcW w:type="dxa" w:w="7200"/>
          <w:tcMar>
            <w:top w:w="30" w:type="dxa"/>
            <w:start w:w="120" w:type="dxa"/>
            <w:bottom w:w="20" w:type="dxa"/>
            <w:end w:w="120" w:type="dxa"/>
          </w:tcMar>
          <w:vAlign w:val="center"/>
          <w:shd w:fill="FFFFFF"/>
        </w:tcPr>
        <w:p>
          <w:pPr>
            <w:spacing w:after="0"/>
          </w:pPr>
          <w:r>
            <w:rPr>
              <w:rFonts w:ascii="Calibri" w:hAnsi="Calibri"/>
              <w:color w:val="4B5563"/>
              <w:sz w:val="16"/>
            </w:rPr>
            <w:t>Sistemas Embebidos y Redes Neuronales · 2026_2</w:t>
          </w:r>
        </w:p>
      </w:tc>
      <w:tc>
        <w:tcPr>
          <w:tcW w:type="dxa" w:w="2160"/>
          <w:tcMar>
            <w:top w:w="30" w:type="dxa"/>
            <w:start w:w="120" w:type="dxa"/>
            <w:bottom w:w="20" w:type="dxa"/>
            <w:end w:w="120" w:type="dxa"/>
          </w:tcMar>
          <w:vAlign w:val="center"/>
          <w:shd w:fill="FFFFFF"/>
        </w:tcPr>
        <w:p>
          <w:pPr>
            <w:spacing w:after="0"/>
            <w:jc w:val="right"/>
          </w:pPr>
          <w:r>
            <w:rPr>
              <w:rFonts w:ascii="Calibri" w:hAnsi="Calibri"/>
              <w:color w:val="4B5563"/>
              <w:sz w:val="16"/>
            </w:rPr>
            <w:t xml:space="preserve">Pág.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4B5563"/>
        <w:sz w:val="16"/>
      </w:rPr>
      <w:t>Proyecto académico ·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500"/>
      <w:gridCol w:w="2860"/>
    </w:tblGrid>
    <w:tr>
      <w:trPr>
        <w:cantSplit w:val="true"/>
      </w:trPr>
      <w:tc>
        <w:tcPr>
          <w:tcW w:type="dxa" w:w="6500"/>
          <w:tcMar>
            <w:top w:w="20" w:type="dxa"/>
            <w:start w:w="120" w:type="dxa"/>
            <w:bottom w:w="30" w:type="dxa"/>
            <w:end w:w="120" w:type="dxa"/>
          </w:tcMar>
          <w:vAlign w:val="center"/>
          <w:shd w:fill="FFFFFF"/>
        </w:tcPr>
        <w:p>
          <w:pPr>
            <w:spacing w:after="0"/>
          </w:pPr>
          <w:r>
            <w:rPr>
              <w:rFonts w:ascii="Calibri" w:hAnsi="Calibri"/>
              <w:b/>
              <w:color w:val="17365D"/>
              <w:sz w:val="18"/>
            </w:rPr>
            <w:t>ONDA</w:t>
          </w:r>
        </w:p>
      </w:tc>
      <w:tc>
        <w:tcPr>
          <w:tcW w:type="dxa" w:w="2860"/>
          <w:tcMar>
            <w:top w:w="20" w:type="dxa"/>
            <w:start w:w="120" w:type="dxa"/>
            <w:bottom w:w="30" w:type="dxa"/>
            <w:end w:w="120" w:type="dxa"/>
          </w:tcMar>
          <w:vAlign w:val="center"/>
          <w:shd w:fill="FFFFFF"/>
        </w:tcPr>
        <w:p>
          <w:pPr>
            <w:spacing w:after="0"/>
            <w:jc w:val="right"/>
          </w:pPr>
          <w:r>
            <w:rPr>
              <w:rFonts w:ascii="Calibri" w:hAnsi="Calibri"/>
              <w:color w:val="4B5563"/>
              <w:sz w:val="16"/>
            </w:rPr>
            <w:t>INFORME TÉCNICO FINAL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4B556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 w:hanging="360"/>
      <w:contextualSpacing/>
    </w:pPr>
    <w:rPr>
      <w:rFonts w:ascii="Calibri" w:hAnsi="Calibri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 w:hanging="360"/>
      <w:contextualSpacing/>
    </w:pPr>
    <w:rPr>
      <w:rFonts w:ascii="Calibri" w:hAnsi="Calibri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/>
      <w:b/>
      <w:bCs/>
      <w:i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— Sistema web de reconocimiento de audio con redes neuronales</dc:title>
  <dc:subject>Clasificación de sonidos ambientales ESC-50 con CNN</dc:subject>
  <dc:creator>Erick, Miguel y Jorge</dc:creator>
  <cp:keywords>ESC-50, CNN, audio, Mel-espectrograma, Flask, Railway</cp:keywords>
  <dc:description>Informe generado a partir de los artefactos reales del proyecto ONDA.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