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210"/>
        <w:gridCol w:w="1125"/>
        <w:gridCol w:w="1410"/>
        <w:gridCol w:w="1410"/>
        <w:gridCol w:w="1410"/>
        <w:gridCol w:w="1500"/>
        <w:tblGridChange w:id="0">
          <w:tblGrid>
            <w:gridCol w:w="435"/>
            <w:gridCol w:w="3210"/>
            <w:gridCol w:w="1125"/>
            <w:gridCol w:w="1410"/>
            <w:gridCol w:w="1410"/>
            <w:gridCol w:w="141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Sprawdź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Nr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Komputer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  <w:br w:type="textWrapping"/>
              <w:t xml:space="preserve">Smartfon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  <w:br w:type="textWrapping"/>
              <w:t xml:space="preserve">tablet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Obszar testowania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Możliwość zarejestrowania się do aplikacji:</w:t>
              <w:br w:type="textWrapping"/>
              <w:t xml:space="preserve">a) Używając poprawnych danych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Używając niepoprawnych danych</w:t>
              <w:br w:type="textWrapping"/>
              <w:t xml:space="preserve">na 3 rodzajach urządzeń (PC,tablet,Smartfon)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TC01; TC03; TC01N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shd w:fill="ffe5a0" w:val="clear"/>
                <w:rtl w:val="0"/>
              </w:rPr>
              <w:t xml:space="preserve">w trakcie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sz w:val="20"/>
                <w:szCs w:val="20"/>
                <w:shd w:fill="b10202" w:val="clear"/>
                <w:rtl w:val="0"/>
              </w:rPr>
              <w:t xml:space="preserve">Nie 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sz w:val="20"/>
                <w:szCs w:val="20"/>
                <w:shd w:fill="b10202" w:val="clear"/>
                <w:rtl w:val="0"/>
              </w:rPr>
              <w:t xml:space="preserve">Nie 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Logowanie za pomocą formularza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Możliwość zalogowania się do aplikacji:</w:t>
              <w:br w:type="textWrapping"/>
              <w:t xml:space="preserve">a) Używając poprawnych danych</w:t>
              <w:br w:type="textWrapping"/>
              <w:t xml:space="preserve">b) Używając niepoprawnych danych</w:t>
              <w:br w:type="textWrapping"/>
              <w:t xml:space="preserve">na 3 rodzajach urządzeń (PC,tablet,Smartfon)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TC02;</w:t>
              <w:br w:type="textWrapping"/>
              <w:t xml:space="preserve">TC02N;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shd w:fill="ffe5a0" w:val="clear"/>
                <w:rtl w:val="0"/>
              </w:rPr>
              <w:t xml:space="preserve">w trakcie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Logowanie za pomocą formularza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Możliwość resetu hasła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Możliwość podglądu wpisanego hasła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TC06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Logowanie za pomocą formularza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wygląd i układ strony głównej oraz nagłówka jest zgodny z wymaganiami</w:t>
              <w:br w:type="textWrapping"/>
              <w:t xml:space="preserve">na 3 rodzajach urządzeń (PC,tablet,Smartfon)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BR4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Nagłówek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komunikat "Śmiało dodawaj więcej transakcji"! wyświetla się podczas pierwszego logowania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shd w:fill="11734b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opcja “Wyloguj” działa poprawnie - wyświetla się modal z tekstem: ,,Czy na pewno chcesz się wylogować?”: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a)użytkownik może go potwierdzić lub odrzucić używając poleceń zgodnie z wymaganiami.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TC04;</w:t>
              <w:br w:type="textWrapping"/>
              <w:t xml:space="preserve">TC04a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sz w:val="20"/>
                <w:szCs w:val="20"/>
                <w:shd w:fill="b10202" w:val="clear"/>
                <w:rtl w:val="0"/>
              </w:rPr>
              <w:t xml:space="preserve">Nie 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Nagłówek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logując się po raz pierwszy użytkownik zostaje przekierowany na stronę główną?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pole salda wyświetla poprawną wartość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ikona “strony głównej”działa poprawnie”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ikona “statystyk” działa poprawnie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na komputerze stacjonarnym i tablecie tabela transakcji znajduje się po prawej stronie i zawiera dane zgodne z wymaganiami?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w wersji mobilnej (iOS/Android) transakcje są wyświetlane osobno, każda w osobnej tabeli zgodnie z wymaganiami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ikona “+”działa poprawnie:</w:t>
              <w:br w:type="textWrapping"/>
              <w:t xml:space="preserve">- możliwość dodawania transakcji,</w:t>
              <w:br w:type="textWrapping"/>
              <w:t xml:space="preserve">- poprawność działania przycisków radiowych “Dochód” oraz “Wydatek”</w:t>
              <w:br w:type="textWrapping"/>
              <w:t xml:space="preserve">-poprawność działania przycisków “Dodaj” / “Anuluj”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TC08;</w:t>
              <w:br w:type="textWrapping"/>
              <w:t xml:space="preserve">TC09;</w:t>
              <w:br w:type="textWrapping"/>
              <w:t xml:space="preserve">TC36;</w:t>
              <w:br w:type="textWrapping"/>
              <w:t xml:space="preserve">TC37;</w:t>
              <w:br w:type="textWrapping"/>
              <w:t xml:space="preserve">TC37a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TC19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11734b" w:val="clear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11734b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11734b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11734b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Poprawność działania formularza transakcji “Dochód”</w:t>
              <w:br w:type="textWrapping"/>
              <w:t xml:space="preserve">a) testuj poprawnymi danymi;</w:t>
              <w:br w:type="textWrapping"/>
              <w:t xml:space="preserve">b) testuj błędnymi danymi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TC10;</w:t>
              <w:br w:type="textWrapping"/>
              <w:t xml:space="preserve">TC11;</w:t>
              <w:br w:type="textWrapping"/>
              <w:t xml:space="preserve">TC12;</w:t>
              <w:br w:type="textWrapping"/>
              <w:t xml:space="preserve">TC13;</w:t>
              <w:br w:type="textWrapping"/>
              <w:t xml:space="preserve">TC14;</w:t>
              <w:br w:type="textWrapping"/>
              <w:t xml:space="preserve">TC22;</w:t>
              <w:br w:type="textWrapping"/>
              <w:t xml:space="preserve">TC23a;</w:t>
              <w:br w:type="textWrapping"/>
              <w:t xml:space="preserve">TC23;</w:t>
              <w:br w:type="textWrapping"/>
              <w:t xml:space="preserve">TC24;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Poprawność działania formularza transakcji “Wydatek”</w:t>
              <w:br w:type="textWrapping"/>
              <w:t xml:space="preserve">a) testuj poprawnymi danymi;</w:t>
              <w:br w:type="textWrapping"/>
              <w:t xml:space="preserve">b) testuj błędnymi danymi;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30;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TC31;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TC16;</w:t>
              <w:br w:type="textWrapping"/>
              <w:t xml:space="preserve">TC17;</w:t>
              <w:br w:type="textWrapping"/>
              <w:t xml:space="preserve">TC18;</w:t>
              <w:br w:type="textWrapping"/>
              <w:t xml:space="preserve">TC19;</w:t>
              <w:br w:type="textWrapping"/>
              <w:t xml:space="preserve">TC20;</w:t>
              <w:br w:type="textWrapping"/>
              <w:t xml:space="preserve">TC21;</w:t>
              <w:br w:type="textWrapping"/>
              <w:t xml:space="preserve">TC25;</w:t>
              <w:br w:type="textWrapping"/>
              <w:t xml:space="preserve">TC26;</w:t>
              <w:br w:type="textWrapping"/>
              <w:t xml:space="preserve">TC27;</w:t>
              <w:br w:type="textWrapping"/>
              <w:t xml:space="preserve">TC32;</w:t>
              <w:br w:type="textWrapping"/>
              <w:t xml:space="preserve">TC33;</w:t>
              <w:br w:type="textWrapping"/>
              <w:t xml:space="preserve">TC34;</w:t>
              <w:br w:type="textWrapping"/>
              <w:t xml:space="preserve">TC35;</w:t>
              <w:br w:type="textWrapping"/>
              <w:t xml:space="preserve">TC39;</w:t>
              <w:br w:type="textWrapping"/>
              <w:t xml:space="preserve">TC40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sz w:val="20"/>
                <w:szCs w:val="20"/>
                <w:shd w:fill="b10202" w:val="clear"/>
                <w:rtl w:val="0"/>
              </w:rPr>
              <w:t xml:space="preserve">Nie 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dane na liście transakcji wyświetlają się zgodnie z wymaganiami zawartymi w specyfikacji.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TC28;</w:t>
              <w:br w:type="textWrapping"/>
              <w:t xml:space="preserve">TC29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przyciski radiowe “Dochód” oraz “Wydatek” zmieniają kolory zgodnie z wymaganiami?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uzupełnianie formularzy nieprawidłowymi danymi pokazuje użytkowniku komunikaty wyjaśniające błędy?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shd w:fill="11734b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kwoty dochodów i wydatków są wyświetlane kolorami zgodnie z wymaganiami?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główna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blok kursów wymiany walut zawiera dane zgodnie z wymaganiami?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TC41;</w:t>
              <w:br w:type="textWrapping"/>
              <w:t xml:space="preserve">TC42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6aa84f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38761d" w:val="clear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8761d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Blok kursów wymiany walut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użytkownik klikając ikonę “strony głównej” może powrócić do strony podsumowania transakcji?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statystyk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opcja przeglądania statystyk działa zgodnie z wymaganiami?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TC45;</w:t>
              <w:br w:type="textWrapping"/>
              <w:t xml:space="preserve">TC43;</w:t>
              <w:br w:type="textWrapping"/>
              <w:t xml:space="preserve">TC44;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TC46;</w:t>
              <w:br w:type="textWrapping"/>
              <w:t xml:space="preserve">TC47;</w:t>
              <w:br w:type="textWrapping"/>
              <w:t xml:space="preserve">TC48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Strona statystyk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jest dostępna opcja zmiany języka? Jeśli tak, to czy działa zgodnie z wymaganiami?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shd w:fill="11734b" w:val="clear"/>
                <w:rtl w:val="0"/>
              </w:rPr>
              <w:t xml:space="preserve">Działa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e5e5e5"/>
                <w:sz w:val="20"/>
                <w:szCs w:val="20"/>
                <w:shd w:fill="3d3d3d" w:val="clear"/>
                <w:rtl w:val="0"/>
              </w:rPr>
              <w:t xml:space="preserve">Nieprzestestowane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Lokalizacja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/z06dtTNQOpQa7N+n7mLEQsQJw==">CgMxLjA4AHIhMW9NUTRfbThEOXRFMXRlV2dfdk00UEF4TTVOMnJMOVVC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