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Team Meeting - 3/20</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Agenda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Run team members through set up of imaging equipment referencing the document “Setting up Imaging Equipment” and next steps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Touch on plans for mock-up hardware design of targets of interest using circular cardboard cutouts for the target faces, black duck tape for the eyes and mouth, and both silver and blue 2 x 2 meter cutouts for the tarp</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Get feedback from other team members on progress with developing prototypes of image processing software, ideas for analysis plan, and OpenCV tutorials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As we begin developing software, let’s try to use the Github repository so that we are all aware of one another’s collaborations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Notes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Accomplished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Determined the number and features of images that will be collected using the Raspberry Pi HQC for a preliminary test of OpenCV and/or RGB algorithms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Set aside team member responsibilities for the next couple of days: 1) Preston and Rohan will continue developing OpenCV Haar Cascade and RGB algorithms 2) Ryan will explore software used to publish digital maps with embedded text and figures 3) Nick will run through hardware documentation on using Raspberry Pi to assist Justin with capturing high quality images and videos, and optimizing the use of available resources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Next Steps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Capture about 20 pictures of a combination of frowny and smiley faces, trees, and patches of grass for the OpenCV Haar Cascades algorithms. For the RGB method, which is much more dependent on spatial resolution, we ideally need images at the search altitude</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Upload images to google drive </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Reference the second sample presentation to guide the development of our presentation</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Determine suitable locations for capturing images of targets from approximately cruise altitude of 200 ft (Speedway and/or 27th St. Garage, Zilker Park, etc.)</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Questions/Concerns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How has the progress on the OpenCV tutorials come along?</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A: We can target about 20 pictures of a combination of frowny and smiley faces, trees, and patches of grass for the OpenCV Haar Cascades algorithms. For the RGB method, which is much more dependent on spatial resolution, we ideally need images at the search altitude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Do we have an idea on how we are going to structure our Analysis Plan deliverable? It appears that there are not any deliverables from previous semesters that we can use as a template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A: The deliverable will be structured around the second sample presentation attachment in the assignment description</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