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444BA808"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83DC37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increasingly narrows. Interestingly enough, after the age of 50, the number of individuals with negative 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 xml:space="preserve">can be seen in </w:t>
      </w:r>
      <w:r w:rsidR="00101D57">
        <w:rPr>
          <w:sz w:val="22"/>
          <w:szCs w:val="22"/>
        </w:rPr>
        <w:t>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lastRenderedPageBreak/>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had the highest proportion of </w:t>
      </w:r>
      <w:r w:rsidR="00DC26B7">
        <w:rPr>
          <w:sz w:val="22"/>
          <w:szCs w:val="22"/>
        </w:rPr>
        <w:t xml:space="preserve">those with the propensity to accept a subscription were students and </w:t>
      </w:r>
      <w:r w:rsidR="00DC26B7">
        <w:rPr>
          <w:sz w:val="22"/>
          <w:szCs w:val="22"/>
        </w:rPr>
        <w:t xml:space="preserve">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37C82EC9" w:rsidR="00417C77" w:rsidRDefault="00417C77" w:rsidP="00417C77">
      <w:pPr>
        <w:pStyle w:val="BodyTextIndent"/>
        <w:spacing w:after="120"/>
        <w:ind w:firstLine="0"/>
        <w:rPr>
          <w:sz w:val="22"/>
          <w:szCs w:val="22"/>
        </w:rPr>
      </w:pPr>
      <w:r>
        <w:rPr>
          <w:sz w:val="22"/>
          <w:szCs w:val="22"/>
        </w:rPr>
        <w:t xml:space="preserve">Additionally, we will be using every feature here as they all deal with one of two objectives key to </w:t>
      </w:r>
      <w:r>
        <w:rPr>
          <w:sz w:val="22"/>
          <w:szCs w:val="22"/>
        </w:rPr>
        <w:lastRenderedPageBreak/>
        <w:t xml:space="preserve">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range from the amount of time it has been since they were last contacted, to the outcome (if they were contacted) </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especially when our EDA proved that similar groups (regarding 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issue could attribute to the curse of dimensionality, </w:t>
      </w:r>
      <w:r w:rsidR="00FF50D4">
        <w:rPr>
          <w:sz w:val="22"/>
          <w:szCs w:val="22"/>
        </w:rPr>
        <w:t xml:space="preserve">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4030A73F" w14:textId="7B42819E" w:rsidR="00FA4BC0" w:rsidRDefault="00FA4BC0" w:rsidP="00FA4BC0">
      <w:pPr>
        <w:rPr>
          <w:b/>
          <w:bCs/>
          <w:sz w:val="22"/>
          <w:szCs w:val="22"/>
        </w:rPr>
      </w:pPr>
      <w:r>
        <w:rPr>
          <w:b/>
          <w:bCs/>
          <w:sz w:val="22"/>
          <w:szCs w:val="22"/>
        </w:rPr>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7F5DDC50">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8</w:t>
      </w:r>
      <w:r>
        <w:rPr>
          <w:b/>
          <w:bCs/>
          <w:sz w:val="22"/>
          <w:szCs w:val="22"/>
          <w:vertAlign w:val="subscript"/>
        </w:rPr>
        <w:t xml:space="preserve">: </w:t>
      </w:r>
      <w:r>
        <w:rPr>
          <w:b/>
          <w:bCs/>
          <w:sz w:val="22"/>
          <w:szCs w:val="22"/>
          <w:vertAlign w:val="subscript"/>
        </w:rPr>
        <w:t xml:space="preserve">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t xml:space="preserve">Both the decision tree and random forest models excelled at predicting their training data perfectly, but </w:t>
      </w:r>
      <w:r>
        <w:rPr>
          <w:sz w:val="22"/>
          <w:szCs w:val="22"/>
        </w:rPr>
        <w:lastRenderedPageBreak/>
        <w:t xml:space="preserve">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w:t>
      </w:r>
      <w:r w:rsidR="0026003B">
        <w:rPr>
          <w:sz w:val="22"/>
          <w:szCs w:val="22"/>
        </w:rPr>
        <w:t xml:space="preserve">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7FA29B87"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XGBoost</w:t>
      </w:r>
      <w:proofErr w:type="spellEnd"/>
      <w:r w:rsidR="0026003B">
        <w:rPr>
          <w:sz w:val="22"/>
          <w:szCs w:val="22"/>
        </w:rPr>
        <w:t xml:space="preserve"> </w:t>
      </w:r>
      <w:r w:rsidR="00467352">
        <w:rPr>
          <w:sz w:val="22"/>
          <w:szCs w:val="22"/>
        </w:rPr>
        <w:t xml:space="preserve">final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w:t>
      </w:r>
      <w:r w:rsidR="00C6759A">
        <w:rPr>
          <w:sz w:val="22"/>
          <w:szCs w:val="22"/>
        </w:rPr>
        <w:lastRenderedPageBreak/>
        <w:t xml:space="preserve">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36BC0663"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w:t>
      </w:r>
      <w:r w:rsidR="00514D83">
        <w:rPr>
          <w:color w:val="000000"/>
          <w:sz w:val="22"/>
          <w:szCs w:val="22"/>
        </w:rPr>
        <w:t xml:space="preserve"> during our baseline</w:t>
      </w:r>
      <w:r>
        <w:rPr>
          <w:color w:val="000000"/>
          <w:sz w:val="22"/>
          <w:szCs w:val="22"/>
        </w:rPr>
        <w:t xml:space="preserve">,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41E7AE93" w14:textId="77777777" w:rsidR="00E92DB9"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01F8D3F2" w:rsidR="00DF137C" w:rsidRPr="00E92DB9" w:rsidRDefault="00E74085" w:rsidP="0033084E">
      <w:pPr>
        <w:rPr>
          <w:b/>
          <w:bCs/>
          <w:sz w:val="22"/>
          <w:szCs w:val="22"/>
          <w:vertAlign w:val="superscript"/>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E92DB9" w:rsidRDefault="008944BF">
      <w:pPr>
        <w:pStyle w:val="Heading1"/>
        <w:spacing w:before="120"/>
        <w:rPr>
          <w:sz w:val="22"/>
          <w:szCs w:val="22"/>
        </w:rPr>
      </w:pPr>
      <w:r w:rsidRPr="00E92DB9">
        <w:rPr>
          <w:sz w:val="22"/>
          <w:szCs w:val="22"/>
        </w:rPr>
        <w:t>Result</w:t>
      </w:r>
    </w:p>
    <w:p w14:paraId="01B170A8" w14:textId="2AC5438D" w:rsidR="008B197E" w:rsidRPr="00E92DB9" w:rsidRDefault="0024610D" w:rsidP="0024610D">
      <w:pPr>
        <w:pStyle w:val="Heading2"/>
        <w:rPr>
          <w:sz w:val="22"/>
          <w:szCs w:val="22"/>
        </w:rPr>
      </w:pPr>
      <w:r w:rsidRPr="00E92DB9">
        <w:rPr>
          <w:sz w:val="22"/>
          <w:szCs w:val="22"/>
        </w:rPr>
        <w:t>Comparison</w:t>
      </w:r>
    </w:p>
    <w:p w14:paraId="6CBD3344" w14:textId="77777777" w:rsidR="004841B8" w:rsidRPr="00E92DB9" w:rsidRDefault="004841B8" w:rsidP="004841B8">
      <w:pPr>
        <w:rPr>
          <w:sz w:val="22"/>
          <w:szCs w:val="22"/>
        </w:rPr>
      </w:pPr>
    </w:p>
    <w:p w14:paraId="23FDF457" w14:textId="74E6ADEF" w:rsidR="0024610D" w:rsidRPr="00E92DB9" w:rsidRDefault="0024610D" w:rsidP="0024610D">
      <w:pPr>
        <w:pStyle w:val="Heading2"/>
        <w:rPr>
          <w:sz w:val="22"/>
          <w:szCs w:val="22"/>
        </w:rPr>
      </w:pPr>
      <w:r w:rsidRPr="00E92DB9">
        <w:rPr>
          <w:sz w:val="22"/>
          <w:szCs w:val="22"/>
        </w:rPr>
        <w:t>Significance</w:t>
      </w:r>
    </w:p>
    <w:p w14:paraId="73337903" w14:textId="027B7F98" w:rsidR="0024610D" w:rsidRPr="00E92DB9" w:rsidRDefault="0024610D" w:rsidP="002044B4">
      <w:pPr>
        <w:pStyle w:val="Heading2"/>
        <w:rPr>
          <w:sz w:val="22"/>
          <w:szCs w:val="22"/>
        </w:rPr>
      </w:pPr>
      <w:r w:rsidRPr="00E92DB9">
        <w:rPr>
          <w:sz w:val="22"/>
          <w:szCs w:val="22"/>
        </w:rPr>
        <w:t>Hyperparameter</w:t>
      </w:r>
    </w:p>
    <w:p w14:paraId="7F442905" w14:textId="2691FDC6" w:rsidR="0024610D" w:rsidRPr="00E92DB9" w:rsidRDefault="002044B4" w:rsidP="002044B4">
      <w:pPr>
        <w:pStyle w:val="Heading2"/>
        <w:rPr>
          <w:sz w:val="22"/>
          <w:szCs w:val="22"/>
        </w:rPr>
      </w:pPr>
      <w:r w:rsidRPr="00E92DB9">
        <w:rPr>
          <w:sz w:val="22"/>
          <w:szCs w:val="22"/>
        </w:rP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AC36" w14:textId="77777777" w:rsidR="00D146BA" w:rsidRDefault="00D146BA">
      <w:r>
        <w:separator/>
      </w:r>
    </w:p>
  </w:endnote>
  <w:endnote w:type="continuationSeparator" w:id="0">
    <w:p w14:paraId="63F53A9E" w14:textId="77777777" w:rsidR="00D146BA" w:rsidRDefault="00D1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712A" w14:textId="77777777" w:rsidR="00D146BA" w:rsidRDefault="00D146BA">
      <w:r>
        <w:separator/>
      </w:r>
    </w:p>
  </w:footnote>
  <w:footnote w:type="continuationSeparator" w:id="0">
    <w:p w14:paraId="7E2A436E" w14:textId="77777777" w:rsidR="00D146BA" w:rsidRDefault="00D146BA">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56A3BEDF" w14:textId="5EF86055" w:rsidR="00190F35" w:rsidRPr="00E92DB9" w:rsidRDefault="00190F35" w:rsidP="00E92DB9">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16D54"/>
    <w:rsid w:val="00016E37"/>
    <w:rsid w:val="000355F6"/>
    <w:rsid w:val="0009634A"/>
    <w:rsid w:val="00097E17"/>
    <w:rsid w:val="000A6043"/>
    <w:rsid w:val="000B05A6"/>
    <w:rsid w:val="000F23D2"/>
    <w:rsid w:val="000F5497"/>
    <w:rsid w:val="00101D57"/>
    <w:rsid w:val="00105B79"/>
    <w:rsid w:val="00116F4A"/>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74A5B"/>
    <w:rsid w:val="00276401"/>
    <w:rsid w:val="0027698B"/>
    <w:rsid w:val="002A127C"/>
    <w:rsid w:val="002A2955"/>
    <w:rsid w:val="002B3D9E"/>
    <w:rsid w:val="002D2C9C"/>
    <w:rsid w:val="002D6A57"/>
    <w:rsid w:val="002E0D8F"/>
    <w:rsid w:val="002E2F31"/>
    <w:rsid w:val="0031023B"/>
    <w:rsid w:val="00310687"/>
    <w:rsid w:val="0033084E"/>
    <w:rsid w:val="00344B43"/>
    <w:rsid w:val="00356DC1"/>
    <w:rsid w:val="0037044C"/>
    <w:rsid w:val="00375299"/>
    <w:rsid w:val="00377A65"/>
    <w:rsid w:val="00380359"/>
    <w:rsid w:val="003A2CC8"/>
    <w:rsid w:val="003B397E"/>
    <w:rsid w:val="003B4153"/>
    <w:rsid w:val="003C0ADA"/>
    <w:rsid w:val="003D17EE"/>
    <w:rsid w:val="003D2B56"/>
    <w:rsid w:val="003D3CA1"/>
    <w:rsid w:val="003E3258"/>
    <w:rsid w:val="00417C77"/>
    <w:rsid w:val="00436FFA"/>
    <w:rsid w:val="004413F3"/>
    <w:rsid w:val="0045409C"/>
    <w:rsid w:val="00456D3C"/>
    <w:rsid w:val="00465369"/>
    <w:rsid w:val="00467352"/>
    <w:rsid w:val="00474255"/>
    <w:rsid w:val="004841B8"/>
    <w:rsid w:val="0048576D"/>
    <w:rsid w:val="004C0056"/>
    <w:rsid w:val="004C20B0"/>
    <w:rsid w:val="004D53DE"/>
    <w:rsid w:val="004D68FC"/>
    <w:rsid w:val="004E69AF"/>
    <w:rsid w:val="00514D83"/>
    <w:rsid w:val="00542A33"/>
    <w:rsid w:val="00553409"/>
    <w:rsid w:val="00571CED"/>
    <w:rsid w:val="00580021"/>
    <w:rsid w:val="00583B9D"/>
    <w:rsid w:val="005842F9"/>
    <w:rsid w:val="00596724"/>
    <w:rsid w:val="005A6F86"/>
    <w:rsid w:val="005B6A93"/>
    <w:rsid w:val="005C0C2A"/>
    <w:rsid w:val="005C37BD"/>
    <w:rsid w:val="005D28A1"/>
    <w:rsid w:val="005E0AD0"/>
    <w:rsid w:val="00603A4D"/>
    <w:rsid w:val="0061710B"/>
    <w:rsid w:val="0062758A"/>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7CF9"/>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146BA"/>
    <w:rsid w:val="00D3292B"/>
    <w:rsid w:val="00D47981"/>
    <w:rsid w:val="00D47ADF"/>
    <w:rsid w:val="00D55112"/>
    <w:rsid w:val="00D63DE8"/>
    <w:rsid w:val="00D92738"/>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92DB9"/>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7</Pages>
  <Words>3134</Words>
  <Characters>17867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20960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Andrew L Peng</cp:lastModifiedBy>
  <cp:revision>13</cp:revision>
  <cp:lastPrinted>2011-01-13T15:51:00Z</cp:lastPrinted>
  <dcterms:created xsi:type="dcterms:W3CDTF">2015-08-07T14:17:00Z</dcterms:created>
  <dcterms:modified xsi:type="dcterms:W3CDTF">2024-03-18T01:41:00Z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