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5D9B367B"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 xml:space="preserve">allow you to target the idea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050A2994"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 xml:space="preserve">5,211 instances with 16 features as well as a corresponding variable for </w:t>
      </w:r>
      <w:r w:rsidR="00F75CE5">
        <w:rPr>
          <w:sz w:val="22"/>
          <w:szCs w:val="22"/>
        </w:rPr>
        <w:t>each instance to denote if the marketing campaign was successful in gaining a new term deposit subscriber.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6FF67A7F"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NaN or </w:t>
      </w:r>
      <w:r>
        <w:rPr>
          <w:sz w:val="22"/>
          <w:szCs w:val="22"/>
        </w:rPr>
        <w:t xml:space="preserve">missing values in the dataset. </w:t>
      </w:r>
      <w:r w:rsidR="00EA2398">
        <w:rPr>
          <w:sz w:val="22"/>
          <w:szCs w:val="22"/>
        </w:rPr>
        <w:t xml:space="preserve">However, for columns where the data is quantitative, values that do not fit into any existing category are saved as “unknown” instead. </w:t>
      </w:r>
    </w:p>
    <w:p w14:paraId="30398ECA" w14:textId="38A26644" w:rsidR="002E2F31" w:rsidRDefault="002E2F31">
      <w:pPr>
        <w:pStyle w:val="BodyTextIndent"/>
        <w:spacing w:after="120"/>
        <w:ind w:firstLine="0"/>
        <w:rPr>
          <w:sz w:val="22"/>
          <w:szCs w:val="22"/>
        </w:rPr>
      </w:pPr>
      <w:r>
        <w:rPr>
          <w:sz w:val="22"/>
          <w:szCs w:val="22"/>
        </w:rPr>
        <w:t xml:space="preserve">To gain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785A2029"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of the individuals contacted during the direct marketing</w:t>
      </w:r>
      <w:r w:rsidR="00596724">
        <w:rPr>
          <w:sz w:val="22"/>
          <w:szCs w:val="22"/>
        </w:rPr>
        <w:t xml:space="preserve"> </w:t>
      </w:r>
      <w:r>
        <w:rPr>
          <w:sz w:val="22"/>
          <w:szCs w:val="22"/>
        </w:rPr>
        <w:t>campaign. However, a majority of the data is centered around the ages of 30 to 50, with a very small number of responses coming from those in the 60+ age ranges (Figure 1).</w:t>
      </w:r>
    </w:p>
    <w:p w14:paraId="3EAFF965" w14:textId="0FAD7B17" w:rsidR="004C0056" w:rsidRDefault="004C0056">
      <w:pPr>
        <w:pStyle w:val="BodyTextIndent"/>
        <w:spacing w:after="120"/>
        <w:ind w:firstLine="0"/>
        <w:rPr>
          <w:sz w:val="22"/>
          <w:szCs w:val="22"/>
          <w:vertAlign w:val="subscript"/>
        </w:rPr>
      </w:pPr>
      <w:r w:rsidRPr="004C0056">
        <w:rPr>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2207DECD"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 numeric average yearly balance in euros.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This will prove very useful and 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sz w:val="22"/>
          <w:szCs w:val="22"/>
        </w:rPr>
        <w:lastRenderedPageBreak/>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3BF53F7A" w14:textId="3B27CE52" w:rsidR="00EA2398"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needs, influencing their potential decision for a subscription to a term deposit.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 specific needs and preferences of different job categories.</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02E367D9" w:rsidR="00553409" w:rsidRPr="00553409" w:rsidRDefault="00691254">
      <w:pPr>
        <w:pStyle w:val="BodyTextIndent"/>
        <w:spacing w:after="120"/>
        <w:ind w:firstLine="0"/>
        <w:rPr>
          <w:sz w:val="22"/>
          <w:szCs w:val="22"/>
        </w:rPr>
      </w:pPr>
      <w:r>
        <w:rPr>
          <w:sz w:val="22"/>
          <w:szCs w:val="22"/>
        </w:rPr>
        <w:t xml:space="preserve">When doing a simple 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 xml:space="preserve">increasingly narrows. Interestingly enough, after the age of 50, the number of individuals with negative bank account balances </w:t>
      </w:r>
      <w:r w:rsidR="00F539DD">
        <w:rPr>
          <w:sz w:val="22"/>
          <w:szCs w:val="22"/>
        </w:rPr>
        <w:t xml:space="preserve">tapers off. However, a little after the age of 60, that number falls nearly to zero. A likely source of this comes from the OCED database </w:t>
      </w:r>
      <w:r w:rsidR="00F539DD">
        <w:rPr>
          <w:sz w:val="22"/>
          <w:szCs w:val="22"/>
        </w:rPr>
        <w:t>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 In context of this project.</w:t>
      </w:r>
    </w:p>
    <w:p w14:paraId="69A206DC" w14:textId="7D6E4CF3" w:rsidR="00380359" w:rsidRDefault="00553409">
      <w:pPr>
        <w:pStyle w:val="BodyTextIndent"/>
        <w:spacing w:after="120"/>
        <w:ind w:firstLine="0"/>
        <w:rPr>
          <w:b/>
          <w:bCs/>
          <w:sz w:val="22"/>
          <w:szCs w:val="22"/>
        </w:rPr>
      </w:pPr>
      <w:r w:rsidRPr="00553409">
        <w:rPr>
          <w:b/>
          <w:bCs/>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766FA011" w:rsidR="007A55B6" w:rsidRDefault="007A55B6">
      <w:pPr>
        <w:pStyle w:val="BodyTextIndent"/>
        <w:spacing w:after="120"/>
        <w:ind w:firstLine="0"/>
        <w:rPr>
          <w:sz w:val="22"/>
          <w:szCs w:val="22"/>
        </w:rPr>
      </w:pPr>
      <w:r>
        <w:rPr>
          <w:sz w:val="22"/>
          <w:szCs w:val="22"/>
        </w:rPr>
        <w:t xml:space="preserve">To further ask if people that have retired may be more likely to accept a subscription to a term deposit, we took a look at the relationship between age and the proportion of past interactions (from previous bank marketing campaigns) that were both recorded and successful. 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5</w:t>
      </w:r>
      <w:r>
        <w:rPr>
          <w:b/>
          <w:bCs/>
          <w:sz w:val="22"/>
          <w:szCs w:val="22"/>
          <w:vertAlign w:val="subscript"/>
        </w:rPr>
        <w:t>: Relationship between Age and</w:t>
      </w:r>
      <w:r>
        <w:rPr>
          <w:b/>
          <w:bCs/>
          <w:sz w:val="22"/>
          <w:szCs w:val="22"/>
          <w:vertAlign w:val="subscript"/>
        </w:rPr>
        <w:t xml:space="preserve"> known outcome of those previously contacted</w:t>
      </w:r>
    </w:p>
    <w:p w14:paraId="2980870A" w14:textId="77777777" w:rsidR="007F40F7" w:rsidRDefault="00772B61">
      <w:pPr>
        <w:pStyle w:val="BodyTextIndent"/>
        <w:spacing w:after="120"/>
        <w:ind w:firstLine="0"/>
        <w:rPr>
          <w:sz w:val="22"/>
          <w:szCs w:val="22"/>
        </w:rPr>
      </w:pPr>
      <w:r>
        <w:rPr>
          <w:sz w:val="22"/>
          <w:szCs w:val="22"/>
        </w:rPr>
        <w:lastRenderedPageBreak/>
        <w:t xml:space="preserve">It’s easy to see the large jump of success rates of prior contact records. Thus, it’s fair to say that there will be drastic correlation between age and the predicted value of a successful conversion of contact to subscription. </w:t>
      </w:r>
    </w:p>
    <w:p w14:paraId="40D30224" w14:textId="68AA943C" w:rsidR="007F40F7" w:rsidRDefault="007F40F7">
      <w:pPr>
        <w:pStyle w:val="BodyTextIndent"/>
        <w:spacing w:after="120"/>
        <w:ind w:firstLine="0"/>
        <w:rPr>
          <w:sz w:val="22"/>
          <w:szCs w:val="22"/>
        </w:rPr>
      </w:pPr>
      <w:r>
        <w:rPr>
          <w:sz w:val="22"/>
          <w:szCs w:val="22"/>
        </w:rPr>
        <w:t xml:space="preserve">Unsurprisingly, this trend is noted by the banks themselves. Using data they collected, we can see the average time since last contacted based on age (Figure 6).  </w:t>
      </w:r>
    </w:p>
    <w:p w14:paraId="45F47C84" w14:textId="44526F31" w:rsidR="00E365FA" w:rsidRDefault="007F40F7">
      <w:pPr>
        <w:pStyle w:val="BodyTextIndent"/>
        <w:spacing w:after="120"/>
        <w:ind w:firstLine="0"/>
        <w:rPr>
          <w:b/>
          <w:bCs/>
          <w:sz w:val="22"/>
          <w:szCs w:val="22"/>
        </w:rPr>
      </w:pPr>
      <w:r w:rsidRPr="007F40F7">
        <w:rPr>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6</w:t>
      </w:r>
      <w:r>
        <w:rPr>
          <w:b/>
          <w:bCs/>
          <w:sz w:val="22"/>
          <w:szCs w:val="22"/>
          <w:vertAlign w:val="subscript"/>
        </w:rPr>
        <w:t xml:space="preserve">: Relationship between Age and </w:t>
      </w:r>
      <w:r>
        <w:rPr>
          <w:b/>
          <w:bCs/>
          <w:sz w:val="22"/>
          <w:szCs w:val="22"/>
          <w:vertAlign w:val="subscript"/>
        </w:rPr>
        <w:t>average last known contact</w:t>
      </w:r>
    </w:p>
    <w:p w14:paraId="2DEC79A8" w14:textId="24FC7BAB"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point of the machine learning process. To quantify this into yet another way, we plotted the relationship between those who were contacted and the outcome along with the category of their job (Figure 7). </w:t>
      </w:r>
    </w:p>
    <w:p w14:paraId="456572BA" w14:textId="77777777" w:rsidR="00C45BF1" w:rsidRDefault="00990D78">
      <w:pPr>
        <w:pStyle w:val="BodyTextIndent"/>
        <w:spacing w:after="120"/>
        <w:ind w:firstLine="0"/>
        <w:rPr>
          <w:noProof/>
        </w:rPr>
      </w:pPr>
      <w:r w:rsidRPr="00990D78">
        <w:rPr>
          <w:b/>
          <w:bCs/>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7</w:t>
      </w:r>
      <w:r>
        <w:rPr>
          <w:b/>
          <w:bCs/>
          <w:sz w:val="22"/>
          <w:szCs w:val="22"/>
          <w:vertAlign w:val="subscript"/>
        </w:rPr>
        <w:t xml:space="preserve">: Relationship between </w:t>
      </w:r>
      <w:r>
        <w:rPr>
          <w:b/>
          <w:bCs/>
          <w:sz w:val="22"/>
          <w:szCs w:val="22"/>
          <w:vertAlign w:val="subscript"/>
        </w:rPr>
        <w:t xml:space="preserve">outcome </w:t>
      </w:r>
      <w:r>
        <w:rPr>
          <w:b/>
          <w:bCs/>
          <w:sz w:val="22"/>
          <w:szCs w:val="22"/>
          <w:vertAlign w:val="subscript"/>
        </w:rPr>
        <w:t xml:space="preserve">and </w:t>
      </w:r>
      <w:r>
        <w:rPr>
          <w:b/>
          <w:bCs/>
          <w:sz w:val="22"/>
          <w:szCs w:val="22"/>
          <w:vertAlign w:val="subscript"/>
        </w:rPr>
        <w:t>job category</w:t>
      </w:r>
    </w:p>
    <w:p w14:paraId="34FD8F32" w14:textId="1C885B07" w:rsidR="0037044C" w:rsidRDefault="00254896" w:rsidP="00254896">
      <w:pPr>
        <w:pStyle w:val="BodyTextIndent"/>
        <w:spacing w:after="120"/>
        <w:ind w:firstLine="0"/>
        <w:rPr>
          <w:sz w:val="22"/>
          <w:szCs w:val="22"/>
        </w:rPr>
      </w:pPr>
      <w:r>
        <w:rPr>
          <w:sz w:val="22"/>
          <w:szCs w:val="22"/>
        </w:rPr>
        <w:t xml:space="preserve">Here, we see further evidence along with a surprising fact. The two categories of people that had the highest proportion of </w:t>
      </w:r>
      <w:r w:rsidR="00DC26B7">
        <w:rPr>
          <w:sz w:val="22"/>
          <w:szCs w:val="22"/>
        </w:rPr>
        <w:t xml:space="preserve">those with the propensity to accept a subscription were students and those that were retired. </w:t>
      </w:r>
      <w:r w:rsidR="00DC26B7">
        <w:rPr>
          <w:sz w:val="22"/>
          <w:szCs w:val="22"/>
        </w:rPr>
        <w:t xml:space="preserve">Unsurprisingly, retirees once again had some of the highest proportions </w:t>
      </w:r>
      <w:r w:rsidR="00F322EC">
        <w:rPr>
          <w:sz w:val="22"/>
          <w:szCs w:val="22"/>
        </w:rPr>
        <w:t>regarding outcome of prior contact: this makes it yet again a large point of contention within our final model and something that we will focus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2F69EDF2" w:rsidR="008B197E" w:rsidRPr="00670FDD" w:rsidRDefault="008944BF">
      <w:pPr>
        <w:pStyle w:val="Heading1"/>
        <w:spacing w:before="120"/>
        <w:rPr>
          <w:sz w:val="22"/>
          <w:szCs w:val="22"/>
        </w:rPr>
      </w:pPr>
      <w:r w:rsidRPr="00670FDD">
        <w:rPr>
          <w:sz w:val="22"/>
          <w:szCs w:val="22"/>
        </w:rPr>
        <w:t>Predictive Task</w:t>
      </w:r>
    </w:p>
    <w:p w14:paraId="7FB606C1" w14:textId="5947FBB9" w:rsidR="008B197E" w:rsidRPr="00670FDD" w:rsidRDefault="008B197E">
      <w:pPr>
        <w:pStyle w:val="BodyTextIndent"/>
        <w:spacing w:after="120"/>
        <w:ind w:firstLine="0"/>
        <w:rPr>
          <w:sz w:val="22"/>
          <w:szCs w:val="22"/>
        </w:rPr>
      </w:pPr>
      <w:r w:rsidRPr="00670FDD">
        <w:rPr>
          <w:sz w:val="22"/>
          <w:szCs w:val="22"/>
        </w:rPr>
        <w:t>All material on each page shoul</w:t>
      </w:r>
      <w:r w:rsidR="00E26518" w:rsidRPr="00670FDD">
        <w:rPr>
          <w:sz w:val="22"/>
          <w:szCs w:val="22"/>
        </w:rPr>
        <w:t>d fit within a rectangle</w:t>
      </w:r>
      <w:r w:rsidRPr="00670FDD">
        <w:rPr>
          <w:sz w:val="22"/>
          <w:szCs w:val="22"/>
        </w:rPr>
        <w:t>.</w:t>
      </w:r>
    </w:p>
    <w:p w14:paraId="052E05B7" w14:textId="11A27B0F" w:rsidR="008B197E" w:rsidRPr="00670FDD" w:rsidRDefault="008944BF">
      <w:pPr>
        <w:pStyle w:val="Heading1"/>
        <w:spacing w:before="120"/>
        <w:rPr>
          <w:sz w:val="22"/>
          <w:szCs w:val="22"/>
        </w:rPr>
      </w:pPr>
      <w:r w:rsidRPr="00670FDD">
        <w:rPr>
          <w:sz w:val="22"/>
          <w:szCs w:val="22"/>
        </w:rPr>
        <w:t>Model</w:t>
      </w:r>
    </w:p>
    <w:p w14:paraId="1ABF1828" w14:textId="6A36ADBB" w:rsidR="008B197E" w:rsidRPr="00670FDD" w:rsidRDefault="008B197E">
      <w:pPr>
        <w:pStyle w:val="BodyTextIndent"/>
        <w:spacing w:after="120"/>
        <w:ind w:firstLine="0"/>
        <w:rPr>
          <w:sz w:val="22"/>
          <w:szCs w:val="22"/>
        </w:rPr>
      </w:pPr>
      <w:r w:rsidRPr="00670FDD">
        <w:rPr>
          <w:sz w:val="22"/>
          <w:szCs w:val="22"/>
        </w:rPr>
        <w:t>will be added when the publications are assembled.</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11C0C0DA" w:rsidR="008B124D" w:rsidRDefault="0033084E" w:rsidP="0033084E">
      <w:pPr>
        <w:rPr>
          <w:sz w:val="22"/>
          <w:szCs w:val="22"/>
        </w:rPr>
      </w:pPr>
      <w:r>
        <w:rPr>
          <w:sz w:val="22"/>
          <w:szCs w:val="22"/>
        </w:rPr>
        <w:t>This dataset has been used by past studies, but mainly in the context of improving algorithmic fairness in machine learning, specifically in clustering algorithms</w:t>
      </w:r>
      <w:r w:rsidR="00906246">
        <w:rPr>
          <w:sz w:val="22"/>
          <w:szCs w:val="22"/>
        </w:rPr>
        <w:t>.</w:t>
      </w:r>
      <w:r w:rsidR="00344B43">
        <w:rPr>
          <w:sz w:val="22"/>
          <w:szCs w:val="22"/>
        </w:rPr>
        <w:t xml:space="preserve"> The following studies collectively highlight the versatility of the dataset and its ease of use by applying it to a range of challenges in machine learning.</w:t>
      </w:r>
    </w:p>
    <w:p w14:paraId="2AB31468" w14:textId="45CC0349" w:rsidR="00FD4B72" w:rsidRDefault="00FD4B72" w:rsidP="0033084E">
      <w:pPr>
        <w:rPr>
          <w:sz w:val="22"/>
          <w:szCs w:val="22"/>
        </w:rPr>
      </w:pPr>
      <w:r>
        <w:rPr>
          <w:sz w:val="22"/>
          <w:szCs w:val="22"/>
        </w:rPr>
        <w:t xml:space="preserve">However, the main difference between </w:t>
      </w:r>
      <w:r w:rsidR="0031023B">
        <w:rPr>
          <w:sz w:val="22"/>
          <w:szCs w:val="22"/>
        </w:rPr>
        <w:t>articles citing this dataset and the way we used this dataset lay in the way the dataset was used. Rather than a primary feature, the UCI bank dataset was more of a subsidiary to prove fairness in clustering algorithms.</w:t>
      </w:r>
      <w:r w:rsidR="005A6F86">
        <w:rPr>
          <w:sz w:val="22"/>
          <w:szCs w:val="22"/>
        </w:rPr>
        <w:t xml:space="preserve"> Thus, the state-of-the-art method was more akin to clustering over classification.</w:t>
      </w:r>
      <w:r w:rsidR="0031023B">
        <w:rPr>
          <w:sz w:val="22"/>
          <w:szCs w:val="22"/>
        </w:rPr>
        <w:t xml:space="preserve"> This is likely due to its clean nature and lack of NaN values, leading to minimal work needed to prepare it for use.</w:t>
      </w:r>
      <w:r w:rsidR="00D47981">
        <w:rPr>
          <w:sz w:val="22"/>
          <w:szCs w:val="22"/>
        </w:rPr>
        <w:t xml:space="preserve"> Thus, the main novelty of our work is more so regarding the fact that we are using recall as a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4"/>
      </w:r>
    </w:p>
    <w:p w14:paraId="3C0F6E00" w14:textId="53E152FA" w:rsidR="00A2231E" w:rsidRDefault="00A2231E" w:rsidP="0033084E">
      <w:pPr>
        <w:rPr>
          <w:sz w:val="22"/>
          <w:szCs w:val="22"/>
        </w:rPr>
      </w:pPr>
      <w:r>
        <w:rPr>
          <w:sz w:val="22"/>
          <w:szCs w:val="22"/>
        </w:rPr>
        <w:lastRenderedPageBreak/>
        <w:t xml:space="preserve">The authors (Ziko, Granger, Yuan, and Ayed)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r w:rsidR="007B3CD2">
        <w:rPr>
          <w:sz w:val="22"/>
          <w:szCs w:val="22"/>
        </w:rPr>
        <w:t xml:space="preserve">Ziko, Granger, Yuan, and Ayed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5"/>
      </w:r>
    </w:p>
    <w:p w14:paraId="073B3E71" w14:textId="77777777" w:rsidR="007F1D0C" w:rsidRDefault="00B50D4A" w:rsidP="0033084E">
      <w:pPr>
        <w:rPr>
          <w:color w:val="000000"/>
          <w:sz w:val="22"/>
          <w:szCs w:val="22"/>
        </w:rPr>
      </w:pPr>
      <w:r>
        <w:rPr>
          <w:sz w:val="22"/>
          <w:szCs w:val="22"/>
        </w:rPr>
        <w:t>The authors (Bera, Chakrabarty, Flores, and Negahbani)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lp-norm objective, which includes k-means, k-median, and k-center objectives. </w:t>
      </w:r>
    </w:p>
    <w:p w14:paraId="57FF8F6A" w14:textId="54333CF1" w:rsidR="00E57205" w:rsidRPr="00B50D4A" w:rsidRDefault="007F1D0C" w:rsidP="0033084E">
      <w:pPr>
        <w:rPr>
          <w:sz w:val="22"/>
          <w:szCs w:val="22"/>
        </w:rPr>
      </w:pPr>
      <w:r>
        <w:rPr>
          <w:color w:val="000000"/>
          <w:sz w:val="22"/>
          <w:szCs w:val="22"/>
        </w:rPr>
        <w:t xml:space="preserve">While somewhat similar to the XGBoosting and k-nearest neighbors we tuned parameters for,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XGBoost</w:t>
      </w:r>
      <w:r w:rsidR="00773E72">
        <w:rPr>
          <w:color w:val="000000"/>
          <w:sz w:val="22"/>
          <w:szCs w:val="22"/>
        </w:rPr>
        <w:t>. Additionally, we also focused on tuning hyper-</w:t>
      </w:r>
      <w:r w:rsidR="00773E72">
        <w:rPr>
          <w:color w:val="000000"/>
          <w:sz w:val="22"/>
          <w:szCs w:val="22"/>
        </w:rPr>
        <w:t xml:space="preserve">parameters to increase the recall of our model while the authors of this article were more concerned </w:t>
      </w:r>
      <w:r w:rsidR="00DF137C">
        <w:rPr>
          <w:color w:val="000000"/>
          <w:sz w:val="22"/>
          <w:szCs w:val="22"/>
        </w:rPr>
        <w:t>with allowing groups to lie in multiple protected groups.</w:t>
      </w:r>
    </w:p>
    <w:p w14:paraId="26E5047E" w14:textId="24213983" w:rsidR="00A558F4" w:rsidRPr="00EC1755" w:rsidRDefault="00A558F4" w:rsidP="0033084E">
      <w:pPr>
        <w:rPr>
          <w:b/>
          <w:bCs/>
          <w:sz w:val="22"/>
          <w:szCs w:val="22"/>
          <w:vertAlign w:val="superscript"/>
        </w:rPr>
      </w:pPr>
      <w:r w:rsidRPr="00A558F4">
        <w:rPr>
          <w:b/>
          <w:bCs/>
          <w:sz w:val="22"/>
          <w:szCs w:val="22"/>
        </w:rPr>
        <w:t xml:space="preserve">ToPs: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6"/>
      </w:r>
    </w:p>
    <w:p w14:paraId="5ABB8584" w14:textId="342D1C66" w:rsidR="00DF137C" w:rsidRDefault="00E74085" w:rsidP="0033084E">
      <w:pPr>
        <w:rPr>
          <w:sz w:val="22"/>
          <w:szCs w:val="22"/>
        </w:rPr>
      </w:pPr>
      <w:r w:rsidRPr="00D55112">
        <w:rPr>
          <w:sz w:val="22"/>
          <w:szCs w:val="22"/>
        </w:rPr>
        <w:t>This article (</w:t>
      </w:r>
      <w:r w:rsidR="00D55112" w:rsidRPr="00D55112">
        <w:rPr>
          <w:sz w:val="22"/>
          <w:szCs w:val="22"/>
        </w:rPr>
        <w:t>Jinsung Yoon, William R. Zame, and Mihaela van der Schaar,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Here, the authors test the difference in two instantiations of ToPs (trees of predictors) that included adaboost, linear regression, logistic regression, logitboost,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These authors employed a similar prediction model in predicting for the same y-variable (which allowed for a comprehensive evaluation of the ToPs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670FDD" w:rsidRDefault="008944BF">
      <w:pPr>
        <w:pStyle w:val="Heading1"/>
        <w:spacing w:before="120"/>
        <w:rPr>
          <w:sz w:val="22"/>
          <w:szCs w:val="22"/>
        </w:rPr>
      </w:pPr>
      <w:r w:rsidRPr="00670FDD">
        <w:rPr>
          <w:sz w:val="22"/>
          <w:szCs w:val="22"/>
        </w:rPr>
        <w:t>Result</w:t>
      </w:r>
    </w:p>
    <w:p w14:paraId="01B170A8" w14:textId="60938412" w:rsidR="008B197E" w:rsidRDefault="0024610D" w:rsidP="0024610D">
      <w:pPr>
        <w:pStyle w:val="Heading2"/>
      </w:pPr>
      <w:r>
        <w:t>Comparison</w:t>
      </w:r>
    </w:p>
    <w:p w14:paraId="23FDF457" w14:textId="74E6ADEF" w:rsidR="0024610D" w:rsidRDefault="0024610D" w:rsidP="0024610D">
      <w:pPr>
        <w:pStyle w:val="Heading2"/>
      </w:pPr>
      <w:r>
        <w:t>Significance</w:t>
      </w:r>
    </w:p>
    <w:p w14:paraId="73337903" w14:textId="027B7F98" w:rsidR="0024610D" w:rsidRDefault="0024610D" w:rsidP="002044B4">
      <w:pPr>
        <w:pStyle w:val="Heading2"/>
      </w:pPr>
      <w:r>
        <w:t>Hyperparameter</w:t>
      </w:r>
    </w:p>
    <w:p w14:paraId="7F442905" w14:textId="2691FDC6" w:rsidR="0024610D" w:rsidRPr="002044B4" w:rsidRDefault="002044B4" w:rsidP="002044B4">
      <w:pPr>
        <w:pStyle w:val="Heading2"/>
      </w:pPr>
      <w:r>
        <w:t>Conclusions</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CF59" w14:textId="77777777" w:rsidR="00C83B5C" w:rsidRDefault="00C83B5C">
      <w:r>
        <w:separator/>
      </w:r>
    </w:p>
  </w:endnote>
  <w:endnote w:type="continuationSeparator" w:id="0">
    <w:p w14:paraId="5237B06F" w14:textId="77777777" w:rsidR="00C83B5C" w:rsidRDefault="00C8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0E44" w14:textId="77777777" w:rsidR="00C83B5C" w:rsidRDefault="00C83B5C">
      <w:r>
        <w:separator/>
      </w:r>
    </w:p>
  </w:footnote>
  <w:footnote w:type="continuationSeparator" w:id="0">
    <w:p w14:paraId="209C336F" w14:textId="77777777" w:rsidR="00C83B5C" w:rsidRDefault="00C83B5C">
      <w:r>
        <w:continuationSeparator/>
      </w:r>
    </w:p>
  </w:footnote>
  <w:footnote w:id="1">
    <w:p w14:paraId="2913B746" w14:textId="77777777" w:rsidR="00596724" w:rsidRDefault="00596724" w:rsidP="00596724">
      <w:pPr>
        <w:pStyle w:val="FootnoteText"/>
      </w:pPr>
      <w:r>
        <w:rPr>
          <w:rStyle w:val="FootnoteReference"/>
        </w:rPr>
        <w:footnoteRef/>
      </w:r>
      <w:r>
        <w:t xml:space="preserve"> </w:t>
      </w:r>
      <w:r w:rsidRPr="00356DC1">
        <w:t>https://archive.ics.uci.edu/dataset/222/bank+marketing</w:t>
      </w:r>
    </w:p>
    <w:p w14:paraId="152CA0AD" w14:textId="746AD197" w:rsidR="00596724" w:rsidRDefault="00596724">
      <w:pPr>
        <w:pStyle w:val="FootnoteText"/>
      </w:pPr>
    </w:p>
  </w:footnote>
  <w:footnote w:id="2">
    <w:p w14:paraId="3B23BA6B" w14:textId="649913C9" w:rsidR="00596724" w:rsidRDefault="00596724"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F539DD" w:rsidRDefault="00F539DD">
      <w:pPr>
        <w:pStyle w:val="FootnoteText"/>
      </w:pPr>
      <w:r>
        <w:rPr>
          <w:rStyle w:val="FootnoteReference"/>
        </w:rPr>
        <w:footnoteRef/>
      </w:r>
      <w:r>
        <w:t xml:space="preserve"> </w:t>
      </w:r>
      <w:r w:rsidR="004413F3" w:rsidRPr="004413F3">
        <w:t>https://stats.oecd.org/Index.aspx?DataSetCode=PAG#</w:t>
      </w:r>
    </w:p>
  </w:footnote>
  <w:footnote w:id="4">
    <w:p w14:paraId="351B5F39" w14:textId="2CE3328B" w:rsidR="00596724" w:rsidRPr="00596724" w:rsidRDefault="00596724" w:rsidP="00596724">
      <w:pPr>
        <w:rPr>
          <w:szCs w:val="18"/>
        </w:rPr>
      </w:pPr>
      <w:r w:rsidRPr="00596724">
        <w:rPr>
          <w:rStyle w:val="FootnoteReference"/>
          <w:szCs w:val="18"/>
        </w:rPr>
        <w:footnoteRef/>
      </w:r>
      <w:r w:rsidRPr="00596724">
        <w:rPr>
          <w:szCs w:val="18"/>
        </w:rPr>
        <w:t xml:space="preserve"> https://arxiv.org/pdf/1906.08207v1.pdf</w:t>
      </w:r>
    </w:p>
  </w:footnote>
  <w:footnote w:id="5">
    <w:p w14:paraId="448CAF51" w14:textId="3FB2698E" w:rsidR="00596724" w:rsidRPr="00596724" w:rsidRDefault="00596724" w:rsidP="00596724">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p w14:paraId="56A3BEDF" w14:textId="642E7FA1" w:rsidR="00596724" w:rsidRDefault="00596724">
      <w:pPr>
        <w:pStyle w:val="FootnoteText"/>
      </w:pPr>
    </w:p>
  </w:footnote>
  <w:footnote w:id="6">
    <w:p w14:paraId="3EEEE77C" w14:textId="0F3FA5C1" w:rsidR="00596724" w:rsidRPr="002B3D9E" w:rsidRDefault="00596724"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164249368">
    <w:abstractNumId w:val="0"/>
  </w:num>
  <w:num w:numId="2" w16cid:durableId="25895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16D54"/>
    <w:rsid w:val="00016E37"/>
    <w:rsid w:val="000355F6"/>
    <w:rsid w:val="0009634A"/>
    <w:rsid w:val="000A6043"/>
    <w:rsid w:val="00105B79"/>
    <w:rsid w:val="001378B9"/>
    <w:rsid w:val="00153CBA"/>
    <w:rsid w:val="001578EE"/>
    <w:rsid w:val="00172159"/>
    <w:rsid w:val="00194530"/>
    <w:rsid w:val="001E4A9D"/>
    <w:rsid w:val="002044B4"/>
    <w:rsid w:val="00206035"/>
    <w:rsid w:val="00223131"/>
    <w:rsid w:val="0024610D"/>
    <w:rsid w:val="00254896"/>
    <w:rsid w:val="00274A5B"/>
    <w:rsid w:val="00276401"/>
    <w:rsid w:val="0027698B"/>
    <w:rsid w:val="002A127C"/>
    <w:rsid w:val="002A2955"/>
    <w:rsid w:val="002B3D9E"/>
    <w:rsid w:val="002D2C9C"/>
    <w:rsid w:val="002D6A57"/>
    <w:rsid w:val="002E2F31"/>
    <w:rsid w:val="0031023B"/>
    <w:rsid w:val="00310687"/>
    <w:rsid w:val="0033084E"/>
    <w:rsid w:val="00344B43"/>
    <w:rsid w:val="00356DC1"/>
    <w:rsid w:val="0037044C"/>
    <w:rsid w:val="00375299"/>
    <w:rsid w:val="00377A65"/>
    <w:rsid w:val="00380359"/>
    <w:rsid w:val="003B4153"/>
    <w:rsid w:val="003C0ADA"/>
    <w:rsid w:val="003D17EE"/>
    <w:rsid w:val="003D3CA1"/>
    <w:rsid w:val="003E3258"/>
    <w:rsid w:val="004413F3"/>
    <w:rsid w:val="0045409C"/>
    <w:rsid w:val="00465369"/>
    <w:rsid w:val="00474255"/>
    <w:rsid w:val="0048576D"/>
    <w:rsid w:val="004C0056"/>
    <w:rsid w:val="004C20B0"/>
    <w:rsid w:val="004D68FC"/>
    <w:rsid w:val="004E69AF"/>
    <w:rsid w:val="00553409"/>
    <w:rsid w:val="00571CED"/>
    <w:rsid w:val="00580021"/>
    <w:rsid w:val="00583B9D"/>
    <w:rsid w:val="005842F9"/>
    <w:rsid w:val="00596724"/>
    <w:rsid w:val="005A6F86"/>
    <w:rsid w:val="005B6A93"/>
    <w:rsid w:val="005C0C2A"/>
    <w:rsid w:val="005C37BD"/>
    <w:rsid w:val="005D28A1"/>
    <w:rsid w:val="00603A4D"/>
    <w:rsid w:val="0061710B"/>
    <w:rsid w:val="0062758A"/>
    <w:rsid w:val="00670FDD"/>
    <w:rsid w:val="0068547D"/>
    <w:rsid w:val="00691254"/>
    <w:rsid w:val="0069356A"/>
    <w:rsid w:val="006A044B"/>
    <w:rsid w:val="006A1FA3"/>
    <w:rsid w:val="006A2C1D"/>
    <w:rsid w:val="006A35D0"/>
    <w:rsid w:val="006A5605"/>
    <w:rsid w:val="006D451E"/>
    <w:rsid w:val="006E6DAB"/>
    <w:rsid w:val="00714457"/>
    <w:rsid w:val="00720A0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536AF"/>
    <w:rsid w:val="0087467E"/>
    <w:rsid w:val="008944BF"/>
    <w:rsid w:val="008B0897"/>
    <w:rsid w:val="008B124D"/>
    <w:rsid w:val="008B197E"/>
    <w:rsid w:val="008B1A77"/>
    <w:rsid w:val="008B6E3E"/>
    <w:rsid w:val="008F7414"/>
    <w:rsid w:val="00906246"/>
    <w:rsid w:val="00931E0F"/>
    <w:rsid w:val="00940574"/>
    <w:rsid w:val="00941EFD"/>
    <w:rsid w:val="00947A9D"/>
    <w:rsid w:val="00972CC3"/>
    <w:rsid w:val="00980B8E"/>
    <w:rsid w:val="00990D78"/>
    <w:rsid w:val="009974B9"/>
    <w:rsid w:val="009975C9"/>
    <w:rsid w:val="009A189C"/>
    <w:rsid w:val="009B54B5"/>
    <w:rsid w:val="009B701B"/>
    <w:rsid w:val="009D7B5B"/>
    <w:rsid w:val="009F334B"/>
    <w:rsid w:val="00A01A01"/>
    <w:rsid w:val="00A105B5"/>
    <w:rsid w:val="00A210D8"/>
    <w:rsid w:val="00A2231E"/>
    <w:rsid w:val="00A558F4"/>
    <w:rsid w:val="00A60B73"/>
    <w:rsid w:val="00A66E61"/>
    <w:rsid w:val="00A74664"/>
    <w:rsid w:val="00AA718F"/>
    <w:rsid w:val="00AE2664"/>
    <w:rsid w:val="00B06CEE"/>
    <w:rsid w:val="00B50D4A"/>
    <w:rsid w:val="00B606DF"/>
    <w:rsid w:val="00B63F89"/>
    <w:rsid w:val="00B75B32"/>
    <w:rsid w:val="00B90F04"/>
    <w:rsid w:val="00B91AA9"/>
    <w:rsid w:val="00BC3D79"/>
    <w:rsid w:val="00BC4C60"/>
    <w:rsid w:val="00BF3697"/>
    <w:rsid w:val="00C148A5"/>
    <w:rsid w:val="00C31F51"/>
    <w:rsid w:val="00C45BF1"/>
    <w:rsid w:val="00C6759A"/>
    <w:rsid w:val="00C7584B"/>
    <w:rsid w:val="00C83B5C"/>
    <w:rsid w:val="00CB4646"/>
    <w:rsid w:val="00CC70B8"/>
    <w:rsid w:val="00CD5EAB"/>
    <w:rsid w:val="00CD7EC6"/>
    <w:rsid w:val="00D3292B"/>
    <w:rsid w:val="00D47981"/>
    <w:rsid w:val="00D55112"/>
    <w:rsid w:val="00D63DE8"/>
    <w:rsid w:val="00D92738"/>
    <w:rsid w:val="00DA325F"/>
    <w:rsid w:val="00DA70EA"/>
    <w:rsid w:val="00DB7AD4"/>
    <w:rsid w:val="00DC26B7"/>
    <w:rsid w:val="00DD0B98"/>
    <w:rsid w:val="00DF137C"/>
    <w:rsid w:val="00E26518"/>
    <w:rsid w:val="00E3178B"/>
    <w:rsid w:val="00E33041"/>
    <w:rsid w:val="00E365FA"/>
    <w:rsid w:val="00E430C6"/>
    <w:rsid w:val="00E57205"/>
    <w:rsid w:val="00E6050D"/>
    <w:rsid w:val="00E74085"/>
    <w:rsid w:val="00E86987"/>
    <w:rsid w:val="00EA2398"/>
    <w:rsid w:val="00EC1755"/>
    <w:rsid w:val="00EC1F6A"/>
    <w:rsid w:val="00ED3D93"/>
    <w:rsid w:val="00ED6116"/>
    <w:rsid w:val="00F322EC"/>
    <w:rsid w:val="00F34659"/>
    <w:rsid w:val="00F36C9E"/>
    <w:rsid w:val="00F50B82"/>
    <w:rsid w:val="00F539DD"/>
    <w:rsid w:val="00F5619A"/>
    <w:rsid w:val="00F56410"/>
    <w:rsid w:val="00F75CE5"/>
    <w:rsid w:val="00F96495"/>
    <w:rsid w:val="00FB17CF"/>
    <w:rsid w:val="00FC0326"/>
    <w:rsid w:val="00FD4B72"/>
    <w:rsid w:val="00FF32E3"/>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5</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12257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Someone Somewhere</cp:lastModifiedBy>
  <cp:revision>5</cp:revision>
  <cp:lastPrinted>2011-01-13T15:51:00Z</cp:lastPrinted>
  <dcterms:created xsi:type="dcterms:W3CDTF">2015-08-07T14:17:00Z</dcterms:created>
  <dcterms:modified xsi:type="dcterms:W3CDTF">2024-03-17T04:36:00Z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