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3" w:after="93"/>
      </w:pPr>
      <w:r>
        <w:t xml:space="preserve">Chapter 1 </w:t>
      </w:r>
      <w:r>
        <w:rPr>
          <w:rFonts w:hint="eastAsia"/>
        </w:rPr>
        <w:t>证券市场基础知识</w:t>
      </w:r>
    </w:p>
    <w:p>
      <w:pPr>
        <w:pStyle w:val="3"/>
      </w:pPr>
      <w:r>
        <w:rPr>
          <w:rFonts w:hint="eastAsia"/>
        </w:rPr>
        <w:t>金融市场</w:t>
      </w:r>
    </w:p>
    <w:p>
      <w:pPr>
        <w:pStyle w:val="5"/>
      </w:pPr>
      <w:r>
        <w:rPr>
          <w:rFonts w:hint="eastAsia"/>
        </w:rPr>
        <w:t>基本功能</w:t>
      </w:r>
    </w:p>
    <w:p>
      <w:pPr>
        <w:numPr>
          <w:ilvl w:val="0"/>
          <w:numId w:val="4"/>
        </w:numPr>
      </w:pPr>
      <w:r>
        <w:rPr>
          <w:rFonts w:hint="eastAsia"/>
        </w:rPr>
        <w:t>通过帮助实体实现目的</w:t>
      </w:r>
    </w:p>
    <w:p>
      <w:pPr>
        <w:numPr>
          <w:ilvl w:val="1"/>
          <w:numId w:val="4"/>
        </w:numPr>
      </w:pPr>
      <w:r>
        <w:rPr>
          <w:rFonts w:hint="eastAsia"/>
        </w:rPr>
        <w:t>包括储蓄、借贷、募资、hedge、investor/arbitrage、information motivated trader（有好的投资模型、高风险投资）</w:t>
      </w:r>
    </w:p>
    <w:p>
      <w:pPr>
        <w:numPr>
          <w:ilvl w:val="0"/>
          <w:numId w:val="4"/>
        </w:numPr>
      </w:pPr>
      <w:r>
        <w:rPr>
          <w:rFonts w:hint="eastAsia"/>
        </w:rPr>
        <w:t>确定市场均衡回报率</w:t>
      </w:r>
    </w:p>
    <w:p>
      <w:pPr>
        <w:numPr>
          <w:ilvl w:val="0"/>
          <w:numId w:val="4"/>
        </w:numPr>
      </w:pPr>
      <w:r>
        <w:rPr>
          <w:rFonts w:hint="eastAsia"/>
        </w:rPr>
        <w:t>资金分配有效</w:t>
      </w:r>
    </w:p>
    <w:p>
      <w:pPr>
        <w:pStyle w:val="5"/>
      </w:pPr>
      <w:r>
        <w:rPr>
          <w:rFonts w:hint="eastAsia"/>
        </w:rPr>
        <w:t>监管和评估</w:t>
      </w:r>
    </w:p>
    <w:p>
      <w:pPr>
        <w:numPr>
          <w:ilvl w:val="0"/>
          <w:numId w:val="5"/>
        </w:numPr>
      </w:pPr>
      <w:r>
        <w:rPr>
          <w:rFonts w:hint="eastAsia"/>
        </w:rPr>
        <w:t>公正，公平，公开</w:t>
      </w:r>
    </w:p>
    <w:p>
      <w:pPr>
        <w:pStyle w:val="5"/>
      </w:pPr>
      <w:r>
        <w:rPr>
          <w:rFonts w:hint="eastAsia"/>
        </w:rPr>
        <w:t>Well -function的资本市场</w:t>
      </w:r>
    </w:p>
    <w:p>
      <w:pPr>
        <w:numPr>
          <w:ilvl w:val="0"/>
          <w:numId w:val="6"/>
        </w:numPr>
      </w:pPr>
      <w:r>
        <w:t>Completee markets</w:t>
      </w:r>
      <w:r>
        <w:rPr>
          <w:rFonts w:hint="eastAsia"/>
        </w:rPr>
        <w:t>：各种功能都有，做空等</w:t>
      </w:r>
    </w:p>
    <w:p>
      <w:pPr>
        <w:numPr>
          <w:ilvl w:val="0"/>
          <w:numId w:val="6"/>
        </w:numPr>
      </w:pPr>
      <w:r>
        <w:t>Operational efficient</w:t>
      </w:r>
      <w:r>
        <w:rPr>
          <w:rFonts w:hint="eastAsia"/>
        </w:rPr>
        <w:t>：体现交易成本比较合理</w:t>
      </w:r>
    </w:p>
    <w:p>
      <w:pPr>
        <w:numPr>
          <w:ilvl w:val="0"/>
          <w:numId w:val="6"/>
        </w:numPr>
      </w:pPr>
      <w:r>
        <w:t>Informationally efficient</w:t>
      </w:r>
      <w:r>
        <w:rPr>
          <w:rFonts w:hint="eastAsia"/>
        </w:rPr>
        <w:t>：最最基本的信息公开</w:t>
      </w:r>
    </w:p>
    <w:p>
      <w:pPr>
        <w:numPr>
          <w:ilvl w:val="0"/>
          <w:numId w:val="6"/>
        </w:numPr>
      </w:pPr>
      <w:r>
        <w:t>Allocational</w:t>
      </w:r>
      <w:r>
        <w:rPr>
          <w:rFonts w:hint="eastAsia"/>
        </w:rPr>
        <w:t xml:space="preserve"> </w:t>
      </w:r>
      <w:r>
        <w:t>efficient</w:t>
      </w:r>
      <w:r>
        <w:rPr>
          <w:rFonts w:hint="eastAsia"/>
        </w:rPr>
        <w:t>：分配</w:t>
      </w:r>
    </w:p>
    <w:p>
      <w:pPr>
        <w:pStyle w:val="5"/>
      </w:pPr>
      <w:r>
        <w:rPr>
          <w:rFonts w:hint="eastAsia"/>
        </w:rPr>
        <w:t>分类</w:t>
      </w:r>
    </w:p>
    <w:p>
      <w:pPr>
        <w:numPr>
          <w:ilvl w:val="0"/>
          <w:numId w:val="7"/>
        </w:numPr>
      </w:pPr>
      <w:r>
        <w:rPr>
          <w:rFonts w:hint="eastAsia"/>
        </w:rPr>
        <w:t>Based on delivery date:spot markets vs. futures markets</w:t>
      </w:r>
    </w:p>
    <w:p>
      <w:pPr>
        <w:numPr>
          <w:ilvl w:val="0"/>
          <w:numId w:val="7"/>
        </w:numPr>
      </w:pPr>
      <w:r>
        <w:rPr>
          <w:rFonts w:hint="eastAsia"/>
        </w:rPr>
        <w:t>Based on time maturity：money markets vS. capital markets</w:t>
      </w:r>
    </w:p>
    <w:p>
      <w:pPr>
        <w:numPr>
          <w:ilvl w:val="0"/>
          <w:numId w:val="7"/>
        </w:numPr>
      </w:pPr>
      <w:r>
        <w:rPr>
          <w:rFonts w:hint="eastAsia"/>
        </w:rPr>
        <w:t>Based on position and underlying:traditional markets vs. alternative markets</w:t>
      </w:r>
    </w:p>
    <w:p>
      <w:pPr>
        <w:numPr>
          <w:ilvl w:val="0"/>
          <w:numId w:val="7"/>
        </w:numPr>
      </w:pPr>
      <w:r>
        <w:rPr>
          <w:rFonts w:hint="eastAsia"/>
        </w:rPr>
        <w:t>Based on capital flow: primary markets vs. secondary markets</w:t>
      </w:r>
    </w:p>
    <w:p>
      <w:pPr>
        <w:pStyle w:val="3"/>
      </w:pPr>
      <w:r>
        <w:rPr>
          <w:rFonts w:hint="eastAsia"/>
        </w:rPr>
        <w:t>金融中介</w:t>
      </w:r>
    </w:p>
    <w:p>
      <w:pPr>
        <w:numPr>
          <w:ilvl w:val="0"/>
          <w:numId w:val="8"/>
        </w:numPr>
        <w:ind w:left="840"/>
      </w:pPr>
      <w:r>
        <w:rPr>
          <w:rFonts w:hint="eastAsia"/>
        </w:rPr>
        <w:t>Broker：作为你的代理人，block brokers做大宗交易的</w:t>
      </w:r>
    </w:p>
    <w:p>
      <w:pPr>
        <w:numPr>
          <w:ilvl w:val="0"/>
          <w:numId w:val="8"/>
        </w:numPr>
        <w:ind w:left="840"/>
      </w:pPr>
      <w:r>
        <w:rPr>
          <w:rFonts w:hint="eastAsia"/>
        </w:rPr>
        <w:t>Dealer：交易对手方</w:t>
      </w:r>
    </w:p>
    <w:p>
      <w:pPr>
        <w:numPr>
          <w:ilvl w:val="1"/>
          <w:numId w:val="8"/>
        </w:numPr>
        <w:ind w:left="1260"/>
      </w:pPr>
      <w:r>
        <w:rPr>
          <w:rFonts w:hint="eastAsia"/>
        </w:rPr>
        <w:t>两者对价格追求相反，conflict of interest</w:t>
      </w:r>
    </w:p>
    <w:p>
      <w:pPr>
        <w:numPr>
          <w:ilvl w:val="0"/>
          <w:numId w:val="9"/>
        </w:numPr>
        <w:ind w:left="840"/>
      </w:pPr>
      <w:r>
        <w:rPr>
          <w:rFonts w:hint="eastAsia"/>
        </w:rPr>
        <w:t>Investment banks：投行，发行</w:t>
      </w:r>
    </w:p>
    <w:p>
      <w:pPr>
        <w:numPr>
          <w:ilvl w:val="0"/>
          <w:numId w:val="9"/>
        </w:numPr>
        <w:ind w:left="840"/>
      </w:pPr>
      <w:r>
        <w:rPr>
          <w:rFonts w:hint="eastAsia"/>
        </w:rPr>
        <w:t>Securitizers：券商，资产打包证券化</w:t>
      </w:r>
    </w:p>
    <w:p>
      <w:pPr>
        <w:numPr>
          <w:ilvl w:val="0"/>
          <w:numId w:val="9"/>
        </w:numPr>
        <w:ind w:left="840"/>
      </w:pPr>
      <w:r>
        <w:t>Alternative</w:t>
      </w:r>
      <w:r>
        <w:rPr>
          <w:rFonts w:hint="eastAsia"/>
        </w:rPr>
        <w:t xml:space="preserve"> </w:t>
      </w:r>
      <w:r>
        <w:t>trading</w:t>
      </w:r>
      <w:r>
        <w:rPr>
          <w:rFonts w:hint="eastAsia"/>
        </w:rPr>
        <w:t xml:space="preserve"> </w:t>
      </w:r>
      <w:r>
        <w:t>systems（ATS），a.ka,electronic</w:t>
      </w:r>
      <w:r>
        <w:rPr>
          <w:rFonts w:hint="eastAsia"/>
        </w:rPr>
        <w:t xml:space="preserve"> </w:t>
      </w:r>
      <w:r>
        <w:t>communication</w:t>
      </w:r>
      <w:r>
        <w:rPr>
          <w:rFonts w:hint="eastAsia"/>
        </w:rPr>
        <w:t xml:space="preserve"> </w:t>
      </w:r>
      <w:r>
        <w:t>networks（ECNs）or multilateral</w:t>
      </w:r>
      <w:r>
        <w:rPr>
          <w:rFonts w:hint="eastAsia"/>
        </w:rPr>
        <w:t xml:space="preserve"> </w:t>
      </w:r>
      <w:r>
        <w:t>trading</w:t>
      </w:r>
      <w:r>
        <w:rPr>
          <w:rFonts w:hint="eastAsia"/>
        </w:rPr>
        <w:t xml:space="preserve"> </w:t>
      </w:r>
      <w:r>
        <w:t>facilities（MTFs）</w:t>
      </w:r>
    </w:p>
    <w:p>
      <w:pPr>
        <w:numPr>
          <w:ilvl w:val="1"/>
          <w:numId w:val="9"/>
        </w:numPr>
        <w:ind w:left="1260"/>
      </w:pPr>
      <w:r>
        <w:rPr>
          <w:rFonts w:hint="eastAsia"/>
        </w:rPr>
        <w:t>——类似于交易所的电子交易系统</w:t>
      </w:r>
    </w:p>
    <w:p>
      <w:pPr>
        <w:numPr>
          <w:ilvl w:val="0"/>
          <w:numId w:val="9"/>
        </w:numPr>
        <w:ind w:left="840"/>
      </w:pPr>
      <w:r>
        <w:t>Arbitrageurs</w:t>
      </w:r>
      <w:r>
        <w:rPr>
          <w:rFonts w:hint="eastAsia"/>
        </w:rPr>
        <w:t>套利商</w:t>
      </w:r>
    </w:p>
    <w:p>
      <w:pPr>
        <w:numPr>
          <w:ilvl w:val="0"/>
          <w:numId w:val="9"/>
        </w:numPr>
        <w:ind w:left="840"/>
      </w:pPr>
      <w:r>
        <w:t>Clearing</w:t>
      </w:r>
      <w:r>
        <w:rPr>
          <w:rFonts w:hint="eastAsia"/>
        </w:rPr>
        <w:t xml:space="preserve"> </w:t>
      </w:r>
      <w:r>
        <w:t>houses</w:t>
      </w:r>
      <w:r>
        <w:rPr>
          <w:rFonts w:hint="eastAsia"/>
        </w:rPr>
        <w:t>清算所</w:t>
      </w:r>
    </w:p>
    <w:p>
      <w:pPr>
        <w:numPr>
          <w:ilvl w:val="0"/>
          <w:numId w:val="9"/>
        </w:numPr>
        <w:ind w:left="840"/>
      </w:pPr>
      <w:r>
        <w:t>Custodians</w:t>
      </w:r>
      <w:r>
        <w:rPr>
          <w:rFonts w:hint="eastAsia"/>
        </w:rPr>
        <w:t>托管机构</w:t>
      </w:r>
    </w:p>
    <w:p>
      <w:pPr>
        <w:numPr>
          <w:ilvl w:val="0"/>
          <w:numId w:val="9"/>
        </w:numPr>
        <w:ind w:left="840"/>
      </w:pPr>
      <w:r>
        <w:t>Exchanges</w:t>
      </w:r>
      <w:r>
        <w:rPr>
          <w:rFonts w:hint="eastAsia"/>
        </w:rPr>
        <w:t>交易所</w:t>
      </w:r>
    </w:p>
    <w:p>
      <w:pPr>
        <w:numPr>
          <w:ilvl w:val="0"/>
          <w:numId w:val="9"/>
        </w:numPr>
        <w:ind w:left="840"/>
      </w:pPr>
      <w:r>
        <w:t>Depository</w:t>
      </w:r>
      <w:r>
        <w:rPr>
          <w:rFonts w:hint="eastAsia"/>
        </w:rPr>
        <w:t xml:space="preserve"> </w:t>
      </w:r>
      <w:r>
        <w:t>institutions</w:t>
      </w:r>
      <w:r>
        <w:rPr>
          <w:rFonts w:hint="eastAsia"/>
        </w:rPr>
        <w:t>存款机构</w:t>
      </w:r>
    </w:p>
    <w:p>
      <w:pPr>
        <w:numPr>
          <w:ilvl w:val="0"/>
          <w:numId w:val="9"/>
        </w:numPr>
        <w:ind w:left="840"/>
      </w:pPr>
      <w:r>
        <w:t>Insurance</w:t>
      </w:r>
      <w:r>
        <w:rPr>
          <w:rFonts w:hint="eastAsia"/>
        </w:rPr>
        <w:t xml:space="preserve"> </w:t>
      </w:r>
      <w:r>
        <w:t>companies</w:t>
      </w:r>
      <w:r>
        <w:rPr>
          <w:rFonts w:hint="eastAsia"/>
        </w:rPr>
        <w:t xml:space="preserve"> 保险机构</w:t>
      </w:r>
    </w:p>
    <w:p>
      <w:pPr>
        <w:pStyle w:val="3"/>
      </w:pPr>
      <w:r>
        <w:rPr>
          <w:rFonts w:hint="eastAsia"/>
        </w:rPr>
        <w:t>一级市场</w:t>
      </w:r>
    </w:p>
    <w:p>
      <w:pPr>
        <w:pStyle w:val="5"/>
        <w:numPr>
          <w:ilvl w:val="0"/>
          <w:numId w:val="10"/>
        </w:numPr>
      </w:pPr>
      <w:r>
        <w:t>Public offering</w:t>
      </w:r>
    </w:p>
    <w:p>
      <w:pPr>
        <w:numPr>
          <w:ilvl w:val="0"/>
          <w:numId w:val="11"/>
        </w:numPr>
        <w:ind w:left="840"/>
      </w:pPr>
      <w:r>
        <w:rPr>
          <w:rFonts w:hint="eastAsia"/>
        </w:rPr>
        <w:t>IPO</w:t>
      </w:r>
    </w:p>
    <w:p>
      <w:pPr>
        <w:pStyle w:val="5"/>
        <w:numPr>
          <w:ilvl w:val="0"/>
          <w:numId w:val="12"/>
        </w:numPr>
        <w:ind w:left="1260"/>
        <w:rPr>
          <w:b w:val="0"/>
          <w:bCs/>
        </w:rPr>
      </w:pPr>
      <w:r>
        <w:rPr>
          <w:rFonts w:hint="eastAsia"/>
          <w:b w:val="0"/>
          <w:bCs/>
        </w:rPr>
        <w:t>Underwritten offering 包销——全买</w:t>
      </w:r>
    </w:p>
    <w:p>
      <w:pPr>
        <w:pStyle w:val="5"/>
        <w:numPr>
          <w:ilvl w:val="0"/>
          <w:numId w:val="12"/>
        </w:numPr>
        <w:ind w:left="1260"/>
      </w:pPr>
      <w:r>
        <w:rPr>
          <w:rFonts w:hint="eastAsia"/>
          <w:b w:val="0"/>
          <w:bCs/>
        </w:rPr>
        <w:t>Best efforts offering 代销——只买一部分</w:t>
      </w:r>
    </w:p>
    <w:p>
      <w:pPr>
        <w:numPr>
          <w:ilvl w:val="0"/>
          <w:numId w:val="13"/>
        </w:numPr>
        <w:ind w:left="840"/>
        <w:rPr>
          <w:bCs/>
        </w:rPr>
      </w:pPr>
      <w:r>
        <w:rPr>
          <w:rFonts w:hint="eastAsia"/>
          <w:bCs/>
        </w:rPr>
        <w:t>Seasoned offerings（secondary issues）——再发行</w:t>
      </w:r>
    </w:p>
    <w:p>
      <w:pPr>
        <w:pStyle w:val="5"/>
      </w:pPr>
      <w:r>
        <w:t>Private placement</w:t>
      </w:r>
    </w:p>
    <w:p>
      <w:pPr>
        <w:pStyle w:val="5"/>
      </w:pPr>
      <w:r>
        <w:t xml:space="preserve">Shelf registration </w:t>
      </w:r>
      <w:r>
        <w:rPr>
          <w:rFonts w:hint="eastAsia"/>
        </w:rPr>
        <w:t>：一次性审批，</w:t>
      </w:r>
      <w:r>
        <w:t>分批发行</w:t>
      </w:r>
    </w:p>
    <w:p>
      <w:pPr>
        <w:pStyle w:val="5"/>
      </w:pPr>
      <w:r>
        <w:rPr>
          <w:rFonts w:hint="eastAsia"/>
        </w:rPr>
        <w:t>Dividend reinvestment plans（DRPs）：将股息再投资</w:t>
      </w:r>
    </w:p>
    <w:p>
      <w:pPr>
        <w:pStyle w:val="5"/>
      </w:pPr>
      <w:r>
        <w:rPr>
          <w:rFonts w:hint="eastAsia"/>
        </w:rPr>
        <w:t>Rights offering：配股，向已有股东折价发行</w:t>
      </w:r>
    </w:p>
    <w:p>
      <w:pPr>
        <w:pStyle w:val="3"/>
      </w:pPr>
      <w:r>
        <w:rPr>
          <w:rFonts w:hint="eastAsia"/>
        </w:rPr>
        <w:t>二级市场</w:t>
      </w:r>
    </w:p>
    <w:p>
      <w:pPr>
        <w:pStyle w:val="5"/>
        <w:numPr>
          <w:ilvl w:val="0"/>
          <w:numId w:val="14"/>
        </w:numPr>
      </w:pPr>
      <w:r>
        <w:rPr>
          <w:rFonts w:hint="eastAsia"/>
        </w:rPr>
        <w:t>Trading session分类</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bCs/>
              </w:rPr>
            </w:pPr>
          </w:p>
        </w:tc>
        <w:tc>
          <w:tcPr>
            <w:tcW w:w="2130" w:type="dxa"/>
          </w:tcPr>
          <w:p>
            <w:pPr>
              <w:rPr>
                <w:bCs/>
              </w:rPr>
            </w:pPr>
            <w:r>
              <w:rPr>
                <w:rFonts w:hint="eastAsia"/>
                <w:bCs/>
              </w:rPr>
              <w:t>特点</w:t>
            </w:r>
          </w:p>
        </w:tc>
        <w:tc>
          <w:tcPr>
            <w:tcW w:w="2131" w:type="dxa"/>
          </w:tcPr>
          <w:p>
            <w:pPr>
              <w:rPr>
                <w:bCs/>
              </w:rPr>
            </w:pPr>
            <w:r>
              <w:rPr>
                <w:rFonts w:hint="eastAsia"/>
                <w:bCs/>
              </w:rPr>
              <w:t>优点</w:t>
            </w:r>
          </w:p>
        </w:tc>
        <w:tc>
          <w:tcPr>
            <w:tcW w:w="2131" w:type="dxa"/>
          </w:tcPr>
          <w:p>
            <w:pPr>
              <w:rPr>
                <w:bCs/>
              </w:rPr>
            </w:pPr>
            <w:r>
              <w:rPr>
                <w:rFonts w:hint="eastAsia"/>
                <w:bCs/>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bCs/>
              </w:rPr>
            </w:pPr>
            <w:r>
              <w:rPr>
                <w:rFonts w:hint="eastAsia"/>
                <w:bCs/>
              </w:rPr>
              <w:t>Call Market</w:t>
            </w:r>
          </w:p>
          <w:p>
            <w:pPr>
              <w:rPr>
                <w:bCs/>
              </w:rPr>
            </w:pPr>
            <w:r>
              <w:rPr>
                <w:rFonts w:hint="eastAsia"/>
                <w:bCs/>
              </w:rPr>
              <w:t>集合竞价市场</w:t>
            </w:r>
          </w:p>
          <w:p>
            <w:pPr>
              <w:rPr>
                <w:bCs/>
              </w:rPr>
            </w:pPr>
            <w:r>
              <w:rPr>
                <w:rFonts w:hint="eastAsia"/>
                <w:bCs/>
              </w:rPr>
              <w:t>A股最开盘和最收盘</w:t>
            </w:r>
          </w:p>
        </w:tc>
        <w:tc>
          <w:tcPr>
            <w:tcW w:w="2130" w:type="dxa"/>
          </w:tcPr>
          <w:p>
            <w:pPr>
              <w:rPr>
                <w:bCs/>
              </w:rPr>
            </w:pPr>
            <w:r>
              <w:rPr>
                <w:rFonts w:hint="eastAsia"/>
                <w:bCs/>
              </w:rPr>
              <w:t>集合所有orders，以单一价格，进行撮合实现最大交易量</w:t>
            </w:r>
          </w:p>
        </w:tc>
        <w:tc>
          <w:tcPr>
            <w:tcW w:w="2131" w:type="dxa"/>
          </w:tcPr>
          <w:p>
            <w:pPr>
              <w:rPr>
                <w:bCs/>
              </w:rPr>
            </w:pPr>
            <w:r>
              <w:rPr>
                <w:rFonts w:hint="eastAsia"/>
                <w:bCs/>
              </w:rPr>
              <w:t>对于买卖双方轻松找到合适对手方</w:t>
            </w:r>
          </w:p>
        </w:tc>
        <w:tc>
          <w:tcPr>
            <w:tcW w:w="2131" w:type="dxa"/>
          </w:tcPr>
          <w:p>
            <w:pPr>
              <w:rPr>
                <w:bCs/>
              </w:rPr>
            </w:pPr>
            <w:r>
              <w:rPr>
                <w:rFonts w:hint="eastAsia"/>
                <w:bCs/>
              </w:rPr>
              <w:t>只能在特定时间交易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bCs/>
              </w:rPr>
            </w:pPr>
            <w:r>
              <w:rPr>
                <w:rFonts w:hint="eastAsia"/>
                <w:bCs/>
              </w:rPr>
              <w:t>Continuous Market</w:t>
            </w:r>
          </w:p>
          <w:p>
            <w:pPr>
              <w:rPr>
                <w:bCs/>
              </w:rPr>
            </w:pPr>
            <w:r>
              <w:rPr>
                <w:rFonts w:hint="eastAsia"/>
                <w:bCs/>
              </w:rPr>
              <w:t>连续竞价</w:t>
            </w:r>
          </w:p>
        </w:tc>
        <w:tc>
          <w:tcPr>
            <w:tcW w:w="2130" w:type="dxa"/>
          </w:tcPr>
          <w:p>
            <w:pPr>
              <w:rPr>
                <w:bCs/>
              </w:rPr>
            </w:pPr>
            <w:r>
              <w:rPr>
                <w:rFonts w:hint="eastAsia"/>
                <w:bCs/>
              </w:rPr>
              <w:t>不断进行交易</w:t>
            </w:r>
          </w:p>
        </w:tc>
        <w:tc>
          <w:tcPr>
            <w:tcW w:w="2131" w:type="dxa"/>
          </w:tcPr>
          <w:p>
            <w:pPr>
              <w:rPr>
                <w:bCs/>
              </w:rPr>
            </w:pPr>
            <w:r>
              <w:rPr>
                <w:rFonts w:hint="eastAsia"/>
                <w:bCs/>
              </w:rPr>
              <w:t>买卖双方可以不断交易</w:t>
            </w:r>
          </w:p>
        </w:tc>
        <w:tc>
          <w:tcPr>
            <w:tcW w:w="2131" w:type="dxa"/>
          </w:tcPr>
          <w:p>
            <w:pPr>
              <w:rPr>
                <w:bCs/>
              </w:rPr>
            </w:pPr>
            <w:r>
              <w:rPr>
                <w:rFonts w:hint="eastAsia"/>
                <w:bCs/>
              </w:rPr>
              <w:t>如果买卖双方进场时间不同，就无法进行交易</w:t>
            </w:r>
          </w:p>
        </w:tc>
      </w:tr>
    </w:tbl>
    <w:p>
      <w:pPr>
        <w:pStyle w:val="5"/>
      </w:pPr>
      <w:r>
        <w:rPr>
          <w:rFonts w:hint="eastAsia"/>
        </w:rPr>
        <w:t>交易机制分类</w:t>
      </w:r>
    </w:p>
    <w:p>
      <w:pPr>
        <w:numPr>
          <w:ilvl w:val="0"/>
          <w:numId w:val="15"/>
        </w:numPr>
        <w:rPr>
          <w:bCs/>
        </w:rPr>
      </w:pPr>
      <w:r>
        <w:rPr>
          <w:bCs/>
        </w:rPr>
        <w:t xml:space="preserve">Quote-driven markets </w:t>
      </w:r>
    </w:p>
    <w:p>
      <w:pPr>
        <w:numPr>
          <w:ilvl w:val="1"/>
          <w:numId w:val="15"/>
        </w:numPr>
        <w:rPr>
          <w:bCs/>
        </w:rPr>
      </w:pPr>
      <w:r>
        <w:rPr>
          <w:rFonts w:hint="eastAsia"/>
          <w:bCs/>
        </w:rPr>
        <w:t>也称作</w:t>
      </w:r>
      <w:r>
        <w:rPr>
          <w:bCs/>
        </w:rPr>
        <w:t>price-driven markets,dealer markets</w:t>
      </w:r>
    </w:p>
    <w:p>
      <w:pPr>
        <w:numPr>
          <w:ilvl w:val="1"/>
          <w:numId w:val="15"/>
        </w:numPr>
        <w:rPr>
          <w:bCs/>
        </w:rPr>
      </w:pPr>
      <w:r>
        <w:rPr>
          <w:rFonts w:hint="eastAsia"/>
          <w:bCs/>
        </w:rPr>
        <w:t>以dealer给的价格trade</w:t>
      </w:r>
    </w:p>
    <w:p>
      <w:pPr>
        <w:numPr>
          <w:ilvl w:val="0"/>
          <w:numId w:val="15"/>
        </w:numPr>
        <w:rPr>
          <w:bCs/>
        </w:rPr>
      </w:pPr>
      <w:r>
        <w:rPr>
          <w:bCs/>
        </w:rPr>
        <w:t xml:space="preserve">Brokered markets </w:t>
      </w:r>
    </w:p>
    <w:p>
      <w:pPr>
        <w:numPr>
          <w:ilvl w:val="1"/>
          <w:numId w:val="15"/>
        </w:numPr>
        <w:rPr>
          <w:bCs/>
        </w:rPr>
      </w:pPr>
      <w:r>
        <w:rPr>
          <w:rFonts w:hint="eastAsia"/>
          <w:bCs/>
        </w:rPr>
        <w:t>一般是要买的股票</w:t>
      </w:r>
      <w:r>
        <w:rPr>
          <w:bCs/>
        </w:rPr>
        <w:t xml:space="preserve"> unique or illiquid</w:t>
      </w:r>
    </w:p>
    <w:p>
      <w:pPr>
        <w:numPr>
          <w:ilvl w:val="0"/>
          <w:numId w:val="15"/>
        </w:numPr>
        <w:rPr>
          <w:bCs/>
        </w:rPr>
      </w:pPr>
      <w:r>
        <w:rPr>
          <w:bCs/>
        </w:rPr>
        <w:t xml:space="preserve">Order matching </w:t>
      </w:r>
      <w:r>
        <w:rPr>
          <w:rFonts w:hint="eastAsia"/>
          <w:bCs/>
        </w:rPr>
        <w:t>markets指令驱动</w:t>
      </w:r>
    </w:p>
    <w:p>
      <w:pPr>
        <w:numPr>
          <w:ilvl w:val="1"/>
          <w:numId w:val="15"/>
        </w:numPr>
        <w:rPr>
          <w:bCs/>
        </w:rPr>
      </w:pPr>
      <w:r>
        <w:rPr>
          <w:rFonts w:hint="eastAsia"/>
          <w:bCs/>
        </w:rPr>
        <w:t xml:space="preserve">Order matching </w:t>
      </w:r>
      <w:r>
        <w:rPr>
          <w:bCs/>
        </w:rPr>
        <w:t>rules:</w:t>
      </w:r>
      <w:r>
        <w:rPr>
          <w:rFonts w:hint="eastAsia"/>
          <w:bCs/>
        </w:rPr>
        <w:t>按照以下顺序</w:t>
      </w:r>
      <w:r>
        <w:rPr>
          <w:bCs/>
        </w:rPr>
        <w:t>①Price priority</w:t>
      </w:r>
      <w:r>
        <w:rPr>
          <w:rFonts w:hint="eastAsia"/>
          <w:bCs/>
        </w:rPr>
        <w:t>（价格优先）</w:t>
      </w:r>
      <w:r>
        <w:rPr>
          <w:bCs/>
        </w:rPr>
        <w:t>②Display precedence</w:t>
      </w:r>
      <w:r>
        <w:rPr>
          <w:rFonts w:hint="eastAsia"/>
          <w:bCs/>
        </w:rPr>
        <w:t>（不透露买多少量的往后排）</w:t>
      </w:r>
      <w:r>
        <w:rPr>
          <w:bCs/>
        </w:rPr>
        <w:t xml:space="preserve">③Time precedence </w:t>
      </w:r>
    </w:p>
    <w:p>
      <w:pPr>
        <w:numPr>
          <w:ilvl w:val="1"/>
          <w:numId w:val="15"/>
        </w:numPr>
        <w:rPr>
          <w:bCs/>
        </w:rPr>
      </w:pPr>
      <w:r>
        <w:rPr>
          <w:bCs/>
        </w:rPr>
        <w:t>Trading pricing rules:</w:t>
      </w:r>
      <w:r>
        <w:rPr>
          <w:rFonts w:hint="eastAsia"/>
          <w:bCs/>
        </w:rPr>
        <w:t>包括几种定价方式</w:t>
      </w:r>
    </w:p>
    <w:p>
      <w:pPr>
        <w:numPr>
          <w:ilvl w:val="2"/>
          <w:numId w:val="15"/>
        </w:numPr>
        <w:rPr>
          <w:bCs/>
        </w:rPr>
      </w:pPr>
      <w:r>
        <w:rPr>
          <w:bCs/>
        </w:rPr>
        <w:t>Uniform pricing rule</w:t>
      </w:r>
      <w:r>
        <w:rPr>
          <w:rFonts w:hint="eastAsia"/>
          <w:bCs/>
        </w:rPr>
        <w:t>单一定价，集合竞价市场就是</w:t>
      </w:r>
    </w:p>
    <w:p>
      <w:pPr>
        <w:numPr>
          <w:ilvl w:val="2"/>
          <w:numId w:val="15"/>
        </w:numPr>
        <w:rPr>
          <w:bCs/>
        </w:rPr>
      </w:pPr>
      <w:r>
        <w:rPr>
          <w:bCs/>
        </w:rPr>
        <w:t>Discriminatory pricing rule</w:t>
      </w:r>
      <w:r>
        <w:rPr>
          <w:rFonts w:hint="eastAsia"/>
          <w:bCs/>
        </w:rPr>
        <w:t>歧视定价——不同时间买价，连续定价规则就是</w:t>
      </w:r>
    </w:p>
    <w:p>
      <w:pPr>
        <w:numPr>
          <w:ilvl w:val="2"/>
          <w:numId w:val="15"/>
        </w:numPr>
        <w:rPr>
          <w:bCs/>
        </w:rPr>
      </w:pPr>
      <w:r>
        <w:rPr>
          <w:bCs/>
        </w:rPr>
        <w:t>Derivative pricing rule</w:t>
      </w:r>
      <w:r>
        <w:rPr>
          <w:rFonts w:hint="eastAsia"/>
          <w:bCs/>
        </w:rPr>
        <w:t>使用其他市场的价格</w:t>
      </w:r>
    </w:p>
    <w:p>
      <w:pPr>
        <w:pStyle w:val="5"/>
      </w:pPr>
      <w:r>
        <w:rPr>
          <w:rFonts w:hint="eastAsia"/>
        </w:rPr>
        <w:t>资产分类</w:t>
      </w:r>
    </w:p>
    <w:p>
      <w:pPr>
        <w:numPr>
          <w:ilvl w:val="0"/>
          <w:numId w:val="16"/>
        </w:numPr>
        <w:rPr>
          <w:bCs/>
        </w:rPr>
      </w:pPr>
      <w:r>
        <w:rPr>
          <w:rFonts w:hint="eastAsia"/>
          <w:bCs/>
        </w:rPr>
        <w:t>Financial assets：证券和衍生品</w:t>
      </w:r>
    </w:p>
    <w:p>
      <w:pPr>
        <w:numPr>
          <w:ilvl w:val="0"/>
          <w:numId w:val="16"/>
        </w:numPr>
        <w:rPr>
          <w:bCs/>
        </w:rPr>
      </w:pPr>
      <w:r>
        <w:rPr>
          <w:rFonts w:hint="eastAsia"/>
          <w:bCs/>
        </w:rPr>
        <w:t>Physical asstes：大宗商品，不动产</w:t>
      </w:r>
    </w:p>
    <w:p>
      <w:pPr>
        <w:numPr>
          <w:ilvl w:val="0"/>
          <w:numId w:val="16"/>
        </w:numPr>
        <w:rPr>
          <w:bCs/>
        </w:rPr>
      </w:pPr>
      <w:r>
        <w:rPr>
          <w:rFonts w:hint="eastAsia"/>
          <w:bCs/>
        </w:rPr>
        <w:t>Currencies</w:t>
      </w:r>
    </w:p>
    <w:p>
      <w:pPr>
        <w:pStyle w:val="3"/>
      </w:pPr>
      <w:r>
        <w:rPr>
          <w:rFonts w:hint="eastAsia"/>
        </w:rPr>
        <w:t>头寸Position的基本概念</w:t>
      </w:r>
    </w:p>
    <w:p>
      <w:pPr>
        <w:numPr>
          <w:ilvl w:val="0"/>
          <w:numId w:val="17"/>
        </w:numPr>
        <w:rPr>
          <w:bCs/>
        </w:rPr>
      </w:pPr>
      <w:r>
        <w:rPr>
          <w:rFonts w:hint="eastAsia"/>
          <w:bCs/>
        </w:rPr>
        <w:t>Long position：将受益于资产/合约价格的上涨</w:t>
      </w:r>
    </w:p>
    <w:p>
      <w:pPr>
        <w:numPr>
          <w:ilvl w:val="0"/>
          <w:numId w:val="17"/>
        </w:numPr>
        <w:rPr>
          <w:bCs/>
        </w:rPr>
      </w:pPr>
      <w:r>
        <w:rPr>
          <w:rFonts w:hint="eastAsia"/>
          <w:bCs/>
        </w:rPr>
        <w:t>Short position：将受益于资产/合约价格的下跌</w:t>
      </w:r>
    </w:p>
    <w:p>
      <w:pPr>
        <w:rPr>
          <w:bCs/>
        </w:rPr>
      </w:pPr>
    </w:p>
    <w:p>
      <w:pPr>
        <w:numPr>
          <w:ilvl w:val="0"/>
          <w:numId w:val="18"/>
        </w:numPr>
        <w:rPr>
          <w:bCs/>
        </w:rPr>
      </w:pPr>
      <w:r>
        <w:rPr>
          <w:rFonts w:hint="eastAsia"/>
          <w:bCs/>
        </w:rPr>
        <w:t>注意long/short并不直接等于 买或卖</w:t>
      </w:r>
    </w:p>
    <w:p>
      <w:pPr>
        <w:rPr>
          <w:bCs/>
        </w:rPr>
      </w:pPr>
      <w:r>
        <w:rPr>
          <w:bCs/>
        </w:rPr>
        <w:drawing>
          <wp:inline distT="0" distB="0" distL="114300" distR="114300">
            <wp:extent cx="4496435" cy="1536065"/>
            <wp:effectExtent l="0" t="0" r="8890" b="6985"/>
            <wp:docPr id="2" name="图片 2" descr="截图_202301270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图_20230127020355"/>
                    <pic:cNvPicPr>
                      <a:picLocks noChangeAspect="1"/>
                    </pic:cNvPicPr>
                  </pic:nvPicPr>
                  <pic:blipFill>
                    <a:blip r:embed="rId6"/>
                    <a:stretch>
                      <a:fillRect/>
                    </a:stretch>
                  </pic:blipFill>
                  <pic:spPr>
                    <a:xfrm>
                      <a:off x="0" y="0"/>
                      <a:ext cx="4496435" cy="1536065"/>
                    </a:xfrm>
                    <a:prstGeom prst="rect">
                      <a:avLst/>
                    </a:prstGeom>
                  </pic:spPr>
                </pic:pic>
              </a:graphicData>
            </a:graphic>
          </wp:inline>
        </w:drawing>
      </w:r>
    </w:p>
    <w:p>
      <w:pPr>
        <w:rPr>
          <w:bCs/>
        </w:rPr>
      </w:pPr>
    </w:p>
    <w:p>
      <w:pPr>
        <w:pStyle w:val="3"/>
      </w:pPr>
      <w:r>
        <w:rPr>
          <w:rFonts w:hint="eastAsia"/>
        </w:rPr>
        <w:t>融券卖空</w:t>
      </w:r>
    </w:p>
    <w:p>
      <w:pPr>
        <w:numPr>
          <w:ilvl w:val="0"/>
          <w:numId w:val="19"/>
        </w:numPr>
      </w:pPr>
      <w:r>
        <w:rPr>
          <w:rFonts w:hint="eastAsia"/>
        </w:rPr>
        <w:t>借券卖掉，之后买回来还券</w:t>
      </w:r>
    </w:p>
    <w:p>
      <w:r>
        <w:rPr>
          <w:rFonts w:hint="eastAsia"/>
        </w:rPr>
        <w:t>第一步借券的过程：</w:t>
      </w:r>
    </w:p>
    <w:p>
      <w:pPr>
        <w:ind w:left="210" w:leftChars="100"/>
      </w:pPr>
      <w:r>
        <w:drawing>
          <wp:inline distT="0" distB="0" distL="114300" distR="114300">
            <wp:extent cx="5272405" cy="1764030"/>
            <wp:effectExtent l="0" t="0" r="4445" b="7620"/>
            <wp:docPr id="4" name="图片 4" descr="截图_2023012702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20230127022239"/>
                    <pic:cNvPicPr>
                      <a:picLocks noChangeAspect="1"/>
                    </pic:cNvPicPr>
                  </pic:nvPicPr>
                  <pic:blipFill>
                    <a:blip r:embed="rId7"/>
                    <a:stretch>
                      <a:fillRect/>
                    </a:stretch>
                  </pic:blipFill>
                  <pic:spPr>
                    <a:xfrm>
                      <a:off x="0" y="0"/>
                      <a:ext cx="5272405" cy="1764030"/>
                    </a:xfrm>
                    <a:prstGeom prst="rect">
                      <a:avLst/>
                    </a:prstGeom>
                  </pic:spPr>
                </pic:pic>
              </a:graphicData>
            </a:graphic>
          </wp:inline>
        </w:drawing>
      </w:r>
    </w:p>
    <w:p>
      <w:pPr>
        <w:numPr>
          <w:ilvl w:val="0"/>
          <w:numId w:val="20"/>
        </w:numPr>
      </w:pPr>
      <w:r>
        <w:rPr>
          <w:rFonts w:hint="eastAsia"/>
        </w:rPr>
        <w:t>由于股价最低是0，最多的受益就是之前卖出股票的价值，损失上不封顶</w:t>
      </w:r>
    </w:p>
    <w:p>
      <w:pPr>
        <w:numPr>
          <w:ilvl w:val="0"/>
          <w:numId w:val="20"/>
        </w:numPr>
      </w:pPr>
      <w:r>
        <w:rPr>
          <w:rFonts w:hint="eastAsia"/>
        </w:rPr>
        <w:t>卖出之后，必须要把现金作为</w:t>
      </w:r>
      <w:r>
        <w:t>collateral</w:t>
      </w:r>
    </w:p>
    <w:p>
      <w:pPr>
        <w:numPr>
          <w:ilvl w:val="0"/>
          <w:numId w:val="20"/>
        </w:numPr>
      </w:pPr>
      <w:r>
        <w:t>Payments-in-lieu:short sellers</w:t>
      </w:r>
      <w:r>
        <w:rPr>
          <w:rFonts w:hint="eastAsia"/>
        </w:rPr>
        <w:t>要代为给</w:t>
      </w:r>
      <w:r>
        <w:t>Security lender</w:t>
      </w:r>
      <w:r>
        <w:rPr>
          <w:rFonts w:hint="eastAsia"/>
        </w:rPr>
        <w:t>支付股利，但实际上股利给了卖出的股东</w:t>
      </w:r>
    </w:p>
    <w:p>
      <w:pPr>
        <w:numPr>
          <w:ilvl w:val="0"/>
          <w:numId w:val="20"/>
        </w:numPr>
      </w:pPr>
      <w:r>
        <w:t>Security lenders</w:t>
      </w:r>
      <w:r>
        <w:rPr>
          <w:rFonts w:hint="eastAsia"/>
        </w:rPr>
        <w:t>拿</w:t>
      </w:r>
      <w:r>
        <w:t xml:space="preserve"> collateral</w:t>
      </w:r>
      <w:r>
        <w:rPr>
          <w:rFonts w:hint="eastAsia"/>
        </w:rPr>
        <w:t>做短期投资，要对</w:t>
      </w:r>
      <w:r>
        <w:t>short sellers</w:t>
      </w:r>
      <w:r>
        <w:rPr>
          <w:rFonts w:hint="eastAsia"/>
        </w:rPr>
        <w:t>返点</w:t>
      </w:r>
    </w:p>
    <w:p>
      <w:pPr>
        <w:numPr>
          <w:ilvl w:val="1"/>
          <w:numId w:val="20"/>
        </w:numPr>
      </w:pPr>
      <w:r>
        <w:t>Short rebate rate</w:t>
      </w:r>
      <w:r>
        <w:rPr>
          <w:rFonts w:hint="eastAsia"/>
        </w:rPr>
        <w:t>=</w:t>
      </w:r>
      <w:r>
        <w:t>interest rate from investing</w:t>
      </w:r>
      <w:r>
        <w:rPr>
          <w:rFonts w:hint="eastAsia"/>
        </w:rPr>
        <w:t xml:space="preserve"> </w:t>
      </w:r>
      <w:r>
        <w:t xml:space="preserve">collateral </w:t>
      </w:r>
      <w:r>
        <w:rPr>
          <w:rFonts w:hint="eastAsia"/>
        </w:rPr>
        <w:t xml:space="preserve">- </w:t>
      </w:r>
      <w:r>
        <w:t>implicit loan fees</w:t>
      </w:r>
    </w:p>
    <w:p>
      <w:pPr>
        <w:numPr>
          <w:ilvl w:val="2"/>
          <w:numId w:val="20"/>
        </w:numPr>
      </w:pPr>
      <w:r>
        <w:rPr>
          <w:rFonts w:hint="eastAsia"/>
        </w:rPr>
        <w:t>可能为负数</w:t>
      </w:r>
    </w:p>
    <w:p>
      <w:pPr>
        <w:numPr>
          <w:ilvl w:val="2"/>
          <w:numId w:val="20"/>
        </w:numPr>
      </w:pPr>
      <w:r>
        <w:t>implicit loan fees</w:t>
      </w:r>
      <w:r>
        <w:rPr>
          <w:rFonts w:hint="eastAsia"/>
        </w:rPr>
        <w:t>取决于: 券是否稀有，</w:t>
      </w:r>
      <w:r>
        <w:t>collateral</w:t>
      </w:r>
      <w:r>
        <w:rPr>
          <w:rFonts w:hint="eastAsia"/>
        </w:rPr>
        <w:t>的投资风险，</w:t>
      </w:r>
      <w:r>
        <w:t>short sellers</w:t>
      </w:r>
      <w:r>
        <w:rPr>
          <w:rFonts w:hint="eastAsia"/>
        </w:rPr>
        <w:t>的违约风险</w:t>
      </w:r>
    </w:p>
    <w:p>
      <w:pPr>
        <w:pStyle w:val="3"/>
      </w:pPr>
      <w:r>
        <w:rPr>
          <w:rFonts w:hint="eastAsia"/>
        </w:rPr>
        <w:t>杠杆融资</w:t>
      </w:r>
    </w:p>
    <w:p>
      <w:pPr>
        <w:numPr>
          <w:ilvl w:val="0"/>
          <w:numId w:val="21"/>
        </w:numPr>
      </w:pPr>
      <w:r>
        <w:rPr>
          <w:rFonts w:hint="eastAsia"/>
        </w:rPr>
        <w:t>Equity自有资金，Margin Loan借的</w:t>
      </w:r>
    </w:p>
    <w:p>
      <w:pPr>
        <w:numPr>
          <w:ilvl w:val="1"/>
          <w:numId w:val="21"/>
        </w:numPr>
      </w:pPr>
      <w:r>
        <w:t>call</w:t>
      </w:r>
      <w:r>
        <w:rPr>
          <w:rFonts w:hint="eastAsia"/>
        </w:rPr>
        <w:t xml:space="preserve"> </w:t>
      </w:r>
      <w:r>
        <w:t>money rate</w:t>
      </w:r>
      <w:r>
        <w:rPr>
          <w:rFonts w:hint="eastAsia"/>
        </w:rPr>
        <w:t>：Margin Loan的借款利息费</w:t>
      </w:r>
    </w:p>
    <w:p>
      <w:pPr>
        <w:numPr>
          <w:ilvl w:val="0"/>
          <w:numId w:val="22"/>
        </w:numPr>
      </w:pPr>
      <w:r>
        <w:rPr>
          <w:rFonts w:hint="eastAsia"/>
        </w:rPr>
        <w:t>Financial leverage ratio=A/E</w:t>
      </w:r>
    </w:p>
    <w:p>
      <w:pPr>
        <w:numPr>
          <w:ilvl w:val="0"/>
          <w:numId w:val="22"/>
        </w:numPr>
      </w:pPr>
      <w:r>
        <w:rPr>
          <w:rFonts w:hint="eastAsia"/>
        </w:rPr>
        <w:t>Margin rate保证金比例=E/A=1/Financial leverage ratio</w:t>
      </w:r>
    </w:p>
    <w:p>
      <w:pPr>
        <w:numPr>
          <w:ilvl w:val="1"/>
          <w:numId w:val="22"/>
        </w:numPr>
      </w:pPr>
      <w:r>
        <w:rPr>
          <w:rFonts w:hint="eastAsia"/>
        </w:rPr>
        <w:t>当股价下跌，保证金比例会下跌——亏得都是equity</w:t>
      </w:r>
    </w:p>
    <w:p>
      <w:pPr>
        <w:numPr>
          <w:ilvl w:val="1"/>
          <w:numId w:val="22"/>
        </w:numPr>
      </w:pPr>
      <w:r>
        <w:t>Initial margin requirement</w:t>
      </w:r>
      <w:r>
        <w:rPr>
          <w:rFonts w:hint="eastAsia"/>
        </w:rPr>
        <w:t>初始保证金比率</w:t>
      </w:r>
    </w:p>
    <w:p>
      <w:pPr>
        <w:numPr>
          <w:ilvl w:val="1"/>
          <w:numId w:val="22"/>
        </w:numPr>
      </w:pPr>
      <w:r>
        <w:t>maintenance margin requirement</w:t>
      </w:r>
      <w:r>
        <w:rPr>
          <w:rFonts w:hint="eastAsia"/>
        </w:rPr>
        <w:t>维持保证金比率</w:t>
      </w:r>
    </w:p>
    <w:p>
      <w:pPr>
        <w:numPr>
          <w:ilvl w:val="1"/>
          <w:numId w:val="22"/>
        </w:numPr>
      </w:pPr>
      <w:r>
        <w:t>Margin call:</w:t>
      </w:r>
      <w:r>
        <w:rPr>
          <w:rFonts w:hint="eastAsia"/>
        </w:rPr>
        <w:t>低于维持保证金比率时，要补本金，达到维持保证金比率</w:t>
      </w:r>
    </w:p>
    <w:p>
      <w:pPr>
        <w:numPr>
          <w:ilvl w:val="2"/>
          <w:numId w:val="22"/>
        </w:numPr>
      </w:pPr>
      <w:r>
        <w:rPr>
          <w:rFonts w:hint="eastAsia"/>
        </w:rPr>
        <w:t>本质上是欠别人的钱不变</w:t>
      </w:r>
    </w:p>
    <w:p>
      <w:pPr>
        <w:numPr>
          <w:ilvl w:val="1"/>
          <w:numId w:val="22"/>
        </w:numPr>
      </w:pPr>
      <w:r>
        <w:rPr>
          <w:rFonts w:hint="eastAsia"/>
          <w:b/>
          <w:bCs/>
          <w:highlight w:val="yellow"/>
        </w:rPr>
        <w:t>计算时用 D【不变】/资产市场价值 =1-margin</w:t>
      </w:r>
    </w:p>
    <w:p>
      <w:pPr>
        <w:ind w:left="630" w:leftChars="300"/>
      </w:pPr>
      <w:r>
        <w:rPr>
          <w:rFonts w:hint="eastAsia"/>
        </w:rPr>
        <w:drawing>
          <wp:inline distT="0" distB="0" distL="114300" distR="114300">
            <wp:extent cx="5267325" cy="384810"/>
            <wp:effectExtent l="0" t="0" r="0" b="5715"/>
            <wp:docPr id="6" name="图片 6" descr="截图_2023012702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20230127023627"/>
                    <pic:cNvPicPr>
                      <a:picLocks noChangeAspect="1"/>
                    </pic:cNvPicPr>
                  </pic:nvPicPr>
                  <pic:blipFill>
                    <a:blip r:embed="rId8"/>
                    <a:stretch>
                      <a:fillRect/>
                    </a:stretch>
                  </pic:blipFill>
                  <pic:spPr>
                    <a:xfrm>
                      <a:off x="0" y="0"/>
                      <a:ext cx="5267325" cy="384810"/>
                    </a:xfrm>
                    <a:prstGeom prst="rect">
                      <a:avLst/>
                    </a:prstGeom>
                  </pic:spPr>
                </pic:pic>
              </a:graphicData>
            </a:graphic>
          </wp:inline>
        </w:drawing>
      </w:r>
    </w:p>
    <w:p>
      <w:pPr>
        <w:ind w:left="840" w:leftChars="400"/>
      </w:pPr>
      <w:r>
        <w:drawing>
          <wp:inline distT="0" distB="0" distL="114300" distR="114300">
            <wp:extent cx="2287905" cy="577850"/>
            <wp:effectExtent l="0" t="0" r="7620" b="3175"/>
            <wp:docPr id="5" name="图片 5" descr="截图_2023012702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20230127023543"/>
                    <pic:cNvPicPr>
                      <a:picLocks noChangeAspect="1"/>
                    </pic:cNvPicPr>
                  </pic:nvPicPr>
                  <pic:blipFill>
                    <a:blip r:embed="rId9"/>
                    <a:stretch>
                      <a:fillRect/>
                    </a:stretch>
                  </pic:blipFill>
                  <pic:spPr>
                    <a:xfrm>
                      <a:off x="0" y="0"/>
                      <a:ext cx="2287905" cy="577850"/>
                    </a:xfrm>
                    <a:prstGeom prst="rect">
                      <a:avLst/>
                    </a:prstGeom>
                  </pic:spPr>
                </pic:pic>
              </a:graphicData>
            </a:graphic>
          </wp:inline>
        </w:drawing>
      </w:r>
    </w:p>
    <w:p>
      <w:pPr>
        <w:pStyle w:val="3"/>
      </w:pPr>
      <w:r>
        <w:rPr>
          <w:rFonts w:hint="eastAsia"/>
        </w:rPr>
        <w:t>报价指令</w:t>
      </w:r>
    </w:p>
    <w:p>
      <w:pPr>
        <w:pStyle w:val="5"/>
        <w:numPr>
          <w:ilvl w:val="0"/>
          <w:numId w:val="23"/>
        </w:numPr>
      </w:pPr>
      <w:r>
        <w:t>Prices quoted by dealers （market makers）</w:t>
      </w:r>
    </w:p>
    <w:p>
      <w:r>
        <w:rPr>
          <w:rFonts w:hint="eastAsia"/>
        </w:rPr>
        <w:t>被动观测对手方的报价</w:t>
      </w:r>
    </w:p>
    <w:p>
      <w:pPr>
        <w:numPr>
          <w:ilvl w:val="0"/>
          <w:numId w:val="24"/>
        </w:numPr>
      </w:pPr>
      <w:r>
        <w:t>Bid</w:t>
      </w:r>
      <w:r>
        <w:rPr>
          <w:rFonts w:hint="eastAsia"/>
        </w:rPr>
        <w:t xml:space="preserve"> </w:t>
      </w:r>
      <w:r>
        <w:t>price</w:t>
      </w:r>
      <w:r>
        <w:rPr>
          <w:rFonts w:hint="eastAsia"/>
        </w:rPr>
        <w:t>：dealer愿意买的价格</w:t>
      </w:r>
      <w:r>
        <w:t xml:space="preserve"> is the price at which adealer is willing to buy a security</w:t>
      </w:r>
    </w:p>
    <w:p>
      <w:pPr>
        <w:numPr>
          <w:ilvl w:val="1"/>
          <w:numId w:val="24"/>
        </w:numPr>
      </w:pPr>
      <w:r>
        <w:t>The</w:t>
      </w:r>
      <w:r>
        <w:rPr>
          <w:rFonts w:hint="eastAsia"/>
        </w:rPr>
        <w:t xml:space="preserve"> </w:t>
      </w:r>
      <w:r>
        <w:t>best</w:t>
      </w:r>
      <w:r>
        <w:rPr>
          <w:rFonts w:hint="eastAsia"/>
        </w:rPr>
        <w:t xml:space="preserve"> </w:t>
      </w:r>
      <w:r>
        <w:t>bid</w:t>
      </w:r>
      <w:r>
        <w:rPr>
          <w:rFonts w:hint="eastAsia"/>
        </w:rPr>
        <w:t>：最高出价</w:t>
      </w:r>
    </w:p>
    <w:p>
      <w:pPr>
        <w:numPr>
          <w:ilvl w:val="0"/>
          <w:numId w:val="24"/>
        </w:numPr>
      </w:pPr>
      <w:r>
        <w:t>Ask/offer</w:t>
      </w:r>
      <w:r>
        <w:rPr>
          <w:rFonts w:hint="eastAsia"/>
        </w:rPr>
        <w:t xml:space="preserve"> </w:t>
      </w:r>
      <w:r>
        <w:t xml:space="preserve">price </w:t>
      </w:r>
      <w:r>
        <w:rPr>
          <w:rFonts w:hint="eastAsia"/>
        </w:rPr>
        <w:t>：dealer愿意卖的价格</w:t>
      </w:r>
    </w:p>
    <w:p>
      <w:pPr>
        <w:numPr>
          <w:ilvl w:val="1"/>
          <w:numId w:val="24"/>
        </w:numPr>
      </w:pPr>
      <w:r>
        <w:t>The</w:t>
      </w:r>
      <w:r>
        <w:rPr>
          <w:rFonts w:hint="eastAsia"/>
        </w:rPr>
        <w:t xml:space="preserve"> </w:t>
      </w:r>
      <w:r>
        <w:t>best</w:t>
      </w:r>
      <w:r>
        <w:rPr>
          <w:rFonts w:hint="eastAsia"/>
        </w:rPr>
        <w:t xml:space="preserve"> </w:t>
      </w:r>
      <w:r>
        <w:t>ask/offe</w:t>
      </w:r>
      <w:r>
        <w:rPr>
          <w:rFonts w:hint="eastAsia"/>
        </w:rPr>
        <w:t>：最低出价</w:t>
      </w:r>
    </w:p>
    <w:p>
      <w:pPr>
        <w:numPr>
          <w:ilvl w:val="0"/>
          <w:numId w:val="25"/>
        </w:numPr>
      </w:pPr>
      <w:r>
        <w:t xml:space="preserve">Bid-ask spread </w:t>
      </w:r>
      <w:r>
        <w:rPr>
          <w:rFonts w:hint="eastAsia"/>
        </w:rPr>
        <w:t>：买卖之差</w:t>
      </w:r>
    </w:p>
    <w:p>
      <w:pPr>
        <w:numPr>
          <w:ilvl w:val="1"/>
          <w:numId w:val="25"/>
        </w:numPr>
      </w:pPr>
      <w:r>
        <w:rPr>
          <w:rFonts w:hint="eastAsia"/>
        </w:rPr>
        <w:t>是隐形的</w:t>
      </w:r>
      <w:r>
        <w:t xml:space="preserve"> cost of trading</w:t>
      </w:r>
    </w:p>
    <w:p>
      <w:pPr>
        <w:numPr>
          <w:ilvl w:val="0"/>
          <w:numId w:val="26"/>
        </w:numPr>
        <w:rPr>
          <w:b/>
          <w:bCs/>
          <w:color w:val="7030A0"/>
        </w:rPr>
      </w:pPr>
      <w:r>
        <w:rPr>
          <w:rFonts w:hint="eastAsia"/>
          <w:b/>
          <w:bCs/>
          <w:color w:val="7030A0"/>
        </w:rPr>
        <w:t>市场写作“＄54bid，offered at $55</w:t>
      </w:r>
      <w:r>
        <w:rPr>
          <w:b/>
          <w:bCs/>
          <w:color w:val="7030A0"/>
        </w:rPr>
        <w:t>”</w:t>
      </w:r>
    </w:p>
    <w:p>
      <w:pPr>
        <w:pStyle w:val="5"/>
      </w:pPr>
      <w:r>
        <w:rPr>
          <w:rFonts w:hint="eastAsia"/>
        </w:rPr>
        <w:t>order执行：执行指令</w:t>
      </w:r>
      <w:r>
        <w:t>Execution</w:t>
      </w:r>
      <w:r>
        <w:rPr>
          <w:rFonts w:hint="eastAsia"/>
        </w:rPr>
        <w:t xml:space="preserve"> </w:t>
      </w:r>
      <w:r>
        <w:t>instructions</w:t>
      </w:r>
    </w:p>
    <w:p>
      <w:pPr>
        <w:numPr>
          <w:ilvl w:val="0"/>
          <w:numId w:val="27"/>
        </w:numPr>
      </w:pPr>
      <w:r>
        <w:t>Market</w:t>
      </w:r>
      <w:r>
        <w:rPr>
          <w:rFonts w:hint="eastAsia"/>
        </w:rPr>
        <w:t xml:space="preserve"> </w:t>
      </w:r>
      <w:r>
        <w:t>orders</w:t>
      </w:r>
      <w:r>
        <w:rPr>
          <w:rFonts w:hint="eastAsia"/>
        </w:rPr>
        <w:t>市价指令：立刻以b</w:t>
      </w:r>
      <w:r>
        <w:t>est</w:t>
      </w:r>
      <w:r>
        <w:rPr>
          <w:rFonts w:hint="eastAsia"/>
        </w:rPr>
        <w:t xml:space="preserve"> </w:t>
      </w:r>
      <w:r>
        <w:t>current</w:t>
      </w:r>
      <w:r>
        <w:rPr>
          <w:rFonts w:hint="eastAsia"/>
        </w:rPr>
        <w:t xml:space="preserve"> </w:t>
      </w:r>
      <w:r>
        <w:t>price</w:t>
      </w:r>
      <w:r>
        <w:rPr>
          <w:rFonts w:hint="eastAsia"/>
        </w:rPr>
        <w:t>执行，只需报股数</w:t>
      </w:r>
    </w:p>
    <w:p>
      <w:pPr>
        <w:numPr>
          <w:ilvl w:val="0"/>
          <w:numId w:val="27"/>
        </w:numPr>
      </w:pPr>
      <w:r>
        <w:t>Limit</w:t>
      </w:r>
      <w:r>
        <w:rPr>
          <w:rFonts w:hint="eastAsia"/>
        </w:rPr>
        <w:t xml:space="preserve"> </w:t>
      </w:r>
      <w:r>
        <w:t>Orders</w:t>
      </w:r>
      <w:r>
        <w:rPr>
          <w:rFonts w:hint="eastAsia"/>
        </w:rPr>
        <w:t>限价指令 ：报一个最高购买价格和股数，让</w:t>
      </w:r>
      <w:r>
        <w:t>broker to obtain the best price immediately</w:t>
      </w:r>
      <w:r>
        <w:rPr>
          <w:rFonts w:hint="eastAsia"/>
        </w:rPr>
        <w:t>但不超过报价——低于这个能撮合就成；或者报一个最低卖价和股数</w:t>
      </w:r>
    </w:p>
    <w:p>
      <w:pPr>
        <w:numPr>
          <w:ilvl w:val="1"/>
          <w:numId w:val="27"/>
        </w:numPr>
      </w:pPr>
      <w:r>
        <w:t>Marketable</w:t>
      </w:r>
      <w:r>
        <w:rPr>
          <w:rFonts w:hint="eastAsia"/>
        </w:rPr>
        <w:t xml:space="preserve"> </w:t>
      </w:r>
      <w:r>
        <w:t>limit</w:t>
      </w:r>
      <w:r>
        <w:rPr>
          <w:rFonts w:hint="eastAsia"/>
        </w:rPr>
        <w:t xml:space="preserve"> </w:t>
      </w:r>
      <w:r>
        <w:t>orders:</w:t>
      </w:r>
      <w:r>
        <w:rPr>
          <w:rFonts w:hint="eastAsia"/>
        </w:rPr>
        <w:t>至少有一部分股数能立刻成交——选择其中最低报价成交一部分，其他排队排在那</w:t>
      </w:r>
    </w:p>
    <w:tbl>
      <w:tblPr>
        <w:tblStyle w:val="13"/>
        <w:tblW w:w="5301" w:type="dxa"/>
        <w:jc w:val="center"/>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Layout w:type="autofit"/>
        <w:tblCellMar>
          <w:top w:w="15" w:type="dxa"/>
          <w:left w:w="15" w:type="dxa"/>
          <w:bottom w:w="15" w:type="dxa"/>
          <w:right w:w="15" w:type="dxa"/>
        </w:tblCellMar>
      </w:tblPr>
      <w:tblGrid>
        <w:gridCol w:w="1973"/>
        <w:gridCol w:w="3328"/>
      </w:tblGrid>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15" w:type="dxa"/>
            <w:left w:w="15" w:type="dxa"/>
            <w:bottom w:w="15" w:type="dxa"/>
            <w:right w:w="15" w:type="dxa"/>
          </w:tblCellMar>
        </w:tblPrEx>
        <w:trPr>
          <w:trHeight w:val="151" w:hRule="atLeast"/>
          <w:jc w:val="center"/>
        </w:trPr>
        <w:tc>
          <w:tcPr>
            <w:tcW w:w="1973" w:type="dxa"/>
            <w:tcBorders>
              <w:top w:val="outset" w:color="000000" w:sz="6" w:space="0"/>
              <w:left w:val="outset" w:color="000000" w:sz="6" w:space="0"/>
              <w:bottom w:val="outset" w:color="000000" w:sz="6" w:space="0"/>
              <w:right w:val="outset" w:color="000000" w:sz="6" w:space="0"/>
            </w:tcBorders>
            <w:shd w:val="clear" w:color="auto" w:fill="auto"/>
            <w:vAlign w:val="center"/>
          </w:tcPr>
          <w:p>
            <w:r>
              <w:t>make the market</w:t>
            </w:r>
          </w:p>
        </w:tc>
        <w:tc>
          <w:tcPr>
            <w:tcW w:w="3328" w:type="dxa"/>
            <w:tcBorders>
              <w:top w:val="outset" w:color="000000" w:sz="6" w:space="0"/>
              <w:left w:val="outset" w:color="000000" w:sz="6" w:space="0"/>
              <w:bottom w:val="outset" w:color="000000" w:sz="6" w:space="0"/>
              <w:right w:val="outset" w:color="000000" w:sz="6" w:space="0"/>
            </w:tcBorders>
            <w:shd w:val="clear" w:color="auto" w:fill="auto"/>
            <w:vAlign w:val="center"/>
          </w:tcPr>
          <w:p>
            <w:r>
              <w:rPr>
                <w:rFonts w:hint="eastAsia"/>
              </w:rPr>
              <w:t>出买一价或卖一价，排队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15" w:type="dxa"/>
            <w:left w:w="15" w:type="dxa"/>
            <w:bottom w:w="15" w:type="dxa"/>
            <w:right w:w="15" w:type="dxa"/>
          </w:tblCellMar>
        </w:tblPrEx>
        <w:trPr>
          <w:trHeight w:val="151" w:hRule="atLeast"/>
          <w:jc w:val="center"/>
        </w:trPr>
        <w:tc>
          <w:tcPr>
            <w:tcW w:w="1973" w:type="dxa"/>
            <w:tcBorders>
              <w:top w:val="outset" w:color="000000" w:sz="6" w:space="0"/>
              <w:left w:val="outset" w:color="000000" w:sz="6" w:space="0"/>
              <w:bottom w:val="outset" w:color="000000" w:sz="6" w:space="0"/>
              <w:right w:val="outset" w:color="000000" w:sz="6" w:space="0"/>
            </w:tcBorders>
            <w:shd w:val="clear" w:color="auto" w:fill="auto"/>
            <w:vAlign w:val="center"/>
          </w:tcPr>
          <w:p>
            <w:r>
              <w:t>make a</w:t>
            </w:r>
            <w:r>
              <w:rPr>
                <w:rFonts w:hint="eastAsia"/>
              </w:rPr>
              <w:t xml:space="preserve"> </w:t>
            </w:r>
            <w:r>
              <w:t>new</w:t>
            </w:r>
            <w:r>
              <w:rPr>
                <w:rFonts w:hint="eastAsia"/>
              </w:rPr>
              <w:t xml:space="preserve"> </w:t>
            </w:r>
            <w:r>
              <w:t>market</w:t>
            </w:r>
          </w:p>
        </w:tc>
        <w:tc>
          <w:tcPr>
            <w:tcW w:w="3328" w:type="dxa"/>
            <w:tcBorders>
              <w:top w:val="outset" w:color="000000" w:sz="6" w:space="0"/>
              <w:left w:val="outset" w:color="000000" w:sz="6" w:space="0"/>
              <w:bottom w:val="outset" w:color="000000" w:sz="6" w:space="0"/>
              <w:right w:val="outset" w:color="000000" w:sz="6" w:space="0"/>
            </w:tcBorders>
            <w:shd w:val="clear" w:color="auto" w:fill="auto"/>
            <w:vAlign w:val="center"/>
          </w:tcPr>
          <w:p>
            <w:r>
              <w:rPr>
                <w:rFonts w:hint="eastAsia"/>
              </w:rPr>
              <w:t>比买一价高，卖一价低，排队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15" w:type="dxa"/>
            <w:left w:w="15" w:type="dxa"/>
            <w:bottom w:w="15" w:type="dxa"/>
            <w:right w:w="15" w:type="dxa"/>
          </w:tblCellMar>
        </w:tblPrEx>
        <w:trPr>
          <w:trHeight w:val="151" w:hRule="atLeast"/>
          <w:jc w:val="center"/>
        </w:trPr>
        <w:tc>
          <w:tcPr>
            <w:tcW w:w="1973" w:type="dxa"/>
            <w:tcBorders>
              <w:top w:val="outset" w:color="000000" w:sz="6" w:space="0"/>
              <w:left w:val="outset" w:color="000000" w:sz="6" w:space="0"/>
              <w:bottom w:val="outset" w:color="000000" w:sz="6" w:space="0"/>
              <w:right w:val="outset" w:color="000000" w:sz="6" w:space="0"/>
            </w:tcBorders>
            <w:shd w:val="clear" w:color="auto" w:fill="auto"/>
            <w:vAlign w:val="center"/>
          </w:tcPr>
          <w:p>
            <w:r>
              <w:t>behind the market</w:t>
            </w:r>
          </w:p>
        </w:tc>
        <w:tc>
          <w:tcPr>
            <w:tcW w:w="3328" w:type="dxa"/>
            <w:tcBorders>
              <w:top w:val="outset" w:color="000000" w:sz="6" w:space="0"/>
              <w:left w:val="outset" w:color="000000" w:sz="6" w:space="0"/>
              <w:bottom w:val="outset" w:color="000000" w:sz="6" w:space="0"/>
              <w:right w:val="outset" w:color="000000" w:sz="6" w:space="0"/>
            </w:tcBorders>
            <w:shd w:val="clear" w:color="auto" w:fill="auto"/>
            <w:vAlign w:val="center"/>
          </w:tcPr>
          <w:p>
            <w:r>
              <w:rPr>
                <w:rFonts w:hint="eastAsia"/>
              </w:rPr>
              <w:t>出低一点的买一价，排队</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15" w:type="dxa"/>
            <w:left w:w="15" w:type="dxa"/>
            <w:bottom w:w="15" w:type="dxa"/>
            <w:right w:w="15" w:type="dxa"/>
          </w:tblCellMar>
        </w:tblPrEx>
        <w:trPr>
          <w:trHeight w:val="151" w:hRule="atLeast"/>
          <w:jc w:val="center"/>
        </w:trPr>
        <w:tc>
          <w:tcPr>
            <w:tcW w:w="1973" w:type="dxa"/>
            <w:tcBorders>
              <w:top w:val="outset" w:color="000000" w:sz="6" w:space="0"/>
              <w:left w:val="outset" w:color="000000" w:sz="6" w:space="0"/>
              <w:bottom w:val="outset" w:color="000000" w:sz="6" w:space="0"/>
              <w:right w:val="outset" w:color="000000" w:sz="6" w:space="0"/>
            </w:tcBorders>
            <w:shd w:val="clear" w:color="auto" w:fill="auto"/>
            <w:vAlign w:val="center"/>
          </w:tcPr>
          <w:p>
            <w:r>
              <w:t>far from the market</w:t>
            </w:r>
          </w:p>
        </w:tc>
        <w:tc>
          <w:tcPr>
            <w:tcW w:w="3328" w:type="dxa"/>
            <w:tcBorders>
              <w:top w:val="outset" w:color="000000" w:sz="6" w:space="0"/>
              <w:left w:val="outset" w:color="000000" w:sz="6" w:space="0"/>
              <w:bottom w:val="outset" w:color="000000" w:sz="6" w:space="0"/>
              <w:right w:val="outset" w:color="000000" w:sz="6" w:space="0"/>
            </w:tcBorders>
            <w:shd w:val="clear" w:color="auto" w:fill="auto"/>
            <w:vAlign w:val="center"/>
          </w:tcPr>
          <w:p>
            <w:r>
              <w:rPr>
                <w:rFonts w:hint="eastAsia"/>
              </w:rPr>
              <w:t>排队更后面</w:t>
            </w:r>
          </w:p>
        </w:tc>
      </w:tr>
      <w:tr>
        <w:tblPrEx>
          <w:tblBorders>
            <w:top w:val="outset" w:color="000000" w:sz="6" w:space="0"/>
            <w:left w:val="outset" w:color="000000" w:sz="6" w:space="0"/>
            <w:bottom w:val="outset" w:color="000000" w:sz="6" w:space="0"/>
            <w:right w:val="outset" w:color="000000" w:sz="6" w:space="0"/>
            <w:insideH w:val="outset" w:color="000000" w:sz="6" w:space="0"/>
            <w:insideV w:val="outset" w:color="000000" w:sz="6" w:space="0"/>
          </w:tblBorders>
          <w:tblCellMar>
            <w:top w:w="15" w:type="dxa"/>
            <w:left w:w="15" w:type="dxa"/>
            <w:bottom w:w="15" w:type="dxa"/>
            <w:right w:w="15" w:type="dxa"/>
          </w:tblCellMar>
        </w:tblPrEx>
        <w:trPr>
          <w:trHeight w:val="151" w:hRule="atLeast"/>
          <w:jc w:val="center"/>
        </w:trPr>
        <w:tc>
          <w:tcPr>
            <w:tcW w:w="1973" w:type="dxa"/>
            <w:tcBorders>
              <w:top w:val="outset" w:color="000000" w:sz="6" w:space="0"/>
              <w:left w:val="outset" w:color="000000" w:sz="6" w:space="0"/>
              <w:bottom w:val="outset" w:color="000000" w:sz="6" w:space="0"/>
              <w:right w:val="outset" w:color="000000" w:sz="6" w:space="0"/>
            </w:tcBorders>
            <w:shd w:val="clear" w:color="auto" w:fill="auto"/>
            <w:vAlign w:val="center"/>
          </w:tcPr>
          <w:p>
            <w:r>
              <w:t>take the</w:t>
            </w:r>
            <w:r>
              <w:rPr>
                <w:rFonts w:hint="eastAsia"/>
              </w:rPr>
              <w:t xml:space="preserve"> </w:t>
            </w:r>
            <w:r>
              <w:t>market</w:t>
            </w:r>
          </w:p>
        </w:tc>
        <w:tc>
          <w:tcPr>
            <w:tcW w:w="3328" w:type="dxa"/>
            <w:tcBorders>
              <w:top w:val="outset" w:color="000000" w:sz="6" w:space="0"/>
              <w:left w:val="outset" w:color="000000" w:sz="6" w:space="0"/>
              <w:bottom w:val="outset" w:color="000000" w:sz="6" w:space="0"/>
              <w:right w:val="outset" w:color="000000" w:sz="6" w:space="0"/>
            </w:tcBorders>
            <w:shd w:val="clear" w:color="auto" w:fill="auto"/>
            <w:vAlign w:val="center"/>
          </w:tcPr>
          <w:p>
            <w:r>
              <w:rPr>
                <w:rFonts w:hint="eastAsia"/>
              </w:rPr>
              <w:t>立刻执行，以目前最高买价出卖价，以最低卖价出买价。</w:t>
            </w:r>
          </w:p>
        </w:tc>
      </w:tr>
    </w:tbl>
    <w:p/>
    <w:p>
      <w:pPr>
        <w:numPr>
          <w:ilvl w:val="0"/>
          <w:numId w:val="28"/>
        </w:numPr>
      </w:pPr>
      <w:r>
        <w:t>All-or-nothing</w:t>
      </w:r>
      <w:r>
        <w:rPr>
          <w:rFonts w:hint="eastAsia"/>
        </w:rPr>
        <w:t xml:space="preserve"> </w:t>
      </w:r>
      <w:r>
        <w:t xml:space="preserve">orders </w:t>
      </w:r>
      <w:r>
        <w:rPr>
          <w:rFonts w:hint="eastAsia"/>
        </w:rPr>
        <w:t>：成交全部的数额——不代表失效，会一直排队在那</w:t>
      </w:r>
    </w:p>
    <w:p>
      <w:pPr>
        <w:numPr>
          <w:ilvl w:val="0"/>
          <w:numId w:val="28"/>
        </w:numPr>
      </w:pPr>
      <w:r>
        <w:t>Hidden</w:t>
      </w:r>
      <w:r>
        <w:rPr>
          <w:rFonts w:hint="eastAsia"/>
        </w:rPr>
        <w:t xml:space="preserve"> </w:t>
      </w:r>
      <w:r>
        <w:t>orders</w:t>
      </w:r>
      <w:r>
        <w:rPr>
          <w:rFonts w:hint="eastAsia"/>
        </w:rPr>
        <w:t>：只告诉了</w:t>
      </w:r>
      <w:r>
        <w:t xml:space="preserve"> broker/exchange</w:t>
      </w:r>
      <w:r>
        <w:rPr>
          <w:rFonts w:hint="eastAsia"/>
        </w:rPr>
        <w:t>数和价</w:t>
      </w:r>
    </w:p>
    <w:p>
      <w:pPr>
        <w:numPr>
          <w:ilvl w:val="1"/>
          <w:numId w:val="28"/>
        </w:numPr>
      </w:pPr>
      <w:r>
        <w:t>Iceberg</w:t>
      </w:r>
      <w:r>
        <w:rPr>
          <w:rFonts w:hint="eastAsia"/>
        </w:rPr>
        <w:t xml:space="preserve"> </w:t>
      </w:r>
      <w:r>
        <w:t>orders</w:t>
      </w:r>
      <w:r>
        <w:rPr>
          <w:rFonts w:hint="eastAsia"/>
        </w:rPr>
        <w:t>：只披露一部分的成交</w:t>
      </w:r>
      <w:r>
        <w:t>size</w:t>
      </w:r>
      <w:r>
        <w:rPr>
          <w:rFonts w:hint="eastAsia"/>
        </w:rPr>
        <w:t>，其他的隐藏起来，之后再不断发出这个size</w:t>
      </w:r>
    </w:p>
    <w:p>
      <w:r>
        <w:rPr>
          <w:rFonts w:hint="eastAsia"/>
          <w:color w:val="7030A0"/>
        </w:rPr>
        <w:t>一般排队规则：先按照价格（价高买价第一），之后是出价时间（如果是hidden order排序在同一价格的最后）。</w:t>
      </w:r>
    </w:p>
    <w:p>
      <w:pPr>
        <w:pStyle w:val="5"/>
      </w:pPr>
      <w:r>
        <w:rPr>
          <w:rFonts w:hint="eastAsia"/>
        </w:rPr>
        <w:t>order执行：时效指令</w:t>
      </w:r>
      <w:r>
        <w:t>Validity</w:t>
      </w:r>
      <w:r>
        <w:rPr>
          <w:rFonts w:hint="eastAsia"/>
        </w:rPr>
        <w:t xml:space="preserve"> </w:t>
      </w:r>
      <w:r>
        <w:t>instructions</w:t>
      </w:r>
    </w:p>
    <w:p>
      <w:pPr>
        <w:numPr>
          <w:ilvl w:val="0"/>
          <w:numId w:val="29"/>
        </w:numPr>
      </w:pPr>
      <w:r>
        <w:t>Immediate-or-cancel （fill-or-kill）orders</w:t>
      </w:r>
      <w:r>
        <w:rPr>
          <w:rFonts w:hint="eastAsia"/>
        </w:rPr>
        <w:t>：没成交就立马失效</w:t>
      </w:r>
    </w:p>
    <w:p>
      <w:pPr>
        <w:numPr>
          <w:ilvl w:val="0"/>
          <w:numId w:val="29"/>
        </w:numPr>
      </w:pPr>
      <w:r>
        <w:t>Day</w:t>
      </w:r>
      <w:r>
        <w:rPr>
          <w:rFonts w:hint="eastAsia"/>
        </w:rPr>
        <w:t xml:space="preserve"> </w:t>
      </w:r>
      <w:r>
        <w:t xml:space="preserve">orders </w:t>
      </w:r>
      <w:r>
        <w:rPr>
          <w:rFonts w:hint="eastAsia"/>
        </w:rPr>
        <w:t>：一个交易日内失效</w:t>
      </w:r>
    </w:p>
    <w:p>
      <w:pPr>
        <w:numPr>
          <w:ilvl w:val="0"/>
          <w:numId w:val="29"/>
        </w:numPr>
      </w:pPr>
      <w:r>
        <w:t>Good-till-cancelled</w:t>
      </w:r>
      <w:r>
        <w:rPr>
          <w:rFonts w:hint="eastAsia"/>
        </w:rPr>
        <w:t xml:space="preserve"> </w:t>
      </w:r>
      <w:r>
        <w:t xml:space="preserve">orders </w:t>
      </w:r>
      <w:r>
        <w:rPr>
          <w:rFonts w:hint="eastAsia"/>
        </w:rPr>
        <w:t>：一直不失效除非人为取消</w:t>
      </w:r>
    </w:p>
    <w:p>
      <w:pPr>
        <w:numPr>
          <w:ilvl w:val="0"/>
          <w:numId w:val="29"/>
        </w:numPr>
      </w:pPr>
      <w:r>
        <w:t>Good-on-close/open</w:t>
      </w:r>
      <w:r>
        <w:rPr>
          <w:rFonts w:hint="eastAsia"/>
        </w:rPr>
        <w:t xml:space="preserve"> </w:t>
      </w:r>
      <w:r>
        <w:t xml:space="preserve">orders </w:t>
      </w:r>
      <w:r>
        <w:rPr>
          <w:rFonts w:hint="eastAsia"/>
        </w:rPr>
        <w:t>：开盘或收盘发出</w:t>
      </w:r>
    </w:p>
    <w:p>
      <w:pPr>
        <w:numPr>
          <w:ilvl w:val="0"/>
          <w:numId w:val="29"/>
        </w:numPr>
      </w:pPr>
      <w:r>
        <w:t>Stop</w:t>
      </w:r>
      <w:r>
        <w:rPr>
          <w:rFonts w:hint="eastAsia"/>
        </w:rPr>
        <w:t xml:space="preserve"> </w:t>
      </w:r>
      <w:r>
        <w:t>orders</w:t>
      </w:r>
      <w:r>
        <w:rPr>
          <w:rFonts w:hint="eastAsia"/>
        </w:rPr>
        <w:t xml:space="preserve"> 进行止损指令当</w:t>
      </w:r>
      <w:r>
        <w:t>stop price condition satisfied</w:t>
      </w:r>
    </w:p>
    <w:p>
      <w:pPr>
        <w:numPr>
          <w:ilvl w:val="1"/>
          <w:numId w:val="29"/>
        </w:numPr>
      </w:pPr>
      <w:r>
        <w:t>Stop</w:t>
      </w:r>
      <w:r>
        <w:rPr>
          <w:rFonts w:hint="eastAsia"/>
        </w:rPr>
        <w:t xml:space="preserve"> s</w:t>
      </w:r>
      <w:r>
        <w:t>ell</w:t>
      </w:r>
      <w:r>
        <w:rPr>
          <w:rFonts w:hint="eastAsia"/>
        </w:rPr>
        <w:t xml:space="preserve"> </w:t>
      </w:r>
      <w:r>
        <w:t>order</w:t>
      </w:r>
      <w:r>
        <w:rPr>
          <w:rFonts w:hint="eastAsia"/>
        </w:rPr>
        <w:t>——通过卖出来停止，</w:t>
      </w:r>
    </w:p>
    <w:p>
      <w:pPr>
        <w:numPr>
          <w:ilvl w:val="2"/>
          <w:numId w:val="29"/>
        </w:numPr>
      </w:pPr>
      <w:r>
        <w:rPr>
          <w:rFonts w:hint="eastAsia"/>
        </w:rPr>
        <w:t>用来</w:t>
      </w:r>
      <w:r>
        <w:t>Stop</w:t>
      </w:r>
      <w:r>
        <w:rPr>
          <w:rFonts w:hint="eastAsia"/>
        </w:rPr>
        <w:t xml:space="preserve"> </w:t>
      </w:r>
      <w:r>
        <w:t>loss</w:t>
      </w:r>
      <w:r>
        <w:rPr>
          <w:rFonts w:hint="eastAsia"/>
        </w:rPr>
        <w:t xml:space="preserve"> </w:t>
      </w:r>
      <w:r>
        <w:t>on</w:t>
      </w:r>
      <w:r>
        <w:rPr>
          <w:rFonts w:hint="eastAsia"/>
        </w:rPr>
        <w:t xml:space="preserve"> </w:t>
      </w:r>
      <w:r>
        <w:t>long</w:t>
      </w:r>
      <w:r>
        <w:rPr>
          <w:rFonts w:hint="eastAsia"/>
        </w:rPr>
        <w:t xml:space="preserve"> </w:t>
      </w:r>
      <w:r>
        <w:t>position</w:t>
      </w:r>
      <w:r>
        <w:rPr>
          <w:rFonts w:hint="eastAsia"/>
        </w:rPr>
        <w:t>，当价格太低要卖</w:t>
      </w:r>
    </w:p>
    <w:p>
      <w:pPr>
        <w:numPr>
          <w:ilvl w:val="1"/>
          <w:numId w:val="29"/>
        </w:numPr>
      </w:pPr>
      <w:r>
        <w:t>Stop</w:t>
      </w:r>
      <w:r>
        <w:rPr>
          <w:rFonts w:hint="eastAsia"/>
        </w:rPr>
        <w:t xml:space="preserve"> buy </w:t>
      </w:r>
      <w:r>
        <w:t>order</w:t>
      </w:r>
      <w:r>
        <w:rPr>
          <w:rFonts w:hint="eastAsia"/>
        </w:rPr>
        <w:t>——</w:t>
      </w:r>
      <w:r>
        <w:rPr>
          <w:rFonts w:hint="eastAsia"/>
          <w:b/>
          <w:bCs/>
          <w:color w:val="7030A0"/>
        </w:rPr>
        <w:t>通过买</w:t>
      </w:r>
      <w:r>
        <w:rPr>
          <w:rFonts w:hint="eastAsia"/>
        </w:rPr>
        <w:t>出来停止，</w:t>
      </w:r>
    </w:p>
    <w:p>
      <w:pPr>
        <w:numPr>
          <w:ilvl w:val="2"/>
          <w:numId w:val="29"/>
        </w:numPr>
      </w:pPr>
      <w:r>
        <w:rPr>
          <w:rFonts w:hint="eastAsia"/>
        </w:rPr>
        <w:t>用来</w:t>
      </w:r>
      <w:r>
        <w:t>Stop</w:t>
      </w:r>
      <w:r>
        <w:rPr>
          <w:rFonts w:hint="eastAsia"/>
        </w:rPr>
        <w:t xml:space="preserve"> </w:t>
      </w:r>
      <w:r>
        <w:t>loss</w:t>
      </w:r>
      <w:r>
        <w:rPr>
          <w:rFonts w:hint="eastAsia"/>
        </w:rPr>
        <w:t xml:space="preserve"> </w:t>
      </w:r>
      <w:r>
        <w:t>on</w:t>
      </w:r>
      <w:r>
        <w:rPr>
          <w:rFonts w:hint="eastAsia"/>
        </w:rPr>
        <w:t xml:space="preserve"> </w:t>
      </w:r>
      <w:r>
        <w:t>short position</w:t>
      </w:r>
      <w:r>
        <w:rPr>
          <w:rFonts w:hint="eastAsia"/>
        </w:rPr>
        <w:t>，当价格太高要买</w:t>
      </w:r>
    </w:p>
    <w:p>
      <w:r>
        <w:rPr>
          <w:rFonts w:hint="eastAsia"/>
          <w:b/>
          <w:bCs/>
          <w:color w:val="7030A0"/>
        </w:rPr>
        <w:t>“stop 50，limit 55 buy</w:t>
      </w:r>
      <w:r>
        <w:rPr>
          <w:b/>
          <w:bCs/>
          <w:color w:val="7030A0"/>
        </w:rPr>
        <w:t>”</w:t>
      </w:r>
      <w:r>
        <w:rPr>
          <w:rFonts w:hint="eastAsia"/>
          <w:b/>
          <w:bCs/>
          <w:color w:val="7030A0"/>
        </w:rPr>
        <w:t>：股价超过50开始买，买价不超过55</w:t>
      </w:r>
    </w:p>
    <w:p>
      <w:pPr>
        <w:pStyle w:val="5"/>
      </w:pPr>
      <w:r>
        <w:rPr>
          <w:rFonts w:hint="eastAsia"/>
        </w:rPr>
        <w:t>order执行：清算指令</w:t>
      </w:r>
      <w:r>
        <w:t>Clearing</w:t>
      </w:r>
      <w:r>
        <w:rPr>
          <w:rFonts w:hint="eastAsia"/>
        </w:rPr>
        <w:t xml:space="preserve"> </w:t>
      </w:r>
      <w:r>
        <w:t>instructions</w:t>
      </w:r>
    </w:p>
    <w:p>
      <w:pPr>
        <w:numPr>
          <w:ilvl w:val="0"/>
          <w:numId w:val="30"/>
        </w:numPr>
      </w:pPr>
      <w:r>
        <w:rPr>
          <w:rFonts w:hint="eastAsia"/>
        </w:rPr>
        <w:t>机构结算和清算用的</w:t>
      </w:r>
      <w:r>
        <w:rPr>
          <w:rFonts w:hint="eastAsia"/>
        </w:rPr>
        <w:tab/>
      </w:r>
    </w:p>
    <w:p/>
    <w:p>
      <w:pPr>
        <w:pStyle w:val="2"/>
        <w:spacing w:before="93" w:after="93"/>
      </w:pPr>
      <w:r>
        <w:rPr>
          <w:rFonts w:hint="eastAsia"/>
        </w:rPr>
        <w:t>Chapter 2 市场指数</w:t>
      </w:r>
    </w:p>
    <w:p>
      <w:pPr>
        <w:pStyle w:val="3"/>
        <w:numPr>
          <w:ilvl w:val="0"/>
          <w:numId w:val="31"/>
        </w:numPr>
      </w:pPr>
      <w:r>
        <w:rPr>
          <w:rFonts w:hint="eastAsia"/>
        </w:rPr>
        <w:t>基本概念</w:t>
      </w:r>
    </w:p>
    <w:p>
      <w:pPr>
        <w:numPr>
          <w:ilvl w:val="0"/>
          <w:numId w:val="32"/>
        </w:numPr>
      </w:pPr>
      <w:r>
        <w:rPr>
          <w:rFonts w:hint="eastAsia"/>
        </w:rPr>
        <w:t>Index的本质是一种portfolio，构成index的证券叫做constituent securities</w:t>
      </w:r>
    </w:p>
    <w:p>
      <w:pPr>
        <w:numPr>
          <w:ilvl w:val="0"/>
          <w:numId w:val="32"/>
        </w:numPr>
      </w:pPr>
      <w:r>
        <w:rPr>
          <w:rFonts w:hint="eastAsia"/>
        </w:rPr>
        <w:t>按照原理来分，有价格加权式和总回报加权式</w:t>
      </w:r>
    </w:p>
    <w:p>
      <w:pPr>
        <w:numPr>
          <w:ilvl w:val="0"/>
          <w:numId w:val="33"/>
        </w:numPr>
        <w:ind w:left="840"/>
      </w:pPr>
      <w:r>
        <w:t>价格回报指数（price</w:t>
      </w:r>
      <w:r>
        <w:rPr>
          <w:rFonts w:hint="eastAsia"/>
        </w:rPr>
        <w:t xml:space="preserve"> </w:t>
      </w:r>
      <w:r>
        <w:t>return,PR）仅仅反映指数中成分股的价格变化</w:t>
      </w:r>
    </w:p>
    <w:p>
      <w:pPr>
        <w:numPr>
          <w:ilvl w:val="0"/>
          <w:numId w:val="33"/>
        </w:numPr>
        <w:ind w:left="840"/>
      </w:pPr>
      <w:r>
        <w:t>总回报指数（total return,TR）不仅包括成分股价格变化，还包括所有收入（如红利、票息等）的再投资收益</w:t>
      </w:r>
    </w:p>
    <w:p>
      <w:pPr>
        <w:numPr>
          <w:ilvl w:val="0"/>
          <w:numId w:val="34"/>
        </w:numPr>
        <w:tabs>
          <w:tab w:val="clear" w:pos="420"/>
        </w:tabs>
      </w:pPr>
      <w:r>
        <w:rPr>
          <w:rFonts w:hint="eastAsia"/>
        </w:rPr>
        <w:t>当时间变化，TR将超过PR——只有在inception时相等，rebalancing/reconstitution不影响两者值</w:t>
      </w:r>
    </w:p>
    <w:p>
      <w:pPr>
        <w:numPr>
          <w:ilvl w:val="0"/>
          <w:numId w:val="34"/>
        </w:numPr>
        <w:tabs>
          <w:tab w:val="clear" w:pos="420"/>
        </w:tabs>
      </w:pPr>
      <w:r>
        <w:rPr>
          <w:rFonts w:hint="eastAsia"/>
        </w:rPr>
        <w:t>当没有</w:t>
      </w:r>
      <w:r>
        <w:t>红利、票息</w:t>
      </w:r>
      <w:r>
        <w:rPr>
          <w:rFonts w:hint="eastAsia"/>
        </w:rPr>
        <w:t>时两者相等</w:t>
      </w:r>
    </w:p>
    <w:p>
      <w:pPr>
        <w:pStyle w:val="3"/>
      </w:pPr>
      <w:r>
        <w:rPr>
          <w:rFonts w:hint="eastAsia"/>
        </w:rPr>
        <w:t>指数的用途</w:t>
      </w:r>
    </w:p>
    <w:p>
      <w:pPr>
        <w:numPr>
          <w:ilvl w:val="0"/>
          <w:numId w:val="35"/>
        </w:numPr>
      </w:pPr>
      <w:r>
        <w:rPr>
          <w:rFonts w:hint="eastAsia"/>
        </w:rPr>
        <w:t>直观感受市场情绪sentiment</w:t>
      </w:r>
    </w:p>
    <w:p>
      <w:pPr>
        <w:numPr>
          <w:ilvl w:val="0"/>
          <w:numId w:val="35"/>
        </w:numPr>
      </w:pPr>
      <w:r>
        <w:rPr>
          <w:rFonts w:hint="eastAsia"/>
        </w:rPr>
        <w:t>模拟整体回报，</w:t>
      </w:r>
      <w:r>
        <w:rPr>
          <w:rFonts w:hint="eastAsia"/>
          <w:u w:val="single"/>
        </w:rPr>
        <w:t>体现【不是measure】</w:t>
      </w:r>
      <w:r>
        <w:rPr>
          <w:rFonts w:hint="eastAsia"/>
        </w:rPr>
        <w:t>systematic risk</w:t>
      </w:r>
    </w:p>
    <w:p>
      <w:pPr>
        <w:numPr>
          <w:ilvl w:val="0"/>
          <w:numId w:val="35"/>
        </w:numPr>
      </w:pPr>
      <w:r>
        <w:rPr>
          <w:rFonts w:hint="eastAsia"/>
        </w:rPr>
        <w:t>Proxies for asset classes in asset allocation models</w:t>
      </w:r>
    </w:p>
    <w:p>
      <w:pPr>
        <w:numPr>
          <w:ilvl w:val="0"/>
          <w:numId w:val="35"/>
        </w:numPr>
      </w:pPr>
      <w:r>
        <w:rPr>
          <w:rFonts w:hint="eastAsia"/>
        </w:rPr>
        <w:t xml:space="preserve">对于主动管理的 Benchmarks </w:t>
      </w:r>
    </w:p>
    <w:p>
      <w:pPr>
        <w:numPr>
          <w:ilvl w:val="0"/>
          <w:numId w:val="35"/>
        </w:numPr>
      </w:pPr>
      <w:r>
        <w:rPr>
          <w:rFonts w:hint="eastAsia"/>
        </w:rPr>
        <w:t>Model portfolios for such investment products as index funds and ETFs</w:t>
      </w:r>
    </w:p>
    <w:p>
      <w:pPr>
        <w:pStyle w:val="3"/>
      </w:pPr>
      <w:r>
        <w:rPr>
          <w:rFonts w:hint="eastAsia"/>
        </w:rPr>
        <w:t>各类市场指数</w:t>
      </w:r>
    </w:p>
    <w:p>
      <w:pPr>
        <w:pStyle w:val="5"/>
        <w:numPr>
          <w:ilvl w:val="0"/>
          <w:numId w:val="36"/>
        </w:numPr>
      </w:pPr>
      <w:r>
        <w:t>Equity</w:t>
      </w:r>
      <w:r>
        <w:rPr>
          <w:rFonts w:hint="eastAsia"/>
        </w:rPr>
        <w:t xml:space="preserve"> </w:t>
      </w:r>
      <w:r>
        <w:t>index</w:t>
      </w:r>
    </w:p>
    <w:p>
      <w:pPr>
        <w:numPr>
          <w:ilvl w:val="0"/>
          <w:numId w:val="37"/>
        </w:numPr>
      </w:pPr>
      <w:r>
        <w:t>Broad</w:t>
      </w:r>
      <w:r>
        <w:rPr>
          <w:rFonts w:hint="eastAsia"/>
        </w:rPr>
        <w:t xml:space="preserve"> </w:t>
      </w:r>
      <w:r>
        <w:t>market indices</w:t>
      </w:r>
      <w:r>
        <w:rPr>
          <w:rFonts w:hint="eastAsia"/>
        </w:rPr>
        <w:t>：整体市场</w:t>
      </w:r>
    </w:p>
    <w:p>
      <w:pPr>
        <w:numPr>
          <w:ilvl w:val="0"/>
          <w:numId w:val="37"/>
        </w:numPr>
      </w:pPr>
      <w:r>
        <w:t>Multi-market</w:t>
      </w:r>
      <w:r>
        <w:rPr>
          <w:rFonts w:hint="eastAsia"/>
        </w:rPr>
        <w:t xml:space="preserve"> </w:t>
      </w:r>
      <w:r>
        <w:t>indices</w:t>
      </w:r>
      <w:r>
        <w:rPr>
          <w:rFonts w:hint="eastAsia"/>
        </w:rPr>
        <w:t>：各个国家地区</w:t>
      </w:r>
    </w:p>
    <w:p>
      <w:pPr>
        <w:numPr>
          <w:ilvl w:val="1"/>
          <w:numId w:val="37"/>
        </w:numPr>
      </w:pPr>
      <w:r>
        <w:t>Fundamental</w:t>
      </w:r>
      <w:r>
        <w:rPr>
          <w:rFonts w:hint="eastAsia"/>
        </w:rPr>
        <w:t xml:space="preserve"> </w:t>
      </w:r>
      <w:r>
        <w:t xml:space="preserve">weighting in multi-market indices </w:t>
      </w:r>
      <w:r>
        <w:rPr>
          <w:rFonts w:hint="eastAsia"/>
        </w:rPr>
        <w:t>:使用各地区股票的</w:t>
      </w:r>
      <w:r>
        <w:t xml:space="preserve">market capitalization and </w:t>
      </w:r>
      <w:r>
        <w:rPr>
          <w:rFonts w:hint="eastAsia"/>
        </w:rPr>
        <w:t>或者地区的GDP比重</w:t>
      </w:r>
    </w:p>
    <w:p>
      <w:pPr>
        <w:numPr>
          <w:ilvl w:val="0"/>
          <w:numId w:val="37"/>
        </w:numPr>
      </w:pPr>
      <w:r>
        <w:t>Sector</w:t>
      </w:r>
      <w:r>
        <w:rPr>
          <w:rFonts w:hint="eastAsia"/>
        </w:rPr>
        <w:t xml:space="preserve"> </w:t>
      </w:r>
      <w:r>
        <w:t xml:space="preserve">indices </w:t>
      </w:r>
      <w:r>
        <w:rPr>
          <w:rFonts w:hint="eastAsia"/>
        </w:rPr>
        <w:t>：行业板块</w:t>
      </w:r>
    </w:p>
    <w:p>
      <w:pPr>
        <w:numPr>
          <w:ilvl w:val="1"/>
          <w:numId w:val="37"/>
        </w:numPr>
      </w:pPr>
      <w:r>
        <w:rPr>
          <w:rFonts w:hint="eastAsia"/>
        </w:rPr>
        <w:t>行业指数可以作为主动投资基金经理选股和资产配置的benchmark.</w:t>
      </w:r>
    </w:p>
    <w:p>
      <w:pPr>
        <w:numPr>
          <w:ilvl w:val="1"/>
          <w:numId w:val="37"/>
        </w:numPr>
      </w:pPr>
      <w:r>
        <w:rPr>
          <w:rFonts w:hint="eastAsia"/>
        </w:rPr>
        <w:t>没有一个universally agreed行业划分标准</w:t>
      </w:r>
    </w:p>
    <w:p>
      <w:pPr>
        <w:numPr>
          <w:ilvl w:val="0"/>
          <w:numId w:val="38"/>
        </w:numPr>
      </w:pPr>
      <w:r>
        <w:t>Style</w:t>
      </w:r>
      <w:r>
        <w:rPr>
          <w:rFonts w:hint="eastAsia"/>
        </w:rPr>
        <w:t xml:space="preserve"> </w:t>
      </w:r>
      <w:r>
        <w:t>indices</w:t>
      </w:r>
      <w:r>
        <w:rPr>
          <w:rFonts w:hint="eastAsia"/>
        </w:rPr>
        <w:t>：风格指数，大市值指数/成长类指数</w:t>
      </w:r>
    </w:p>
    <w:p>
      <w:pPr>
        <w:pStyle w:val="5"/>
      </w:pPr>
      <w:r>
        <w:t>Fixed-income</w:t>
      </w:r>
      <w:r>
        <w:rPr>
          <w:rFonts w:hint="eastAsia"/>
        </w:rPr>
        <w:t xml:space="preserve"> </w:t>
      </w:r>
      <w:r>
        <w:t>index</w:t>
      </w:r>
      <w:r>
        <w:rPr>
          <w:rFonts w:hint="eastAsia"/>
        </w:rPr>
        <w:t>特征</w:t>
      </w:r>
    </w:p>
    <w:p>
      <w:pPr>
        <w:numPr>
          <w:ilvl w:val="0"/>
          <w:numId w:val="39"/>
        </w:numPr>
      </w:pPr>
      <w:r>
        <w:t>Broad</w:t>
      </w:r>
      <w:r>
        <w:rPr>
          <w:rFonts w:hint="eastAsia"/>
        </w:rPr>
        <w:t xml:space="preserve"> </w:t>
      </w:r>
      <w:r>
        <w:t>universe:</w:t>
      </w:r>
      <w:r>
        <w:rPr>
          <w:rFonts w:hint="eastAsia"/>
        </w:rPr>
        <w:t>包含数量很多，所以划分的维度多</w:t>
      </w:r>
    </w:p>
    <w:p>
      <w:pPr>
        <w:numPr>
          <w:ilvl w:val="1"/>
          <w:numId w:val="39"/>
        </w:numPr>
      </w:pPr>
      <w:r>
        <w:rPr>
          <w:rFonts w:hint="eastAsia"/>
        </w:rPr>
        <w:t>可以根据maturity、issuer类型划分，但没有依据coupon frequency</w:t>
      </w:r>
    </w:p>
    <w:p>
      <w:pPr>
        <w:numPr>
          <w:ilvl w:val="0"/>
          <w:numId w:val="39"/>
        </w:numPr>
      </w:pPr>
      <w:r>
        <w:t>High</w:t>
      </w:r>
      <w:r>
        <w:rPr>
          <w:rFonts w:hint="eastAsia"/>
        </w:rPr>
        <w:t xml:space="preserve"> </w:t>
      </w:r>
      <w:r>
        <w:t>turnover</w:t>
      </w:r>
      <w:r>
        <w:rPr>
          <w:rFonts w:hint="eastAsia"/>
        </w:rPr>
        <w:t xml:space="preserve"> ：因为不断有到期mature，和新发，会不断替换包含的标的</w:t>
      </w:r>
    </w:p>
    <w:p>
      <w:pPr>
        <w:numPr>
          <w:ilvl w:val="0"/>
          <w:numId w:val="39"/>
        </w:numPr>
      </w:pPr>
      <w:r>
        <w:t>Dealer</w:t>
      </w:r>
      <w:r>
        <w:rPr>
          <w:rFonts w:hint="eastAsia"/>
        </w:rPr>
        <w:t xml:space="preserve"> </w:t>
      </w:r>
      <w:r>
        <w:t>markets</w:t>
      </w:r>
      <w:r>
        <w:rPr>
          <w:rFonts w:hint="eastAsia"/>
        </w:rPr>
        <w:t xml:space="preserve">场外交易多 </w:t>
      </w:r>
      <w:r>
        <w:t>and</w:t>
      </w:r>
      <w:r>
        <w:rPr>
          <w:rFonts w:hint="eastAsia"/>
        </w:rPr>
        <w:t xml:space="preserve"> </w:t>
      </w:r>
      <w:r>
        <w:t>illiquidity</w:t>
      </w:r>
      <w:r>
        <w:rPr>
          <w:rFonts w:hint="eastAsia"/>
        </w:rPr>
        <w:t>流动性差---很多愿意持有到期</w:t>
      </w:r>
    </w:p>
    <w:p>
      <w:pPr>
        <w:pStyle w:val="5"/>
      </w:pPr>
      <w:r>
        <w:t>Real</w:t>
      </w:r>
      <w:r>
        <w:rPr>
          <w:rFonts w:hint="eastAsia"/>
        </w:rPr>
        <w:t xml:space="preserve"> </w:t>
      </w:r>
      <w:r>
        <w:t>estate</w:t>
      </w:r>
      <w:r>
        <w:rPr>
          <w:rFonts w:hint="eastAsia"/>
        </w:rPr>
        <w:t xml:space="preserve"> </w:t>
      </w:r>
      <w:r>
        <w:t>index</w:t>
      </w:r>
      <w:r>
        <w:rPr>
          <w:rFonts w:hint="eastAsia"/>
        </w:rPr>
        <w:t>房地产指数——不是房地产板块指数</w:t>
      </w:r>
    </w:p>
    <w:p>
      <w:r>
        <w:rPr>
          <w:rFonts w:hint="eastAsia"/>
        </w:rPr>
        <w:t>包括</w:t>
      </w:r>
    </w:p>
    <w:p>
      <w:pPr>
        <w:numPr>
          <w:ilvl w:val="0"/>
          <w:numId w:val="40"/>
        </w:numPr>
      </w:pPr>
      <w:r>
        <w:t>appraisal indices</w:t>
      </w:r>
      <w:r>
        <w:rPr>
          <w:rFonts w:hint="eastAsia"/>
        </w:rPr>
        <w:t>评估指数</w:t>
      </w:r>
    </w:p>
    <w:p>
      <w:pPr>
        <w:numPr>
          <w:ilvl w:val="0"/>
          <w:numId w:val="40"/>
        </w:numPr>
      </w:pPr>
      <w:r>
        <w:t>repeat sales indices</w:t>
      </w:r>
      <w:r>
        <w:rPr>
          <w:rFonts w:hint="eastAsia"/>
        </w:rPr>
        <w:t>偏向交易活跃的房子</w:t>
      </w:r>
    </w:p>
    <w:p>
      <w:pPr>
        <w:numPr>
          <w:ilvl w:val="0"/>
          <w:numId w:val="40"/>
        </w:numPr>
      </w:pPr>
      <w:r>
        <w:t>REITs indices</w:t>
      </w:r>
      <w:r>
        <w:rPr>
          <w:rFonts w:hint="eastAsia"/>
        </w:rPr>
        <w:t>房地产信托基金指数</w:t>
      </w:r>
    </w:p>
    <w:p>
      <w:pPr>
        <w:pStyle w:val="5"/>
      </w:pPr>
      <w:r>
        <w:t>Commodity</w:t>
      </w:r>
      <w:r>
        <w:rPr>
          <w:rFonts w:hint="eastAsia"/>
        </w:rPr>
        <w:t xml:space="preserve"> </w:t>
      </w:r>
      <w:r>
        <w:t>indices</w:t>
      </w:r>
      <w:r>
        <w:rPr>
          <w:rFonts w:hint="eastAsia"/>
        </w:rPr>
        <w:t>大宗商品指数</w:t>
      </w:r>
    </w:p>
    <w:p>
      <w:pPr>
        <w:ind w:firstLine="420"/>
      </w:pPr>
      <w:r>
        <w:rPr>
          <w:rFonts w:hint="eastAsia"/>
        </w:rPr>
        <w:t>反应期货合约价格，所以可能与大宗商品本身有差异</w:t>
      </w:r>
    </w:p>
    <w:p>
      <w:pPr>
        <w:pStyle w:val="5"/>
      </w:pPr>
      <w:r>
        <w:t>Hedge</w:t>
      </w:r>
      <w:r>
        <w:rPr>
          <w:rFonts w:hint="eastAsia"/>
        </w:rPr>
        <w:t xml:space="preserve"> </w:t>
      </w:r>
      <w:r>
        <w:t>fund</w:t>
      </w:r>
      <w:r>
        <w:rPr>
          <w:rFonts w:hint="eastAsia"/>
        </w:rPr>
        <w:t xml:space="preserve"> </w:t>
      </w:r>
      <w:r>
        <w:t>index</w:t>
      </w:r>
      <w:r>
        <w:rPr>
          <w:rFonts w:hint="eastAsia"/>
        </w:rPr>
        <w:t>对冲基金指数</w:t>
      </w:r>
    </w:p>
    <w:p>
      <w:pPr>
        <w:numPr>
          <w:ilvl w:val="0"/>
          <w:numId w:val="41"/>
        </w:numPr>
      </w:pPr>
      <w:r>
        <w:rPr>
          <w:rFonts w:hint="eastAsia"/>
        </w:rPr>
        <w:t>难以收集数据——需要他们资源提供数据</w:t>
      </w:r>
    </w:p>
    <w:p>
      <w:pPr>
        <w:numPr>
          <w:ilvl w:val="1"/>
          <w:numId w:val="41"/>
        </w:numPr>
      </w:pPr>
      <w:r>
        <w:rPr>
          <w:rFonts w:hint="eastAsia"/>
        </w:rPr>
        <w:t xml:space="preserve">determined by the constituents of the index而不是index provider决定constituents </w:t>
      </w:r>
    </w:p>
    <w:p>
      <w:pPr>
        <w:numPr>
          <w:ilvl w:val="0"/>
          <w:numId w:val="41"/>
        </w:numPr>
      </w:pPr>
      <w:r>
        <w:t>survivorship</w:t>
      </w:r>
      <w:r>
        <w:rPr>
          <w:rFonts w:hint="eastAsia"/>
        </w:rPr>
        <w:t xml:space="preserve"> </w:t>
      </w:r>
      <w:r>
        <w:t>bias</w:t>
      </w:r>
      <w:r>
        <w:rPr>
          <w:rFonts w:hint="eastAsia"/>
        </w:rPr>
        <w:t>——能看见的都是存活没退市的——upward bias</w:t>
      </w:r>
    </w:p>
    <w:p>
      <w:pPr>
        <w:numPr>
          <w:ilvl w:val="0"/>
          <w:numId w:val="41"/>
        </w:numPr>
      </w:pPr>
      <w:r>
        <w:rPr>
          <w:rFonts w:hint="eastAsia"/>
        </w:rPr>
        <w:t>并不一定都是private investment</w:t>
      </w:r>
    </w:p>
    <w:p>
      <w:pPr>
        <w:pStyle w:val="3"/>
      </w:pPr>
      <w:r>
        <w:rPr>
          <w:rFonts w:hint="eastAsia"/>
        </w:rPr>
        <w:t>指数构建方式</w:t>
      </w:r>
    </w:p>
    <w:p>
      <w:pPr>
        <w:pStyle w:val="5"/>
        <w:numPr>
          <w:ilvl w:val="0"/>
          <w:numId w:val="42"/>
        </w:numPr>
      </w:pPr>
      <w:r>
        <w:rPr>
          <w:rFonts w:hint="eastAsia"/>
        </w:rPr>
        <w:t>价格加权指数Price weighting</w:t>
      </w:r>
    </w:p>
    <w:p>
      <w:pPr>
        <w:numPr>
          <w:ilvl w:val="0"/>
          <w:numId w:val="43"/>
        </w:numPr>
      </w:pPr>
      <w:r>
        <w:rPr>
          <w:rFonts w:hint="eastAsia"/>
        </w:rPr>
        <w:t>Aithmetic average of security prices</w:t>
      </w:r>
    </w:p>
    <w:p>
      <w:pPr>
        <w:numPr>
          <w:ilvl w:val="0"/>
          <w:numId w:val="43"/>
        </w:numPr>
      </w:pPr>
      <w:r>
        <w:rPr>
          <w:rFonts w:hint="eastAsia"/>
        </w:rPr>
        <w:t>可以看做是所有股票数量一致</w:t>
      </w:r>
    </w:p>
    <w:p>
      <w:r>
        <w:drawing>
          <wp:inline distT="0" distB="0" distL="114300" distR="114300">
            <wp:extent cx="5332095" cy="1575435"/>
            <wp:effectExtent l="0" t="0" r="1905" b="5715"/>
            <wp:docPr id="1" name="图片 1" descr="截图_2023012719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_20230127192920"/>
                    <pic:cNvPicPr>
                      <a:picLocks noChangeAspect="1"/>
                    </pic:cNvPicPr>
                  </pic:nvPicPr>
                  <pic:blipFill>
                    <a:blip r:embed="rId10"/>
                    <a:stretch>
                      <a:fillRect/>
                    </a:stretch>
                  </pic:blipFill>
                  <pic:spPr>
                    <a:xfrm>
                      <a:off x="0" y="0"/>
                      <a:ext cx="5332095" cy="1575435"/>
                    </a:xfrm>
                    <a:prstGeom prst="rect">
                      <a:avLst/>
                    </a:prstGeom>
                  </pic:spPr>
                </pic:pic>
              </a:graphicData>
            </a:graphic>
          </wp:inline>
        </w:drawing>
      </w:r>
    </w:p>
    <w:p>
      <w:pPr>
        <w:numPr>
          <w:ilvl w:val="0"/>
          <w:numId w:val="44"/>
        </w:numPr>
      </w:pPr>
      <w:r>
        <w:rPr>
          <w:rFonts w:hint="eastAsia"/>
        </w:rPr>
        <w:t>优点：便于计算</w:t>
      </w:r>
    </w:p>
    <w:p>
      <w:pPr>
        <w:numPr>
          <w:ilvl w:val="0"/>
          <w:numId w:val="44"/>
        </w:numPr>
      </w:pPr>
      <w:r>
        <w:rPr>
          <w:rFonts w:hint="eastAsia"/>
        </w:rPr>
        <w:t>缺点：高价格股影响大；拆股情况，会导致数值变动，要调整除数divisor</w:t>
      </w:r>
    </w:p>
    <w:p>
      <w:pPr>
        <w:pStyle w:val="5"/>
      </w:pPr>
      <w:r>
        <w:rPr>
          <w:rFonts w:hint="eastAsia"/>
        </w:rPr>
        <w:t>市值加权指数</w:t>
      </w:r>
    </w:p>
    <w:p>
      <w:pPr>
        <w:pStyle w:val="5"/>
        <w:numPr>
          <w:ilvl w:val="0"/>
          <w:numId w:val="45"/>
        </w:numPr>
      </w:pPr>
      <w:r>
        <w:rPr>
          <w:rFonts w:hint="eastAsia"/>
        </w:rPr>
        <w:t>Market-capitalization weighting</w:t>
      </w:r>
    </w:p>
    <w:p>
      <w:r>
        <w:rPr>
          <w:rFonts w:hint="eastAsia"/>
        </w:rPr>
        <w:drawing>
          <wp:inline distT="0" distB="0" distL="114300" distR="114300">
            <wp:extent cx="5274310" cy="1391285"/>
            <wp:effectExtent l="0" t="0" r="2540" b="8890"/>
            <wp:docPr id="3" name="图片 3" descr="截图_2023012719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_20230127194131"/>
                    <pic:cNvPicPr>
                      <a:picLocks noChangeAspect="1"/>
                    </pic:cNvPicPr>
                  </pic:nvPicPr>
                  <pic:blipFill>
                    <a:blip r:embed="rId11"/>
                    <a:stretch>
                      <a:fillRect/>
                    </a:stretch>
                  </pic:blipFill>
                  <pic:spPr>
                    <a:xfrm>
                      <a:off x="0" y="0"/>
                      <a:ext cx="5274310" cy="1391285"/>
                    </a:xfrm>
                    <a:prstGeom prst="rect">
                      <a:avLst/>
                    </a:prstGeom>
                  </pic:spPr>
                </pic:pic>
              </a:graphicData>
            </a:graphic>
          </wp:inline>
        </w:drawing>
      </w:r>
    </w:p>
    <w:p>
      <w:pPr>
        <w:numPr>
          <w:ilvl w:val="0"/>
          <w:numId w:val="46"/>
        </w:numPr>
      </w:pPr>
      <w:r>
        <w:rPr>
          <w:rFonts w:hint="eastAsia"/>
        </w:rPr>
        <w:t>优点：权重可以体现真实市场占比，更加符合实际</w:t>
      </w:r>
    </w:p>
    <w:p>
      <w:pPr>
        <w:numPr>
          <w:ilvl w:val="0"/>
          <w:numId w:val="46"/>
        </w:numPr>
      </w:pPr>
      <w:r>
        <w:rPr>
          <w:rFonts w:hint="eastAsia"/>
        </w:rPr>
        <w:t>缺点：</w:t>
      </w:r>
    </w:p>
    <w:p>
      <w:pPr>
        <w:numPr>
          <w:ilvl w:val="1"/>
          <w:numId w:val="46"/>
        </w:numPr>
      </w:pPr>
      <w:r>
        <w:rPr>
          <w:rFonts w:hint="eastAsia"/>
        </w:rPr>
        <w:t>对于大市值的股票影响更大，“二八效应——多数下跌的情况无法体现”，</w:t>
      </w:r>
    </w:p>
    <w:p>
      <w:pPr>
        <w:numPr>
          <w:ilvl w:val="1"/>
          <w:numId w:val="46"/>
        </w:numPr>
      </w:pPr>
      <w:r>
        <w:rPr>
          <w:rFonts w:hint="eastAsia"/>
          <w:highlight w:val="yellow"/>
        </w:rPr>
        <w:t>Momentum tilt</w:t>
      </w:r>
      <w:r>
        <w:rPr>
          <w:rFonts w:hint="eastAsia"/>
        </w:rPr>
        <w:t>惯性效应——大市值股价越长，放大效应越大</w:t>
      </w:r>
    </w:p>
    <w:p>
      <w:pPr>
        <w:pStyle w:val="5"/>
        <w:numPr>
          <w:ilvl w:val="0"/>
          <w:numId w:val="45"/>
        </w:numPr>
      </w:pPr>
      <w:r>
        <w:rPr>
          <w:rFonts w:hint="eastAsia"/>
        </w:rPr>
        <w:t>Float-adjusted Market-cap weighting</w:t>
      </w:r>
    </w:p>
    <w:p>
      <w:pPr>
        <w:numPr>
          <w:ilvl w:val="0"/>
          <w:numId w:val="47"/>
        </w:numPr>
      </w:pPr>
      <w:r>
        <w:rPr>
          <w:rFonts w:hint="eastAsia"/>
        </w:rPr>
        <w:t>只计算那些流通股，排除限售股或大股东持有的</w:t>
      </w:r>
    </w:p>
    <w:p>
      <w:pPr>
        <w:pStyle w:val="5"/>
        <w:numPr>
          <w:ilvl w:val="0"/>
          <w:numId w:val="45"/>
        </w:numPr>
      </w:pPr>
      <w:r>
        <w:rPr>
          <w:rFonts w:hint="eastAsia"/>
        </w:rPr>
        <w:t>Free-Float-adjusted Market-cap weighting</w:t>
      </w:r>
    </w:p>
    <w:p>
      <w:pPr>
        <w:numPr>
          <w:ilvl w:val="0"/>
          <w:numId w:val="47"/>
        </w:numPr>
      </w:pPr>
      <w:r>
        <w:rPr>
          <w:rFonts w:hint="eastAsia"/>
        </w:rPr>
        <w:t>在（2）的基础上进一步调整，剔除不允许国外投资者交易的股票</w:t>
      </w:r>
    </w:p>
    <w:p>
      <w:pPr>
        <w:pStyle w:val="5"/>
      </w:pPr>
      <w:r>
        <w:rPr>
          <w:rFonts w:hint="eastAsia"/>
        </w:rPr>
        <w:t>等权重Equal weighting：</w:t>
      </w:r>
    </w:p>
    <w:p>
      <w:pPr>
        <w:numPr>
          <w:ilvl w:val="0"/>
          <w:numId w:val="48"/>
        </w:numPr>
        <w:rPr>
          <w:b/>
          <w:bCs/>
          <w:color w:val="7030A0"/>
        </w:rPr>
      </w:pPr>
      <w:r>
        <w:rPr>
          <w:rFonts w:hint="eastAsia"/>
        </w:rPr>
        <w:t>用相同金额购买每只股票；直接对所有股票的</w:t>
      </w:r>
      <w:r>
        <w:rPr>
          <w:rFonts w:hint="eastAsia"/>
          <w:b/>
          <w:bCs/>
          <w:color w:val="7030A0"/>
        </w:rPr>
        <w:t>涨跌幅 做算术平均</w:t>
      </w:r>
    </w:p>
    <w:p>
      <w:pPr>
        <w:numPr>
          <w:ilvl w:val="0"/>
          <w:numId w:val="48"/>
        </w:numPr>
      </w:pPr>
      <w:r>
        <w:rPr>
          <w:rFonts w:hint="eastAsia"/>
        </w:rPr>
        <w:t>优点：简单</w:t>
      </w:r>
    </w:p>
    <w:p>
      <w:pPr>
        <w:numPr>
          <w:ilvl w:val="0"/>
          <w:numId w:val="48"/>
        </w:numPr>
      </w:pPr>
      <w:r>
        <w:rPr>
          <w:rFonts w:hint="eastAsia"/>
        </w:rPr>
        <w:t>缺点：</w:t>
      </w:r>
    </w:p>
    <w:p>
      <w:pPr>
        <w:numPr>
          <w:ilvl w:val="1"/>
          <w:numId w:val="48"/>
        </w:numPr>
      </w:pPr>
      <w:r>
        <w:rPr>
          <w:rFonts w:hint="eastAsia"/>
        </w:rPr>
        <w:t>要一致维持金额一致，所以价格变动后要经常rebalance</w:t>
      </w:r>
    </w:p>
    <w:p>
      <w:pPr>
        <w:numPr>
          <w:ilvl w:val="1"/>
          <w:numId w:val="48"/>
        </w:numPr>
      </w:pPr>
      <w:r>
        <w:rPr>
          <w:rFonts w:hint="eastAsia"/>
        </w:rPr>
        <w:t>Small-cap bias：小市值股票影响大，而且由于小市值波动大</w:t>
      </w:r>
    </w:p>
    <w:p>
      <w:pPr>
        <w:pStyle w:val="5"/>
      </w:pPr>
      <w:r>
        <w:rPr>
          <w:rFonts w:hint="eastAsia"/>
        </w:rPr>
        <w:t>基本面加权Fundamentally weighting</w:t>
      </w:r>
    </w:p>
    <w:p>
      <w:pPr>
        <w:numPr>
          <w:ilvl w:val="0"/>
          <w:numId w:val="49"/>
        </w:numPr>
      </w:pPr>
      <w:r>
        <w:rPr>
          <w:rFonts w:hint="eastAsia"/>
        </w:rPr>
        <w:t>与个股的价格没有必然关系，可能有——权重使用账面价值、现金流、红利等</w:t>
      </w:r>
    </w:p>
    <w:p>
      <w:pPr>
        <w:numPr>
          <w:ilvl w:val="0"/>
          <w:numId w:val="50"/>
        </w:numPr>
      </w:pPr>
      <w:r>
        <w:rPr>
          <w:rFonts w:hint="eastAsia"/>
          <w:highlight w:val="yellow"/>
        </w:rPr>
        <w:t>Value tilt</w:t>
      </w:r>
      <w:r>
        <w:rPr>
          <w:rFonts w:hint="eastAsia"/>
        </w:rPr>
        <w:t>：价值倾斜，好公司影响大</w:t>
      </w:r>
    </w:p>
    <w:p>
      <w:pPr>
        <w:numPr>
          <w:ilvl w:val="0"/>
          <w:numId w:val="50"/>
        </w:numPr>
      </w:pPr>
      <w:r>
        <w:rPr>
          <w:rFonts w:hint="eastAsia"/>
        </w:rPr>
        <w:t>Contrarian effect：当前价格显著上涨（或被高估）的公司权重反而更低。例如，公司股价越高，加权使用的Div/price或EPS等就越低。</w:t>
      </w:r>
    </w:p>
    <w:p>
      <w:pPr>
        <w:pStyle w:val="5"/>
      </w:pPr>
      <w:r>
        <w:rPr>
          <w:rFonts w:hint="eastAsia"/>
        </w:rPr>
        <w:t>指数再平衡与指数重建rebalancing/reconstitution</w:t>
      </w:r>
    </w:p>
    <w:p>
      <w:pPr>
        <w:numPr>
          <w:ilvl w:val="0"/>
          <w:numId w:val="51"/>
        </w:numPr>
      </w:pPr>
      <w:r>
        <w:rPr>
          <w:rFonts w:hint="eastAsia"/>
        </w:rPr>
        <w:t>Rebalancing指数再平衡</w:t>
      </w:r>
    </w:p>
    <w:p>
      <w:pPr>
        <w:numPr>
          <w:ilvl w:val="0"/>
          <w:numId w:val="52"/>
        </w:numPr>
      </w:pPr>
      <w:r>
        <w:t>指当成分股权重偏离既定加权方法时，指数权重需要再平衡</w:t>
      </w:r>
    </w:p>
    <w:p>
      <w:pPr>
        <w:numPr>
          <w:ilvl w:val="1"/>
          <w:numId w:val="53"/>
        </w:numPr>
      </w:pPr>
      <w:r>
        <w:t>一般而言，</w:t>
      </w:r>
      <w:r>
        <w:rPr>
          <w:rFonts w:hint="eastAsia"/>
        </w:rPr>
        <w:t>Price weighting</w:t>
      </w:r>
      <w:r>
        <w:t>无须调整权重，除了拆股时需要调整除数。</w:t>
      </w:r>
    </w:p>
    <w:p>
      <w:pPr>
        <w:numPr>
          <w:ilvl w:val="1"/>
          <w:numId w:val="53"/>
        </w:numPr>
      </w:pPr>
      <w:r>
        <w:t>Market-cap weighting除涉及成分股公司兼并收购、清算等重大事件以外，一般也无须调整权重。</w:t>
      </w:r>
    </w:p>
    <w:p>
      <w:pPr>
        <w:numPr>
          <w:ilvl w:val="1"/>
          <w:numId w:val="53"/>
        </w:numPr>
      </w:pPr>
      <w:r>
        <w:t>Equal weighting需要经常再平衡。</w:t>
      </w:r>
    </w:p>
    <w:p>
      <w:pPr>
        <w:numPr>
          <w:ilvl w:val="0"/>
          <w:numId w:val="52"/>
        </w:numPr>
      </w:pPr>
      <w:r>
        <w:rPr>
          <w:rFonts w:hint="eastAsia"/>
        </w:rPr>
        <w:t>R</w:t>
      </w:r>
      <w:r>
        <w:t>econstitution指数重建</w:t>
      </w:r>
      <w:r>
        <w:rPr>
          <w:rFonts w:hint="eastAsia"/>
        </w:rPr>
        <w:t>：</w:t>
      </w:r>
      <w:r>
        <w:t>适当更换成分股。</w:t>
      </w:r>
    </w:p>
    <w:p>
      <w:pPr>
        <w:numPr>
          <w:ilvl w:val="1"/>
          <w:numId w:val="52"/>
        </w:numPr>
      </w:pPr>
      <w:r>
        <w:t>在重建日（reconstitution</w:t>
      </w:r>
      <w:r>
        <w:rPr>
          <w:rFonts w:hint="eastAsia"/>
        </w:rPr>
        <w:t xml:space="preserve"> </w:t>
      </w:r>
      <w:r>
        <w:t>day）</w:t>
      </w:r>
      <w:r>
        <w:rPr>
          <w:rFonts w:hint="eastAsia"/>
        </w:rPr>
        <w:t>根据情况</w:t>
      </w:r>
      <w:r>
        <w:t>决定哪些股票应当加人、去除或保留在现有指数中。</w:t>
      </w:r>
    </w:p>
    <w:p>
      <w:pPr>
        <w:numPr>
          <w:ilvl w:val="1"/>
          <w:numId w:val="52"/>
        </w:numPr>
      </w:pPr>
      <w:r>
        <w:rPr>
          <w:rFonts w:hint="eastAsia"/>
        </w:rPr>
        <w:t>是再平衡Rebalancing的特例</w:t>
      </w:r>
    </w:p>
    <w:p>
      <w:pPr>
        <w:pStyle w:val="2"/>
        <w:spacing w:before="93" w:after="93"/>
      </w:pPr>
      <w:r>
        <w:t>Chapter3 市场有效性</w:t>
      </w:r>
    </w:p>
    <w:p>
      <w:pPr>
        <w:pStyle w:val="3"/>
        <w:numPr>
          <w:ilvl w:val="0"/>
          <w:numId w:val="54"/>
        </w:numPr>
      </w:pPr>
      <w:r>
        <w:rPr>
          <w:rFonts w:hint="eastAsia"/>
        </w:rPr>
        <w:t>信息有效市场</w:t>
      </w:r>
      <w:r>
        <w:t>informationally efficient market</w:t>
      </w:r>
    </w:p>
    <w:p>
      <w:pPr>
        <w:pStyle w:val="4"/>
        <w:numPr>
          <w:ilvl w:val="0"/>
          <w:numId w:val="55"/>
        </w:numPr>
        <w:tabs>
          <w:tab w:val="left" w:pos="222"/>
        </w:tabs>
        <w:ind w:firstLineChars="0"/>
      </w:pPr>
      <w:r>
        <w:t>Quickly及时地 and rationally理性地</w:t>
      </w:r>
      <w:r>
        <w:rPr>
          <w:rFonts w:hint="eastAsia"/>
        </w:rPr>
        <w:t xml:space="preserve"> </w:t>
      </w:r>
      <w:r>
        <w:t xml:space="preserve"> 把新的信息反应在资产价格中</w:t>
      </w:r>
    </w:p>
    <w:p>
      <w:pPr>
        <w:pStyle w:val="4"/>
        <w:numPr>
          <w:ilvl w:val="0"/>
          <w:numId w:val="55"/>
        </w:numPr>
        <w:tabs>
          <w:tab w:val="left" w:pos="222"/>
        </w:tabs>
        <w:ind w:firstLineChars="0"/>
      </w:pPr>
      <w:r>
        <w:rPr>
          <w:rFonts w:hint="eastAsia"/>
        </w:rPr>
        <w:t>由于成本更低，只要达到市场半有效，被动投资（passive investment）策略就优于主动投资（active investment）。</w:t>
      </w:r>
    </w:p>
    <w:p>
      <w:pPr>
        <w:pStyle w:val="4"/>
        <w:numPr>
          <w:ilvl w:val="0"/>
          <w:numId w:val="55"/>
        </w:numPr>
        <w:tabs>
          <w:tab w:val="left" w:pos="222"/>
        </w:tabs>
        <w:ind w:firstLineChars="0"/>
      </w:pPr>
      <w:r>
        <w:rPr>
          <w:rFonts w:hint="eastAsia"/>
        </w:rPr>
        <w:t>价格只会对于未预期到的（unexpected/surprise）信息做出反应</w:t>
      </w:r>
    </w:p>
    <w:p>
      <w:pPr>
        <w:pStyle w:val="4"/>
        <w:numPr>
          <w:ilvl w:val="0"/>
          <w:numId w:val="55"/>
        </w:numPr>
        <w:tabs>
          <w:tab w:val="left" w:pos="222"/>
        </w:tabs>
        <w:ind w:firstLineChars="0"/>
      </w:pPr>
      <w:r>
        <w:rPr>
          <w:rFonts w:hint="eastAsia"/>
        </w:rPr>
        <w:t>在有效市场中，资产价格=内在价值</w:t>
      </w:r>
      <w:r>
        <w:t xml:space="preserve">intrinsic values </w:t>
      </w:r>
    </w:p>
    <w:p>
      <w:pPr>
        <w:pStyle w:val="3"/>
      </w:pPr>
      <w:r>
        <w:t>影响市场有效性</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2806"/>
        <w:gridCol w:w="1009"/>
        <w:gridCol w:w="447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因素</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t>影响方向</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与市场有效性的关系</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市场参与者</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t>+</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参与者越多，市场越有效</w:t>
            </w:r>
            <w:r>
              <w:rPr>
                <w:rFonts w:hint="eastAsia"/>
              </w:rPr>
              <w:t>——投资者减少套利机会，分析师增加信息披露</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信息的可获得程度及财务披露</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信息可获得性越高，披露要求更高，市场越有效</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交易限制</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交易限制越多，市场越无效</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交易成本</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交易成本越高，市场越无效</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06" w:type="dxa"/>
            <w:tcBorders>
              <w:top w:val="outset" w:color="000000" w:sz="6" w:space="0"/>
              <w:left w:val="outset" w:color="000000" w:sz="6" w:space="0"/>
              <w:bottom w:val="outset" w:color="000000" w:sz="6" w:space="0"/>
              <w:right w:val="outset" w:color="000000" w:sz="6" w:space="0"/>
            </w:tcBorders>
            <w:vAlign w:val="center"/>
          </w:tcPr>
          <w:p>
            <w:pPr>
              <w:widowControl/>
              <w:jc w:val="left"/>
            </w:pPr>
            <w:r>
              <w:t>信息获得成本</w:t>
            </w:r>
          </w:p>
        </w:tc>
        <w:tc>
          <w:tcPr>
            <w:tcW w:w="100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4475" w:type="dxa"/>
            <w:tcBorders>
              <w:top w:val="outset" w:color="000000" w:sz="6" w:space="0"/>
              <w:left w:val="outset" w:color="000000" w:sz="6" w:space="0"/>
              <w:bottom w:val="outset" w:color="000000" w:sz="6" w:space="0"/>
              <w:right w:val="outset" w:color="000000" w:sz="6" w:space="0"/>
            </w:tcBorders>
            <w:vAlign w:val="center"/>
          </w:tcPr>
          <w:p>
            <w:pPr>
              <w:widowControl/>
              <w:jc w:val="left"/>
            </w:pPr>
            <w:r>
              <w:t>信息获得成本越高，市场越无效</w:t>
            </w:r>
          </w:p>
        </w:tc>
      </w:tr>
    </w:tbl>
    <w:p>
      <w:pPr>
        <w:pStyle w:val="4"/>
        <w:numPr>
          <w:ilvl w:val="0"/>
          <w:numId w:val="56"/>
        </w:numPr>
        <w:tabs>
          <w:tab w:val="left" w:pos="840"/>
        </w:tabs>
        <w:ind w:firstLineChars="0"/>
        <w:rPr>
          <w:rFonts w:ascii="宋体" w:hAnsi="宋体" w:eastAsia="宋体" w:cs="宋体"/>
          <w:kern w:val="0"/>
          <w:sz w:val="24"/>
          <w:szCs w:val="24"/>
        </w:rPr>
      </w:pPr>
      <w:r>
        <w:rPr>
          <w:rFonts w:hint="eastAsia"/>
        </w:rPr>
        <w:t>在高度有效的市场中，基金经理应当更关注资产配置</w:t>
      </w:r>
      <w:r>
        <w:rPr>
          <w:rFonts w:ascii="宋体" w:hAnsi="宋体" w:eastAsia="宋体" w:cs="宋体"/>
          <w:kern w:val="0"/>
          <w:sz w:val="24"/>
          <w:szCs w:val="24"/>
        </w:rPr>
        <w:t xml:space="preserve"> </w:t>
      </w:r>
    </w:p>
    <w:p>
      <w:pPr>
        <w:pStyle w:val="3"/>
      </w:pPr>
      <w:r>
        <w:t>有效市场假说</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714"/>
        <w:gridCol w:w="1397"/>
        <w:gridCol w:w="1222"/>
        <w:gridCol w:w="1089"/>
        <w:gridCol w:w="2868"/>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14" w:type="dxa"/>
            <w:tcBorders>
              <w:top w:val="outset" w:color="000000" w:sz="6" w:space="0"/>
              <w:left w:val="outset" w:color="000000" w:sz="6" w:space="0"/>
              <w:bottom w:val="outset" w:color="000000" w:sz="6" w:space="0"/>
              <w:right w:val="outset" w:color="000000" w:sz="6" w:space="0"/>
            </w:tcBorders>
            <w:vAlign w:val="center"/>
          </w:tcPr>
          <w:p>
            <w:pPr>
              <w:widowControl/>
              <w:jc w:val="left"/>
            </w:pPr>
          </w:p>
        </w:tc>
        <w:tc>
          <w:tcPr>
            <w:tcW w:w="3708" w:type="dxa"/>
            <w:gridSpan w:val="3"/>
            <w:tcBorders>
              <w:top w:val="outset" w:color="000000" w:sz="6" w:space="0"/>
              <w:left w:val="outset" w:color="000000" w:sz="6" w:space="0"/>
              <w:bottom w:val="outset" w:color="000000" w:sz="6" w:space="0"/>
              <w:right w:val="outset" w:color="000000" w:sz="6" w:space="0"/>
            </w:tcBorders>
            <w:vAlign w:val="center"/>
          </w:tcPr>
          <w:p>
            <w:pPr>
              <w:widowControl/>
              <w:jc w:val="left"/>
            </w:pPr>
            <w:r>
              <w:t>市场价格反映</w:t>
            </w:r>
          </w:p>
        </w:tc>
        <w:tc>
          <w:tcPr>
            <w:tcW w:w="2868" w:type="dxa"/>
            <w:vMerge w:val="restart"/>
            <w:tcBorders>
              <w:top w:val="outset" w:color="000000" w:sz="6" w:space="0"/>
              <w:left w:val="outset" w:color="000000" w:sz="6" w:space="0"/>
              <w:bottom w:val="outset" w:color="000000" w:sz="6" w:space="0"/>
              <w:right w:val="outset" w:color="000000" w:sz="6" w:space="0"/>
            </w:tcBorders>
            <w:vAlign w:val="center"/>
          </w:tcPr>
          <w:p>
            <w:pPr>
              <w:widowControl/>
              <w:jc w:val="left"/>
            </w:pPr>
            <w:r>
              <w:t>是否能持续获得超额收益</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14" w:type="dxa"/>
            <w:tcBorders>
              <w:top w:val="outset" w:color="000000" w:sz="6" w:space="0"/>
              <w:left w:val="outset" w:color="000000" w:sz="6" w:space="0"/>
              <w:bottom w:val="outset" w:color="000000" w:sz="6" w:space="0"/>
              <w:right w:val="outset" w:color="000000" w:sz="6" w:space="0"/>
            </w:tcBorders>
            <w:vAlign w:val="center"/>
          </w:tcPr>
          <w:p>
            <w:pPr>
              <w:widowControl/>
              <w:jc w:val="left"/>
            </w:pPr>
            <w:r>
              <w:t>市场有效结构</w:t>
            </w:r>
          </w:p>
        </w:tc>
        <w:tc>
          <w:tcPr>
            <w:tcW w:w="1397" w:type="dxa"/>
            <w:tcBorders>
              <w:top w:val="outset" w:color="000000" w:sz="6" w:space="0"/>
              <w:left w:val="outset" w:color="000000" w:sz="6" w:space="0"/>
              <w:bottom w:val="outset" w:color="000000" w:sz="6" w:space="0"/>
              <w:right w:val="outset" w:color="000000" w:sz="6" w:space="0"/>
            </w:tcBorders>
            <w:vAlign w:val="center"/>
          </w:tcPr>
          <w:p>
            <w:pPr>
              <w:widowControl/>
              <w:jc w:val="left"/>
            </w:pPr>
            <w:r>
              <w:t>历史市场信息——所有历史价格和成交信息</w:t>
            </w:r>
          </w:p>
        </w:tc>
        <w:tc>
          <w:tcPr>
            <w:tcW w:w="1222" w:type="dxa"/>
            <w:tcBorders>
              <w:top w:val="outset" w:color="000000" w:sz="6" w:space="0"/>
              <w:left w:val="outset" w:color="000000" w:sz="6" w:space="0"/>
              <w:bottom w:val="outset" w:color="000000" w:sz="6" w:space="0"/>
              <w:right w:val="outset" w:color="000000" w:sz="6" w:space="0"/>
            </w:tcBorders>
            <w:vAlign w:val="center"/>
          </w:tcPr>
          <w:p>
            <w:pPr>
              <w:widowControl/>
              <w:jc w:val="left"/>
            </w:pPr>
            <w:r>
              <w:t>公开信息</w:t>
            </w:r>
          </w:p>
        </w:tc>
        <w:tc>
          <w:tcPr>
            <w:tcW w:w="1089" w:type="dxa"/>
            <w:tcBorders>
              <w:top w:val="outset" w:color="000000" w:sz="6" w:space="0"/>
              <w:left w:val="outset" w:color="000000" w:sz="6" w:space="0"/>
              <w:bottom w:val="outset" w:color="000000" w:sz="6" w:space="0"/>
              <w:right w:val="outset" w:color="000000" w:sz="6" w:space="0"/>
            </w:tcBorders>
            <w:vAlign w:val="center"/>
          </w:tcPr>
          <w:p>
            <w:pPr>
              <w:widowControl/>
              <w:jc w:val="left"/>
            </w:pPr>
            <w:r>
              <w:t>内幕信息</w:t>
            </w:r>
          </w:p>
        </w:tc>
        <w:tc>
          <w:tcPr>
            <w:tcW w:w="0" w:type="auto"/>
            <w:vMerge w:val="continue"/>
            <w:tcBorders>
              <w:top w:val="outset" w:color="000000" w:sz="6" w:space="0"/>
              <w:left w:val="outset" w:color="000000" w:sz="6" w:space="0"/>
              <w:bottom w:val="outset" w:color="000000" w:sz="6" w:space="0"/>
              <w:right w:val="outset" w:color="000000" w:sz="6" w:space="0"/>
            </w:tcBorders>
            <w:vAlign w:val="center"/>
          </w:tcPr>
          <w:p>
            <w:pPr>
              <w:widowControl/>
              <w:jc w:val="left"/>
            </w:pP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14" w:type="dxa"/>
            <w:tcBorders>
              <w:top w:val="outset" w:color="000000" w:sz="6" w:space="0"/>
              <w:left w:val="outset" w:color="000000" w:sz="6" w:space="0"/>
              <w:bottom w:val="outset" w:color="000000" w:sz="6" w:space="0"/>
              <w:right w:val="outset" w:color="000000" w:sz="6" w:space="0"/>
            </w:tcBorders>
            <w:vAlign w:val="center"/>
          </w:tcPr>
          <w:p>
            <w:pPr>
              <w:widowControl/>
              <w:jc w:val="left"/>
            </w:pPr>
            <w:r>
              <w:t>Weak-form efficient market hypothesis</w:t>
            </w:r>
          </w:p>
        </w:tc>
        <w:tc>
          <w:tcPr>
            <w:tcW w:w="1397" w:type="dxa"/>
            <w:tcBorders>
              <w:top w:val="outset" w:color="000000" w:sz="6" w:space="0"/>
              <w:left w:val="outset" w:color="000000" w:sz="6" w:space="0"/>
              <w:bottom w:val="outset" w:color="000000" w:sz="6" w:space="0"/>
              <w:right w:val="outset" w:color="000000" w:sz="6" w:space="0"/>
            </w:tcBorders>
            <w:vAlign w:val="center"/>
          </w:tcPr>
          <w:p>
            <w:pPr>
              <w:widowControl/>
              <w:jc w:val="left"/>
            </w:pPr>
            <w:r>
              <w:t>√</w:t>
            </w:r>
          </w:p>
        </w:tc>
        <w:tc>
          <w:tcPr>
            <w:tcW w:w="1222" w:type="dxa"/>
            <w:tcBorders>
              <w:top w:val="outset" w:color="000000" w:sz="6" w:space="0"/>
              <w:left w:val="outset" w:color="000000" w:sz="6" w:space="0"/>
              <w:bottom w:val="outset" w:color="000000" w:sz="6" w:space="0"/>
              <w:right w:val="outset" w:color="000000" w:sz="6" w:space="0"/>
            </w:tcBorders>
            <w:vAlign w:val="center"/>
          </w:tcPr>
          <w:p>
            <w:pPr>
              <w:widowControl/>
              <w:jc w:val="left"/>
            </w:pPr>
            <w:r>
              <w:t>×</w:t>
            </w:r>
          </w:p>
        </w:tc>
        <w:tc>
          <w:tcPr>
            <w:tcW w:w="108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2868" w:type="dxa"/>
            <w:tcBorders>
              <w:top w:val="outset" w:color="000000" w:sz="6" w:space="0"/>
              <w:left w:val="outset" w:color="000000" w:sz="6" w:space="0"/>
              <w:bottom w:val="outset" w:color="000000" w:sz="6" w:space="0"/>
              <w:right w:val="outset" w:color="000000" w:sz="6" w:space="0"/>
            </w:tcBorders>
            <w:vAlign w:val="center"/>
          </w:tcPr>
          <w:p>
            <w:pPr>
              <w:widowControl/>
              <w:jc w:val="left"/>
            </w:pPr>
            <w:r>
              <w:t>T</w:t>
            </w:r>
            <w:r>
              <w:rPr>
                <w:rFonts w:hint="eastAsia"/>
              </w:rPr>
              <w:t>echnical</w:t>
            </w:r>
            <w:r>
              <w:t xml:space="preserve"> analysis开始失效</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14"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Semi</w:t>
            </w:r>
            <w:r>
              <w:t>-form efficient market hypothesis</w:t>
            </w:r>
          </w:p>
        </w:tc>
        <w:tc>
          <w:tcPr>
            <w:tcW w:w="1397"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1222"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108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2868" w:type="dxa"/>
            <w:tcBorders>
              <w:top w:val="outset" w:color="000000" w:sz="6" w:space="0"/>
              <w:left w:val="outset" w:color="000000" w:sz="6" w:space="0"/>
              <w:bottom w:val="outset" w:color="000000" w:sz="6" w:space="0"/>
              <w:right w:val="outset" w:color="000000" w:sz="6" w:space="0"/>
            </w:tcBorders>
            <w:vAlign w:val="center"/>
          </w:tcPr>
          <w:p>
            <w:pPr>
              <w:widowControl/>
              <w:jc w:val="left"/>
            </w:pPr>
            <w:r>
              <w:t>Fundamental analysis开始失效</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14"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Strong</w:t>
            </w:r>
            <w:r>
              <w:t>-form efficient market hypothesis</w:t>
            </w:r>
          </w:p>
        </w:tc>
        <w:tc>
          <w:tcPr>
            <w:tcW w:w="1397"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1222"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1089" w:type="dxa"/>
            <w:tcBorders>
              <w:top w:val="outset" w:color="000000" w:sz="6" w:space="0"/>
              <w:left w:val="outset" w:color="000000" w:sz="6" w:space="0"/>
              <w:bottom w:val="outset" w:color="000000" w:sz="6" w:space="0"/>
              <w:right w:val="outset" w:color="000000" w:sz="6" w:space="0"/>
            </w:tcBorders>
            <w:vAlign w:val="center"/>
          </w:tcPr>
          <w:p>
            <w:pPr>
              <w:widowControl/>
              <w:jc w:val="left"/>
            </w:pPr>
            <w:r>
              <w:rPr>
                <w:rFonts w:hint="eastAsia"/>
              </w:rPr>
              <w:t>√</w:t>
            </w:r>
          </w:p>
        </w:tc>
        <w:tc>
          <w:tcPr>
            <w:tcW w:w="2868" w:type="dxa"/>
            <w:tcBorders>
              <w:top w:val="outset" w:color="000000" w:sz="6" w:space="0"/>
              <w:left w:val="outset" w:color="000000" w:sz="6" w:space="0"/>
              <w:bottom w:val="outset" w:color="000000" w:sz="6" w:space="0"/>
              <w:right w:val="outset" w:color="000000" w:sz="6" w:space="0"/>
            </w:tcBorders>
            <w:vAlign w:val="center"/>
          </w:tcPr>
          <w:p>
            <w:pPr>
              <w:widowControl/>
              <w:jc w:val="left"/>
            </w:pPr>
            <w:r>
              <w:t>private information内幕交易开始失效</w:t>
            </w:r>
            <w:r>
              <w:rPr>
                <w:rFonts w:hint="eastAsia"/>
              </w:rPr>
              <w:t>——如果股价发生变化，一定是因为出现的额外的信息</w:t>
            </w:r>
          </w:p>
        </w:tc>
      </w:tr>
    </w:tbl>
    <w:p>
      <w:pPr>
        <w:pStyle w:val="3"/>
      </w:pPr>
      <w:r>
        <w:rPr>
          <w:rFonts w:hint="eastAsia"/>
        </w:rPr>
        <w:t>市场异常（Market Anomaly）</w:t>
      </w:r>
    </w:p>
    <w:p>
      <w:pPr>
        <w:pStyle w:val="4"/>
        <w:numPr>
          <w:ilvl w:val="1"/>
          <w:numId w:val="57"/>
        </w:numPr>
        <w:tabs>
          <w:tab w:val="left" w:pos="840"/>
        </w:tabs>
        <w:ind w:firstLineChars="0"/>
      </w:pPr>
      <w:r>
        <w:rPr>
          <w:rFonts w:hint="eastAsia"/>
        </w:rPr>
        <w:t>如果资产价格变动无关当前市场中的信息以及发布的新信息</w:t>
      </w:r>
    </w:p>
    <w:p>
      <w:pPr>
        <w:pStyle w:val="4"/>
        <w:numPr>
          <w:ilvl w:val="1"/>
          <w:numId w:val="57"/>
        </w:numPr>
        <w:tabs>
          <w:tab w:val="left" w:pos="18"/>
        </w:tabs>
        <w:ind w:firstLineChars="0"/>
      </w:pPr>
      <w:r>
        <w:rPr>
          <w:rFonts w:hint="eastAsia"/>
        </w:rPr>
        <w:t>有些市场异常仅仅是数据挖掘（data mining/data snooping）的结果。</w:t>
      </w:r>
    </w:p>
    <w:p>
      <w:pPr>
        <w:pStyle w:val="4"/>
        <w:numPr>
          <w:ilvl w:val="1"/>
          <w:numId w:val="57"/>
        </w:numPr>
        <w:tabs>
          <w:tab w:val="left" w:pos="18"/>
        </w:tabs>
        <w:ind w:firstLineChars="0"/>
      </w:pPr>
      <w:r>
        <w:rPr>
          <w:rFonts w:hint="eastAsia"/>
        </w:rPr>
        <w:t>发现abnormal returns并不意味着市场不有效或是一种可以复用的投资策略，只是一种Market Anomaly</w:t>
      </w:r>
    </w:p>
    <w:p>
      <w:pPr>
        <w:pStyle w:val="5"/>
        <w:numPr>
          <w:ilvl w:val="0"/>
          <w:numId w:val="58"/>
        </w:numPr>
      </w:pPr>
      <w:r>
        <w:t>时间序列异常Time Series Anomalies</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440"/>
        <w:gridCol w:w="1995"/>
        <w:gridCol w:w="1785"/>
        <w:gridCol w:w="229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435" w:type="dxa"/>
            <w:gridSpan w:val="2"/>
            <w:tcBorders>
              <w:top w:val="outset" w:color="000000" w:sz="6" w:space="0"/>
              <w:left w:val="outset" w:color="000000" w:sz="6" w:space="0"/>
              <w:bottom w:val="outset" w:color="000000" w:sz="6" w:space="0"/>
              <w:right w:val="outset" w:color="000000" w:sz="6" w:space="0"/>
            </w:tcBorders>
            <w:vAlign w:val="center"/>
          </w:tcPr>
          <w:p>
            <w:pPr>
              <w:tabs>
                <w:tab w:val="left" w:pos="840"/>
              </w:tabs>
            </w:pPr>
            <w:r>
              <w:t>时间序列异常</w:t>
            </w:r>
          </w:p>
          <w:p>
            <w:pPr>
              <w:tabs>
                <w:tab w:val="left" w:pos="840"/>
              </w:tabs>
            </w:pPr>
            <w:r>
              <w:t>Time Series Anomalies</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横截面异常</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其他异常</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440" w:type="dxa"/>
            <w:vMerge w:val="restart"/>
            <w:tcBorders>
              <w:top w:val="outset" w:color="000000" w:sz="6" w:space="0"/>
              <w:left w:val="outset" w:color="000000" w:sz="6" w:space="0"/>
              <w:bottom w:val="outset" w:color="000000" w:sz="6" w:space="0"/>
              <w:right w:val="outset" w:color="000000" w:sz="6" w:space="0"/>
            </w:tcBorders>
            <w:vAlign w:val="center"/>
          </w:tcPr>
          <w:p>
            <w:pPr>
              <w:tabs>
                <w:tab w:val="left" w:pos="840"/>
              </w:tabs>
            </w:pPr>
            <w:r>
              <w:t>日历异常</w:t>
            </w:r>
          </w:p>
          <w:p>
            <w:pPr>
              <w:tabs>
                <w:tab w:val="left" w:pos="840"/>
              </w:tabs>
            </w:pPr>
            <w:r>
              <w:t xml:space="preserve">Calendar </w:t>
            </w:r>
          </w:p>
        </w:tc>
        <w:tc>
          <w:tcPr>
            <w:tcW w:w="1995" w:type="dxa"/>
            <w:tcBorders>
              <w:top w:val="outset" w:color="000000" w:sz="6" w:space="0"/>
              <w:left w:val="outset" w:color="000000" w:sz="6" w:space="0"/>
              <w:bottom w:val="outset" w:color="000000" w:sz="6" w:space="0"/>
              <w:right w:val="outset" w:color="000000" w:sz="6" w:space="0"/>
            </w:tcBorders>
            <w:vAlign w:val="center"/>
          </w:tcPr>
          <w:p>
            <w:pPr>
              <w:tabs>
                <w:tab w:val="left" w:pos="840"/>
              </w:tabs>
              <w:rPr>
                <w:b/>
              </w:rPr>
            </w:pPr>
            <w:r>
              <w:rPr>
                <w:b/>
                <w:color w:val="7030A0"/>
              </w:rPr>
              <w:t>一月效应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规模效应</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封闭式基金折价</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vMerge w:val="continue"/>
            <w:tcBorders>
              <w:top w:val="outset" w:color="000000" w:sz="6" w:space="0"/>
              <w:left w:val="outset" w:color="000000" w:sz="6" w:space="0"/>
              <w:bottom w:val="outset" w:color="000000" w:sz="6" w:space="0"/>
              <w:right w:val="outset" w:color="000000" w:sz="6" w:space="0"/>
            </w:tcBorders>
            <w:vAlign w:val="center"/>
          </w:tcPr>
          <w:p>
            <w:pPr>
              <w:tabs>
                <w:tab w:val="left" w:pos="840"/>
              </w:tabs>
            </w:pPr>
          </w:p>
        </w:tc>
        <w:tc>
          <w:tcPr>
            <w:tcW w:w="19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跨月效应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价值效应</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盈利惊喜</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vMerge w:val="continue"/>
            <w:tcBorders>
              <w:top w:val="outset" w:color="000000" w:sz="6" w:space="0"/>
              <w:left w:val="outset" w:color="000000" w:sz="6" w:space="0"/>
              <w:bottom w:val="outset" w:color="000000" w:sz="6" w:space="0"/>
              <w:right w:val="outset" w:color="000000" w:sz="6" w:space="0"/>
            </w:tcBorders>
            <w:vAlign w:val="center"/>
          </w:tcPr>
          <w:p>
            <w:pPr>
              <w:tabs>
                <w:tab w:val="left" w:pos="840"/>
              </w:tabs>
            </w:pPr>
          </w:p>
        </w:tc>
        <w:tc>
          <w:tcPr>
            <w:tcW w:w="19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周一效应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账面/价格比</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首次公开发行</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vMerge w:val="continue"/>
            <w:tcBorders>
              <w:top w:val="outset" w:color="000000" w:sz="6" w:space="0"/>
              <w:left w:val="outset" w:color="000000" w:sz="6" w:space="0"/>
              <w:bottom w:val="outset" w:color="000000" w:sz="6" w:space="0"/>
              <w:right w:val="outset" w:color="000000" w:sz="6" w:space="0"/>
            </w:tcBorders>
            <w:vAlign w:val="center"/>
          </w:tcPr>
          <w:p>
            <w:pPr>
              <w:tabs>
                <w:tab w:val="left" w:pos="840"/>
              </w:tabs>
            </w:pPr>
          </w:p>
        </w:tc>
        <w:tc>
          <w:tcPr>
            <w:tcW w:w="19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周末效应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市盈率</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危机证券效应</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0" w:type="auto"/>
            <w:vMerge w:val="continue"/>
            <w:tcBorders>
              <w:top w:val="outset" w:color="000000" w:sz="6" w:space="0"/>
              <w:left w:val="outset" w:color="000000" w:sz="6" w:space="0"/>
              <w:bottom w:val="outset" w:color="000000" w:sz="6" w:space="0"/>
              <w:right w:val="outset" w:color="000000" w:sz="6" w:space="0"/>
            </w:tcBorders>
            <w:vAlign w:val="center"/>
          </w:tcPr>
          <w:p>
            <w:pPr>
              <w:tabs>
                <w:tab w:val="left" w:pos="840"/>
              </w:tabs>
            </w:pPr>
          </w:p>
        </w:tc>
        <w:tc>
          <w:tcPr>
            <w:tcW w:w="19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假日效应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价值线之谜</w:t>
            </w: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拆股</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435" w:type="dxa"/>
            <w:gridSpan w:val="2"/>
            <w:tcBorders>
              <w:top w:val="outset" w:color="000000" w:sz="6" w:space="0"/>
              <w:left w:val="outset" w:color="000000" w:sz="6" w:space="0"/>
              <w:bottom w:val="outset" w:color="000000" w:sz="6" w:space="0"/>
              <w:right w:val="outset" w:color="000000" w:sz="6" w:space="0"/>
            </w:tcBorders>
            <w:vAlign w:val="center"/>
          </w:tcPr>
          <w:p>
            <w:pPr>
              <w:tabs>
                <w:tab w:val="left" w:pos="840"/>
              </w:tabs>
            </w:pPr>
            <w:r>
              <w:t>动量效应与过度反应</w:t>
            </w:r>
          </w:p>
        </w:tc>
        <w:tc>
          <w:tcPr>
            <w:tcW w:w="178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p>
        </w:tc>
        <w:tc>
          <w:tcPr>
            <w:tcW w:w="2295" w:type="dxa"/>
            <w:tcBorders>
              <w:top w:val="outset" w:color="000000" w:sz="6" w:space="0"/>
              <w:left w:val="outset" w:color="000000" w:sz="6" w:space="0"/>
              <w:bottom w:val="outset" w:color="000000" w:sz="6" w:space="0"/>
              <w:right w:val="outset" w:color="000000" w:sz="6" w:space="0"/>
            </w:tcBorders>
            <w:vAlign w:val="center"/>
          </w:tcPr>
          <w:p>
            <w:pPr>
              <w:tabs>
                <w:tab w:val="left" w:pos="840"/>
              </w:tabs>
            </w:pPr>
            <w:r>
              <w:t>超级碗</w:t>
            </w:r>
          </w:p>
        </w:tc>
      </w:tr>
    </w:tbl>
    <w:p>
      <w:pPr>
        <w:pStyle w:val="6"/>
      </w:pPr>
      <w:r>
        <w:rPr>
          <w:rFonts w:hint="eastAsia"/>
        </w:rPr>
        <w:t>日历异常Calendar</w:t>
      </w:r>
      <w:r>
        <w:t xml:space="preserve"> Anomalies</w:t>
      </w:r>
    </w:p>
    <w:p>
      <w:pPr>
        <w:pStyle w:val="4"/>
        <w:numPr>
          <w:ilvl w:val="0"/>
          <w:numId w:val="59"/>
        </w:numPr>
        <w:ind w:firstLineChars="0"/>
      </w:pPr>
      <w:r>
        <w:rPr>
          <w:rFonts w:hint="eastAsia"/>
          <w:b/>
          <w:bCs/>
          <w:color w:val="7030A0"/>
        </w:rPr>
        <w:t>一月效应（January effect）</w:t>
      </w:r>
      <w:r>
        <w:rPr>
          <w:rFonts w:hint="eastAsia"/>
        </w:rPr>
        <w:t>，或称为跨年效应（turn-of-the-year effect）。</w:t>
      </w:r>
    </w:p>
    <w:p>
      <w:pPr>
        <w:pStyle w:val="4"/>
        <w:numPr>
          <w:ilvl w:val="1"/>
          <w:numId w:val="59"/>
        </w:numPr>
        <w:ind w:firstLineChars="0"/>
      </w:pPr>
      <w:r>
        <w:rPr>
          <w:rFonts w:hint="eastAsia"/>
        </w:rPr>
        <w:t>1月的证券回报明显高于一年中的其他月份。在中小盘股的表现中尤其明显。</w:t>
      </w:r>
    </w:p>
    <w:p>
      <w:pPr>
        <w:pStyle w:val="4"/>
        <w:numPr>
          <w:ilvl w:val="1"/>
          <w:numId w:val="59"/>
        </w:numPr>
        <w:ind w:firstLineChars="0"/>
      </w:pPr>
      <w:r>
        <w:rPr>
          <w:rFonts w:hint="eastAsia"/>
        </w:rPr>
        <w:t>解释有以下两方面。</w:t>
      </w:r>
    </w:p>
    <w:p>
      <w:pPr>
        <w:ind w:left="420" w:leftChars="200"/>
      </w:pPr>
      <w:r>
        <w:rPr>
          <w:rFonts w:hint="eastAsia"/>
        </w:rPr>
        <w:t>（1）纳税效应（tax</w:t>
      </w:r>
      <w:r>
        <w:t xml:space="preserve"> </w:t>
      </w:r>
      <w:r>
        <w:rPr>
          <w:rFonts w:hint="eastAsia"/>
        </w:rPr>
        <w:t>1oss selling），即投资者倾向于在12月卖出亏损的证券，实现损失用以抵减资本利得税（卖掉才可以抵），后选择在1月以较低价格买回证券。</w:t>
      </w:r>
    </w:p>
    <w:p>
      <w:pPr>
        <w:ind w:left="420" w:leftChars="200"/>
      </w:pPr>
      <w:r>
        <w:rPr>
          <w:rFonts w:hint="eastAsia"/>
        </w:rPr>
        <w:t>（2）财务粉饰（window dressing），即很多基金经理会在年末业绩审查之前卖掉风险过高的资产，就不用披露了。等到来年1月再买回，使证券在1月回报高涨</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3394"/>
        <w:gridCol w:w="4496"/>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394" w:type="dxa"/>
            <w:tcBorders>
              <w:top w:val="outset" w:color="000000" w:sz="6" w:space="0"/>
              <w:left w:val="outset" w:color="000000" w:sz="6" w:space="0"/>
              <w:bottom w:val="outset" w:color="000000" w:sz="6" w:space="0"/>
              <w:right w:val="outset" w:color="000000" w:sz="6" w:space="0"/>
            </w:tcBorders>
            <w:vAlign w:val="center"/>
          </w:tcPr>
          <w:p>
            <w:pPr>
              <w:pStyle w:val="4"/>
              <w:numPr>
                <w:ilvl w:val="0"/>
                <w:numId w:val="59"/>
              </w:numPr>
              <w:ind w:firstLineChars="0"/>
            </w:pPr>
            <w:r>
              <w:t>跨月效应turn-of-the-</w:t>
            </w:r>
            <w:r>
              <w:rPr>
                <w:rFonts w:hint="eastAsia"/>
              </w:rPr>
              <w:t>month</w:t>
            </w:r>
            <w:r>
              <w:t xml:space="preserve"> effect</w:t>
            </w:r>
          </w:p>
        </w:tc>
        <w:tc>
          <w:tcPr>
            <w:tcW w:w="4496" w:type="dxa"/>
            <w:tcBorders>
              <w:top w:val="outset" w:color="000000" w:sz="6" w:space="0"/>
              <w:left w:val="outset" w:color="000000" w:sz="6" w:space="0"/>
              <w:bottom w:val="outset" w:color="000000" w:sz="6" w:space="0"/>
              <w:right w:val="outset" w:color="000000" w:sz="6" w:space="0"/>
            </w:tcBorders>
            <w:vAlign w:val="center"/>
          </w:tcPr>
          <w:p>
            <w:r>
              <w:t>每个月最后一天和次月前三天收益高于平均水平</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394" w:type="dxa"/>
            <w:tcBorders>
              <w:top w:val="outset" w:color="000000" w:sz="6" w:space="0"/>
              <w:left w:val="outset" w:color="000000" w:sz="6" w:space="0"/>
              <w:bottom w:val="outset" w:color="000000" w:sz="6" w:space="0"/>
              <w:right w:val="outset" w:color="000000" w:sz="6" w:space="0"/>
            </w:tcBorders>
            <w:vAlign w:val="center"/>
          </w:tcPr>
          <w:p>
            <w:pPr>
              <w:pStyle w:val="4"/>
              <w:numPr>
                <w:ilvl w:val="0"/>
                <w:numId w:val="59"/>
              </w:numPr>
              <w:ind w:firstLineChars="0"/>
            </w:pPr>
            <w:r>
              <w:t>周一效应Day-of-the-week effect</w:t>
            </w:r>
          </w:p>
        </w:tc>
        <w:tc>
          <w:tcPr>
            <w:tcW w:w="4496" w:type="dxa"/>
            <w:tcBorders>
              <w:top w:val="outset" w:color="000000" w:sz="6" w:space="0"/>
              <w:left w:val="outset" w:color="000000" w:sz="6" w:space="0"/>
              <w:bottom w:val="outset" w:color="000000" w:sz="6" w:space="0"/>
              <w:right w:val="outset" w:color="000000" w:sz="6" w:space="0"/>
            </w:tcBorders>
            <w:vAlign w:val="center"/>
          </w:tcPr>
          <w:p>
            <w:r>
              <w:t>周一收益低于其他四个交易日的收益水平</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394" w:type="dxa"/>
            <w:tcBorders>
              <w:top w:val="outset" w:color="000000" w:sz="6" w:space="0"/>
              <w:left w:val="outset" w:color="000000" w:sz="6" w:space="0"/>
              <w:bottom w:val="outset" w:color="000000" w:sz="6" w:space="0"/>
              <w:right w:val="outset" w:color="000000" w:sz="6" w:space="0"/>
            </w:tcBorders>
            <w:vAlign w:val="center"/>
          </w:tcPr>
          <w:p>
            <w:pPr>
              <w:pStyle w:val="4"/>
              <w:numPr>
                <w:ilvl w:val="0"/>
                <w:numId w:val="59"/>
              </w:numPr>
              <w:ind w:firstLineChars="0"/>
            </w:pPr>
            <w:r>
              <w:t>周末效应Weekend effect</w:t>
            </w:r>
          </w:p>
        </w:tc>
        <w:tc>
          <w:tcPr>
            <w:tcW w:w="4496" w:type="dxa"/>
            <w:tcBorders>
              <w:top w:val="outset" w:color="000000" w:sz="6" w:space="0"/>
              <w:left w:val="outset" w:color="000000" w:sz="6" w:space="0"/>
              <w:bottom w:val="outset" w:color="000000" w:sz="6" w:space="0"/>
              <w:right w:val="outset" w:color="000000" w:sz="6" w:space="0"/>
            </w:tcBorders>
            <w:vAlign w:val="center"/>
          </w:tcPr>
          <w:p>
            <w:r>
              <w:t>周末收益低于周中收益水平</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394" w:type="dxa"/>
            <w:tcBorders>
              <w:top w:val="outset" w:color="000000" w:sz="6" w:space="0"/>
              <w:left w:val="outset" w:color="000000" w:sz="6" w:space="0"/>
              <w:bottom w:val="outset" w:color="000000" w:sz="6" w:space="0"/>
              <w:right w:val="outset" w:color="000000" w:sz="6" w:space="0"/>
            </w:tcBorders>
            <w:vAlign w:val="center"/>
          </w:tcPr>
          <w:p>
            <w:pPr>
              <w:pStyle w:val="4"/>
              <w:numPr>
                <w:ilvl w:val="0"/>
                <w:numId w:val="59"/>
              </w:numPr>
              <w:ind w:firstLineChars="0"/>
            </w:pPr>
            <w:r>
              <w:t>假日效应</w:t>
            </w:r>
            <w:r>
              <w:rPr>
                <w:rFonts w:hint="eastAsia"/>
              </w:rPr>
              <w:t>H</w:t>
            </w:r>
            <w:r>
              <w:t>oliday effect</w:t>
            </w:r>
          </w:p>
        </w:tc>
        <w:tc>
          <w:tcPr>
            <w:tcW w:w="4496" w:type="dxa"/>
            <w:tcBorders>
              <w:top w:val="outset" w:color="000000" w:sz="6" w:space="0"/>
              <w:left w:val="outset" w:color="000000" w:sz="6" w:space="0"/>
              <w:bottom w:val="outset" w:color="000000" w:sz="6" w:space="0"/>
              <w:right w:val="outset" w:color="000000" w:sz="6" w:space="0"/>
            </w:tcBorders>
            <w:vAlign w:val="center"/>
          </w:tcPr>
          <w:p>
            <w:r>
              <w:t>假日前几天收益率高于平均水平-----A</w:t>
            </w:r>
            <w:r>
              <w:rPr>
                <w:rFonts w:hint="eastAsia"/>
              </w:rPr>
              <w:t>股可能不同</w:t>
            </w:r>
          </w:p>
        </w:tc>
      </w:tr>
    </w:tbl>
    <w:p>
      <w:pPr>
        <w:pStyle w:val="6"/>
      </w:pPr>
      <w:r>
        <w:rPr>
          <w:rFonts w:hint="eastAsia"/>
        </w:rPr>
        <w:t>动量效应与过度反应（Momentum</w:t>
      </w:r>
      <w:r>
        <w:t xml:space="preserve"> </w:t>
      </w:r>
      <w:r>
        <w:rPr>
          <w:rFonts w:hint="eastAsia"/>
        </w:rPr>
        <w:t>and</w:t>
      </w:r>
      <w:r>
        <w:t xml:space="preserve"> </w:t>
      </w:r>
      <w:r>
        <w:rPr>
          <w:rFonts w:hint="eastAsia"/>
        </w:rPr>
        <w:t>Overreaction）</w:t>
      </w:r>
    </w:p>
    <w:p>
      <w:pPr>
        <w:pStyle w:val="4"/>
        <w:numPr>
          <w:ilvl w:val="0"/>
          <w:numId w:val="59"/>
        </w:numPr>
        <w:ind w:firstLineChars="0"/>
      </w:pPr>
      <w:r>
        <w:rPr>
          <w:rFonts w:hint="eastAsia"/>
        </w:rPr>
        <w:t>动量效应</w:t>
      </w:r>
      <w:r>
        <w:t>Momentum</w:t>
      </w:r>
      <w:r>
        <w:rPr>
          <w:rFonts w:hint="eastAsia"/>
        </w:rPr>
        <w:t>：指股票的收益率变化有延续原来运动方向的趋势——惯性，即过去一段时间收益率较高的股票在未来获得的收益率仍会高于过去收益率较低的股票。</w:t>
      </w:r>
    </w:p>
    <w:p>
      <w:pPr>
        <w:pStyle w:val="4"/>
        <w:numPr>
          <w:ilvl w:val="1"/>
          <w:numId w:val="59"/>
        </w:numPr>
        <w:ind w:firstLineChars="0"/>
      </w:pPr>
      <w:r>
        <w:rPr>
          <w:rFonts w:hint="eastAsia"/>
        </w:rPr>
        <w:t>主要由过度反应造成。</w:t>
      </w:r>
    </w:p>
    <w:p>
      <w:pPr>
        <w:pStyle w:val="4"/>
        <w:numPr>
          <w:ilvl w:val="1"/>
          <w:numId w:val="59"/>
        </w:numPr>
        <w:ind w:firstLineChars="0"/>
      </w:pPr>
      <w:r>
        <w:rPr>
          <w:rFonts w:hint="eastAsia"/>
        </w:rPr>
        <w:t>过度反应</w:t>
      </w:r>
      <w:r>
        <w:t>Overreaction</w:t>
      </w:r>
      <w:r>
        <w:rPr>
          <w:rFonts w:hint="eastAsia"/>
        </w:rPr>
        <w:t>是指投资者倾向于对未能预料到的消息过度反应。</w:t>
      </w:r>
    </w:p>
    <w:p>
      <w:pPr>
        <w:pStyle w:val="4"/>
        <w:numPr>
          <w:ilvl w:val="2"/>
          <w:numId w:val="59"/>
        </w:numPr>
        <w:ind w:firstLineChars="0"/>
      </w:pPr>
      <w:r>
        <w:rPr>
          <w:rFonts w:hint="eastAsia"/>
        </w:rPr>
        <w:t>而这种overreaction往往由于投资者的风险厌恶，即：不对称的风险偏好——比起获得收益，更厌恶损失</w:t>
      </w:r>
    </w:p>
    <w:p>
      <w:pPr>
        <w:pStyle w:val="5"/>
      </w:pPr>
      <w:r>
        <w:rPr>
          <w:rFonts w:hint="eastAsia"/>
        </w:rPr>
        <w:t>横截面异常Cross-Sectional Anomalies</w:t>
      </w:r>
    </w:p>
    <w:p>
      <w:pPr>
        <w:pStyle w:val="4"/>
        <w:numPr>
          <w:ilvl w:val="0"/>
          <w:numId w:val="59"/>
        </w:numPr>
        <w:ind w:firstLineChars="0"/>
      </w:pPr>
      <w:r>
        <w:rPr>
          <w:rFonts w:hint="eastAsia"/>
        </w:rPr>
        <w:t>规模效应（size</w:t>
      </w:r>
      <w:r>
        <w:t xml:space="preserve"> </w:t>
      </w:r>
      <w:r>
        <w:rPr>
          <w:rFonts w:hint="eastAsia"/>
        </w:rPr>
        <w:t>effect）</w:t>
      </w:r>
    </w:p>
    <w:p>
      <w:pPr>
        <w:pStyle w:val="4"/>
        <w:numPr>
          <w:ilvl w:val="1"/>
          <w:numId w:val="59"/>
        </w:numPr>
        <w:ind w:firstLineChars="0"/>
      </w:pPr>
      <w:r>
        <w:rPr>
          <w:rFonts w:hint="eastAsia"/>
        </w:rPr>
        <w:t>小盘股收益高于大盘股收益。</w:t>
      </w:r>
    </w:p>
    <w:p>
      <w:pPr>
        <w:pStyle w:val="4"/>
        <w:numPr>
          <w:ilvl w:val="0"/>
          <w:numId w:val="59"/>
        </w:numPr>
        <w:ind w:firstLineChars="0"/>
      </w:pPr>
      <w:r>
        <w:rPr>
          <w:rFonts w:hint="eastAsia"/>
        </w:rPr>
        <w:t>价值效应value effect</w:t>
      </w:r>
    </w:p>
    <w:p>
      <w:pPr>
        <w:pStyle w:val="4"/>
        <w:numPr>
          <w:ilvl w:val="1"/>
          <w:numId w:val="59"/>
        </w:numPr>
        <w:ind w:firstLineChars="0"/>
      </w:pPr>
      <w:r>
        <w:rPr>
          <w:rFonts w:hint="eastAsia"/>
        </w:rPr>
        <w:t>价值股：市盈率和市净率低于平均水平、</w:t>
      </w:r>
      <w:r>
        <w:rPr>
          <w:rFonts w:hint="eastAsia"/>
          <w:u w:val="single"/>
        </w:rPr>
        <w:t>股息收益高</w:t>
      </w:r>
      <w:r>
        <w:rPr>
          <w:rFonts w:hint="eastAsia"/>
        </w:rPr>
        <w:t>于平均水平的公司股票</w:t>
      </w:r>
    </w:p>
    <w:p>
      <w:pPr>
        <w:pStyle w:val="4"/>
        <w:numPr>
          <w:ilvl w:val="1"/>
          <w:numId w:val="59"/>
        </w:numPr>
        <w:ind w:firstLineChars="0"/>
      </w:pPr>
      <w:r>
        <w:rPr>
          <w:rFonts w:hint="eastAsia"/>
        </w:rPr>
        <w:t>价值股表现优于成长股</w:t>
      </w:r>
    </w:p>
    <w:p>
      <w:pPr>
        <w:pStyle w:val="5"/>
      </w:pPr>
      <w:r>
        <w:t>其他</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2645"/>
        <w:gridCol w:w="2438"/>
        <w:gridCol w:w="3253"/>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6390" w:type="dxa"/>
            <w:tcBorders>
              <w:top w:val="outset" w:color="000000" w:sz="6" w:space="0"/>
              <w:left w:val="outset" w:color="000000" w:sz="6" w:space="0"/>
              <w:bottom w:val="outset" w:color="000000" w:sz="6" w:space="0"/>
              <w:right w:val="outset" w:color="000000" w:sz="6" w:space="0"/>
            </w:tcBorders>
            <w:vAlign w:val="center"/>
          </w:tcPr>
          <w:p>
            <w:r>
              <w:t>市场异常</w:t>
            </w:r>
          </w:p>
        </w:tc>
        <w:tc>
          <w:tcPr>
            <w:tcW w:w="6750" w:type="dxa"/>
            <w:tcBorders>
              <w:top w:val="outset" w:color="000000" w:sz="6" w:space="0"/>
              <w:left w:val="outset" w:color="000000" w:sz="6" w:space="0"/>
              <w:bottom w:val="outset" w:color="000000" w:sz="6" w:space="0"/>
              <w:right w:val="outset" w:color="000000" w:sz="6" w:space="0"/>
            </w:tcBorders>
            <w:vAlign w:val="center"/>
          </w:tcPr>
          <w:p>
            <w:r>
              <w:t>现象</w:t>
            </w:r>
          </w:p>
        </w:tc>
        <w:tc>
          <w:tcPr>
            <w:tcW w:w="10995" w:type="dxa"/>
            <w:tcBorders>
              <w:top w:val="outset" w:color="000000" w:sz="6" w:space="0"/>
              <w:left w:val="outset" w:color="000000" w:sz="6" w:space="0"/>
              <w:bottom w:val="outset" w:color="000000" w:sz="6" w:space="0"/>
              <w:right w:val="outset" w:color="000000" w:sz="6" w:space="0"/>
            </w:tcBorders>
            <w:vAlign w:val="center"/>
          </w:tcPr>
          <w:p>
            <w:r>
              <w:t>产生原因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6390" w:type="dxa"/>
            <w:tcBorders>
              <w:top w:val="outset" w:color="000000" w:sz="6" w:space="0"/>
              <w:left w:val="outset" w:color="000000" w:sz="6" w:space="0"/>
              <w:bottom w:val="outset" w:color="000000" w:sz="6" w:space="0"/>
              <w:right w:val="outset" w:color="000000" w:sz="6" w:space="0"/>
            </w:tcBorders>
            <w:vAlign w:val="center"/>
          </w:tcPr>
          <w:p>
            <w:r>
              <w:t>封闭式基金折价（Close-ended fund discount）</w:t>
            </w:r>
          </w:p>
        </w:tc>
        <w:tc>
          <w:tcPr>
            <w:tcW w:w="6750" w:type="dxa"/>
            <w:tcBorders>
              <w:top w:val="outset" w:color="000000" w:sz="6" w:space="0"/>
              <w:left w:val="outset" w:color="000000" w:sz="6" w:space="0"/>
              <w:bottom w:val="outset" w:color="000000" w:sz="6" w:space="0"/>
              <w:right w:val="outset" w:color="000000" w:sz="6" w:space="0"/>
            </w:tcBorders>
            <w:vAlign w:val="center"/>
          </w:tcPr>
          <w:p>
            <w:r>
              <w:t>封闭式基金的交易价低于单位基金份额净值（NAV）</w:t>
            </w:r>
          </w:p>
        </w:tc>
        <w:tc>
          <w:tcPr>
            <w:tcW w:w="10995" w:type="dxa"/>
            <w:tcBorders>
              <w:top w:val="outset" w:color="000000" w:sz="6" w:space="0"/>
              <w:left w:val="outset" w:color="000000" w:sz="6" w:space="0"/>
              <w:bottom w:val="outset" w:color="000000" w:sz="6" w:space="0"/>
              <w:right w:val="outset" w:color="000000" w:sz="6" w:space="0"/>
            </w:tcBorders>
            <w:vAlign w:val="center"/>
          </w:tcPr>
          <w:p>
            <w:r>
              <w:t>有三种观点解释该现象：基金经理管理费；税收；流动性。但目前尚未有统一观点</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3900" w:type="dxa"/>
            <w:tcBorders>
              <w:top w:val="outset" w:color="000000" w:sz="6" w:space="0"/>
              <w:left w:val="outset" w:color="000000" w:sz="6" w:space="0"/>
              <w:bottom w:val="outset" w:color="000000" w:sz="6" w:space="0"/>
              <w:right w:val="outset" w:color="000000" w:sz="6" w:space="0"/>
            </w:tcBorders>
            <w:vAlign w:val="center"/>
          </w:tcPr>
          <w:p>
            <w:r>
              <w:t>盈利公布</w:t>
            </w:r>
          </w:p>
          <w:p>
            <w:r>
              <w:t>Earning surprise</w:t>
            </w:r>
          </w:p>
        </w:tc>
        <w:tc>
          <w:tcPr>
            <w:tcW w:w="6195" w:type="dxa"/>
            <w:tcBorders>
              <w:top w:val="outset" w:color="000000" w:sz="6" w:space="0"/>
              <w:left w:val="outset" w:color="000000" w:sz="6" w:space="0"/>
              <w:bottom w:val="outset" w:color="000000" w:sz="6" w:space="0"/>
              <w:right w:val="outset" w:color="000000" w:sz="6" w:space="0"/>
            </w:tcBorders>
            <w:vAlign w:val="center"/>
          </w:tcPr>
          <w:p>
            <w:r>
              <w:t>对于未预期到的盈利，市场有时难以及时反应</w:t>
            </w:r>
          </w:p>
        </w:tc>
        <w:tc>
          <w:tcPr>
            <w:tcW w:w="6495" w:type="dxa"/>
            <w:tcBorders>
              <w:top w:val="outset" w:color="000000" w:sz="6" w:space="0"/>
              <w:left w:val="outset" w:color="000000" w:sz="6" w:space="0"/>
              <w:bottom w:val="outset" w:color="000000" w:sz="6" w:space="0"/>
              <w:right w:val="outset" w:color="000000" w:sz="6" w:space="0"/>
            </w:tcBorders>
            <w:vAlign w:val="center"/>
          </w:tcPr>
          <w:p>
            <w:r>
              <w:t>收益预期乐观的公司会产生超额收益；反之亦然</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2850" w:type="dxa"/>
            <w:tcBorders>
              <w:top w:val="outset" w:color="000000" w:sz="6" w:space="0"/>
              <w:left w:val="outset" w:color="000000" w:sz="6" w:space="0"/>
              <w:bottom w:val="outset" w:color="000000" w:sz="6" w:space="0"/>
              <w:right w:val="outset" w:color="000000" w:sz="6" w:space="0"/>
            </w:tcBorders>
            <w:vAlign w:val="center"/>
          </w:tcPr>
          <w:p>
            <w:r>
              <w:t>首次公开发行IPOs</w:t>
            </w:r>
          </w:p>
        </w:tc>
        <w:tc>
          <w:tcPr>
            <w:tcW w:w="4905" w:type="dxa"/>
            <w:tcBorders>
              <w:top w:val="outset" w:color="000000" w:sz="6" w:space="0"/>
              <w:left w:val="outset" w:color="000000" w:sz="6" w:space="0"/>
              <w:bottom w:val="outset" w:color="000000" w:sz="6" w:space="0"/>
              <w:right w:val="outset" w:color="000000" w:sz="6" w:space="0"/>
            </w:tcBorders>
            <w:vAlign w:val="center"/>
          </w:tcPr>
          <w:p>
            <w:r>
              <w:t>绝大部分IPO发行后价格会大幅上涨-----但现在比较少见了</w:t>
            </w:r>
          </w:p>
        </w:tc>
        <w:tc>
          <w:tcPr>
            <w:tcW w:w="2295" w:type="dxa"/>
            <w:tcBorders>
              <w:top w:val="outset" w:color="000000" w:sz="6" w:space="0"/>
              <w:left w:val="outset" w:color="000000" w:sz="6" w:space="0"/>
              <w:bottom w:val="outset" w:color="000000" w:sz="6" w:space="0"/>
              <w:right w:val="outset" w:color="000000" w:sz="6" w:space="0"/>
            </w:tcBorders>
            <w:vAlign w:val="center"/>
          </w:tcPr>
          <w:p>
            <w:r>
              <w:t>投资者过于乐观</w:t>
            </w:r>
          </w:p>
        </w:tc>
      </w:tr>
    </w:tbl>
    <w:p/>
    <w:p>
      <w:pPr>
        <w:pStyle w:val="3"/>
      </w:pPr>
      <w:r>
        <w:rPr>
          <w:rFonts w:hint="eastAsia"/>
        </w:rPr>
        <w:t>Behavior</w:t>
      </w:r>
      <w:r>
        <w:t xml:space="preserve"> </w:t>
      </w:r>
      <w:r>
        <w:rPr>
          <w:rFonts w:hint="eastAsia"/>
        </w:rPr>
        <w:t>Finance</w:t>
      </w:r>
    </w:p>
    <w:p>
      <w:pPr>
        <w:pStyle w:val="4"/>
        <w:numPr>
          <w:ilvl w:val="0"/>
          <w:numId w:val="60"/>
        </w:numPr>
        <w:ind w:firstLineChars="0"/>
      </w:pPr>
      <w:r>
        <w:rPr>
          <w:rFonts w:hint="eastAsia"/>
        </w:rPr>
        <w:t>研究投资者的行为，既解释rational也解释irrational</w:t>
      </w:r>
      <w:r>
        <w:t>决策</w:t>
      </w:r>
    </w:p>
    <w:p>
      <w:pPr>
        <w:pStyle w:val="4"/>
        <w:numPr>
          <w:ilvl w:val="1"/>
          <w:numId w:val="60"/>
        </w:numPr>
        <w:ind w:firstLineChars="0"/>
      </w:pPr>
      <w:r>
        <w:t>Behavior biases主要是非理性，是市场异象的一种原因</w:t>
      </w:r>
    </w:p>
    <w:p>
      <w:pPr>
        <w:pStyle w:val="4"/>
        <w:numPr>
          <w:ilvl w:val="1"/>
          <w:numId w:val="60"/>
        </w:numPr>
        <w:ind w:firstLineChars="0"/>
        <w:rPr>
          <w:u w:val="single"/>
        </w:rPr>
      </w:pPr>
      <w:r>
        <w:rPr>
          <w:u w:val="single"/>
        </w:rPr>
        <w:t>Market efficiency and asset-pricing models 不要求每个个体理性，只需要市场理性</w:t>
      </w:r>
    </w:p>
    <w:p>
      <w:pPr>
        <w:pStyle w:val="4"/>
        <w:numPr>
          <w:ilvl w:val="0"/>
          <w:numId w:val="60"/>
        </w:numPr>
        <w:ind w:firstLineChars="0"/>
      </w:pPr>
      <w:r>
        <w:t>Loss aversion 损失厌恶</w:t>
      </w:r>
    </w:p>
    <w:p>
      <w:pPr>
        <w:pStyle w:val="4"/>
        <w:numPr>
          <w:ilvl w:val="0"/>
          <w:numId w:val="60"/>
        </w:numPr>
        <w:ind w:firstLineChars="0"/>
      </w:pPr>
      <w:r>
        <w:t>Representative bias 代表性偏差——以来过去经验</w:t>
      </w:r>
    </w:p>
    <w:p>
      <w:pPr>
        <w:pStyle w:val="4"/>
        <w:numPr>
          <w:ilvl w:val="0"/>
          <w:numId w:val="60"/>
        </w:numPr>
        <w:ind w:firstLineChars="0"/>
      </w:pPr>
      <w:r>
        <w:t>Overconfidence过度自信与自己的投资经验</w:t>
      </w:r>
    </w:p>
    <w:p>
      <w:pPr>
        <w:pStyle w:val="4"/>
        <w:numPr>
          <w:ilvl w:val="0"/>
          <w:numId w:val="60"/>
        </w:numPr>
        <w:ind w:firstLineChars="0"/>
      </w:pPr>
      <w:r>
        <w:t>Mental accounting——</w:t>
      </w:r>
      <w:r>
        <w:rPr>
          <w:rFonts w:hint="eastAsia"/>
        </w:rPr>
        <w:t>投资者将资金划分在不同的投资账户中进行管理</w:t>
      </w:r>
    </w:p>
    <w:p>
      <w:pPr>
        <w:pStyle w:val="4"/>
        <w:numPr>
          <w:ilvl w:val="0"/>
          <w:numId w:val="60"/>
        </w:numPr>
        <w:ind w:firstLineChars="0"/>
      </w:pPr>
      <w:r>
        <w:t>Conservatism 保守主义——对新的信息反应较慢</w:t>
      </w:r>
    </w:p>
    <w:p>
      <w:pPr>
        <w:pStyle w:val="4"/>
        <w:numPr>
          <w:ilvl w:val="0"/>
          <w:numId w:val="60"/>
        </w:numPr>
        <w:ind w:firstLineChars="0"/>
      </w:pPr>
      <w:r>
        <w:t>Narrow framing ——</w:t>
      </w:r>
      <w:r>
        <w:rPr>
          <w:rFonts w:hint="eastAsia"/>
        </w:rPr>
        <w:t>在接受信息时，投资者会受到该消息表达方式的影响，并且会孤立地看待此消息</w:t>
      </w:r>
    </w:p>
    <w:p>
      <w:pPr>
        <w:pStyle w:val="4"/>
        <w:numPr>
          <w:ilvl w:val="0"/>
          <w:numId w:val="60"/>
        </w:numPr>
        <w:ind w:firstLineChars="0"/>
      </w:pPr>
      <w:r>
        <w:rPr>
          <w:rFonts w:hint="eastAsia"/>
        </w:rPr>
        <w:t>Information cascade信息瀑布——上一个信息会影响下一个，发展到盲从情况可能导致羊群效应</w:t>
      </w:r>
      <w:r>
        <w:t>Herding effect</w:t>
      </w:r>
    </w:p>
    <w:p/>
    <w:p>
      <w:pPr>
        <w:pStyle w:val="2"/>
        <w:spacing w:before="93" w:after="93"/>
      </w:pPr>
      <w:r>
        <w:t>Chapter 4权益类证券</w:t>
      </w:r>
    </w:p>
    <w:p>
      <w:pPr>
        <w:pStyle w:val="3"/>
        <w:numPr>
          <w:ilvl w:val="0"/>
          <w:numId w:val="61"/>
        </w:numPr>
      </w:pPr>
      <w:r>
        <w:t>普通股</w:t>
      </w:r>
    </w:p>
    <w:p>
      <w:pPr>
        <w:pStyle w:val="4"/>
        <w:numPr>
          <w:ilvl w:val="0"/>
          <w:numId w:val="62"/>
        </w:numPr>
        <w:ind w:firstLineChars="0"/>
      </w:pPr>
      <w:r>
        <w:t>Residual claim</w:t>
      </w:r>
    </w:p>
    <w:p>
      <w:pPr>
        <w:pStyle w:val="4"/>
        <w:numPr>
          <w:ilvl w:val="0"/>
          <w:numId w:val="62"/>
        </w:numPr>
        <w:ind w:firstLineChars="0"/>
      </w:pPr>
      <w:r>
        <w:t>分红not contractually obligation</w:t>
      </w:r>
    </w:p>
    <w:p>
      <w:pPr>
        <w:pStyle w:val="4"/>
        <w:numPr>
          <w:ilvl w:val="0"/>
          <w:numId w:val="62"/>
        </w:numPr>
        <w:ind w:firstLineChars="0"/>
      </w:pPr>
      <w:r>
        <w:t>Voting rights——包括statutory voting和cumulative voting</w:t>
      </w:r>
    </w:p>
    <w:p>
      <w:pPr>
        <w:pStyle w:val="4"/>
        <w:numPr>
          <w:ilvl w:val="0"/>
          <w:numId w:val="62"/>
        </w:numPr>
        <w:ind w:firstLineChars="0"/>
      </w:pPr>
      <w:r>
        <w:t>Proxy voting投票权委托</w:t>
      </w:r>
    </w:p>
    <w:p>
      <w:pPr>
        <w:pStyle w:val="4"/>
        <w:numPr>
          <w:ilvl w:val="0"/>
          <w:numId w:val="62"/>
        </w:numPr>
        <w:ind w:firstLineChars="0"/>
      </w:pPr>
      <w:r>
        <w:t>可以对股票分级，代表不同的ownership rights</w:t>
      </w:r>
    </w:p>
    <w:p>
      <w:pPr>
        <w:pStyle w:val="4"/>
        <w:numPr>
          <w:ilvl w:val="0"/>
          <w:numId w:val="62"/>
        </w:numPr>
        <w:ind w:firstLineChars="0"/>
      </w:pPr>
      <w:r>
        <w:t>可赎回普通股callable common shares ；可回收普通股puttable common shares</w:t>
      </w:r>
    </w:p>
    <w:p>
      <w:pPr>
        <w:pStyle w:val="3"/>
      </w:pPr>
      <w:r>
        <w:t>优先股</w:t>
      </w:r>
    </w:p>
    <w:p>
      <w:pPr>
        <w:pStyle w:val="4"/>
        <w:numPr>
          <w:ilvl w:val="0"/>
          <w:numId w:val="63"/>
        </w:numPr>
        <w:ind w:firstLineChars="0"/>
      </w:pPr>
      <w:r>
        <w:t>股利固定但可以不支付，无投票权，无权参与日常活动</w:t>
      </w:r>
    </w:p>
    <w:p>
      <w:pPr>
        <w:pStyle w:val="4"/>
        <w:numPr>
          <w:ilvl w:val="0"/>
          <w:numId w:val="64"/>
        </w:numPr>
        <w:ind w:firstLineChars="0"/>
      </w:pPr>
      <w:r>
        <w:t>Cumulative preference shares ：今年股利不付，明年要付</w:t>
      </w:r>
    </w:p>
    <w:p>
      <w:pPr>
        <w:pStyle w:val="4"/>
        <w:numPr>
          <w:ilvl w:val="0"/>
          <w:numId w:val="64"/>
        </w:numPr>
        <w:ind w:firstLineChars="0"/>
      </w:pPr>
      <w:r>
        <w:t>Participating preference shares：分完股利后，再参与与普通股一起分利润</w:t>
      </w:r>
    </w:p>
    <w:p>
      <w:pPr>
        <w:pStyle w:val="4"/>
        <w:numPr>
          <w:ilvl w:val="0"/>
          <w:numId w:val="64"/>
        </w:numPr>
        <w:ind w:firstLineChars="0"/>
      </w:pPr>
      <w:r>
        <w:t>Convertible preference shares：可转化为普通股</w:t>
      </w:r>
    </w:p>
    <w:p>
      <w:pPr>
        <w:pStyle w:val="4"/>
        <w:numPr>
          <w:ilvl w:val="0"/>
          <w:numId w:val="64"/>
        </w:numPr>
        <w:ind w:firstLineChars="0"/>
      </w:pPr>
      <w:r>
        <w:rPr>
          <w:rFonts w:hint="eastAsia"/>
        </w:rPr>
        <w:t>可以是putable（买家有权） 和callable</w:t>
      </w:r>
    </w:p>
    <w:p>
      <w:pPr>
        <w:pStyle w:val="3"/>
      </w:pPr>
      <w:r>
        <w:rPr>
          <w:rFonts w:hint="eastAsia"/>
        </w:rPr>
        <w:t>私募股权证券（Private Equity Securities）</w:t>
      </w:r>
    </w:p>
    <w:p>
      <w:pPr>
        <w:pStyle w:val="5"/>
        <w:numPr>
          <w:ilvl w:val="0"/>
          <w:numId w:val="65"/>
        </w:numPr>
      </w:pPr>
      <w:r>
        <w:rPr>
          <w:rFonts w:hint="eastAsia"/>
        </w:rPr>
        <w:t>三种常见类型。</w:t>
      </w:r>
    </w:p>
    <w:p>
      <w:pPr>
        <w:pStyle w:val="4"/>
        <w:numPr>
          <w:ilvl w:val="0"/>
          <w:numId w:val="66"/>
        </w:numPr>
        <w:ind w:firstLineChars="0"/>
      </w:pPr>
      <w:r>
        <w:rPr>
          <w:rFonts w:hint="eastAsia"/>
        </w:rPr>
        <w:t>风险资本投资（venture</w:t>
      </w:r>
      <w:r>
        <w:t xml:space="preserve"> </w:t>
      </w:r>
      <w:r>
        <w:rPr>
          <w:rFonts w:hint="eastAsia"/>
        </w:rPr>
        <w:t>capital,</w:t>
      </w:r>
      <w:r>
        <w:t xml:space="preserve"> </w:t>
      </w:r>
      <w:r>
        <w:rPr>
          <w:rFonts w:hint="eastAsia"/>
        </w:rPr>
        <w:t>VC）</w:t>
      </w:r>
    </w:p>
    <w:p>
      <w:pPr>
        <w:pStyle w:val="4"/>
        <w:numPr>
          <w:ilvl w:val="1"/>
          <w:numId w:val="66"/>
        </w:numPr>
        <w:ind w:firstLineChars="0"/>
      </w:pPr>
      <w:r>
        <w:rPr>
          <w:rFonts w:hint="eastAsia"/>
        </w:rPr>
        <w:t>被投企业处于早期（early</w:t>
      </w:r>
      <w:r>
        <w:t xml:space="preserve"> </w:t>
      </w:r>
      <w:r>
        <w:rPr>
          <w:rFonts w:hint="eastAsia"/>
        </w:rPr>
        <w:t>stage）研发阶段</w:t>
      </w:r>
    </w:p>
    <w:p>
      <w:pPr>
        <w:pStyle w:val="4"/>
        <w:numPr>
          <w:ilvl w:val="0"/>
          <w:numId w:val="66"/>
        </w:numPr>
        <w:ind w:firstLineChars="0"/>
      </w:pPr>
      <w:r>
        <w:rPr>
          <w:rFonts w:hint="eastAsia"/>
        </w:rPr>
        <w:t>杠杆收购（leveraged</w:t>
      </w:r>
      <w:r>
        <w:t xml:space="preserve"> </w:t>
      </w:r>
      <w:r>
        <w:rPr>
          <w:rFonts w:hint="eastAsia"/>
        </w:rPr>
        <w:t>buyout,</w:t>
      </w:r>
      <w:r>
        <w:t xml:space="preserve"> </w:t>
      </w:r>
      <w:r>
        <w:rPr>
          <w:rFonts w:hint="eastAsia"/>
        </w:rPr>
        <w:t>LBO）</w:t>
      </w:r>
    </w:p>
    <w:p>
      <w:pPr>
        <w:pStyle w:val="4"/>
        <w:numPr>
          <w:ilvl w:val="1"/>
          <w:numId w:val="66"/>
        </w:numPr>
        <w:ind w:firstLineChars="0"/>
      </w:pPr>
      <w:r>
        <w:rPr>
          <w:rFonts w:hint="eastAsia"/>
        </w:rPr>
        <w:t>企业在中后期，buyer用被收购企业的资产作抵押，举债购买一个实体企业的股权，被收购企业的未来现金流用来偿还收购方债务。</w:t>
      </w:r>
    </w:p>
    <w:p>
      <w:pPr>
        <w:pStyle w:val="4"/>
        <w:numPr>
          <w:ilvl w:val="1"/>
          <w:numId w:val="66"/>
        </w:numPr>
        <w:ind w:firstLineChars="0"/>
      </w:pPr>
      <w:r>
        <w:rPr>
          <w:rFonts w:hint="eastAsia"/>
        </w:rPr>
        <w:t>收购方如果是公司现有管理层，则该收购称为管理层收购（management</w:t>
      </w:r>
      <w:r>
        <w:t xml:space="preserve"> </w:t>
      </w:r>
      <w:r>
        <w:rPr>
          <w:rFonts w:hint="eastAsia"/>
        </w:rPr>
        <w:t>buyout,</w:t>
      </w:r>
      <w:r>
        <w:t xml:space="preserve"> </w:t>
      </w:r>
      <w:r>
        <w:rPr>
          <w:rFonts w:hint="eastAsia"/>
        </w:rPr>
        <w:t>MBO）</w:t>
      </w:r>
    </w:p>
    <w:p>
      <w:pPr>
        <w:pStyle w:val="4"/>
        <w:numPr>
          <w:ilvl w:val="0"/>
          <w:numId w:val="66"/>
        </w:numPr>
        <w:ind w:firstLineChars="0"/>
      </w:pPr>
      <w:r>
        <w:rPr>
          <w:rFonts w:hint="eastAsia"/>
        </w:rPr>
        <w:t>私有股权投资上市公司（private</w:t>
      </w:r>
      <w:r>
        <w:t xml:space="preserve"> </w:t>
      </w:r>
      <w:r>
        <w:rPr>
          <w:rFonts w:hint="eastAsia"/>
        </w:rPr>
        <w:t>investment</w:t>
      </w:r>
      <w:r>
        <w:t xml:space="preserve"> </w:t>
      </w:r>
      <w:r>
        <w:rPr>
          <w:rFonts w:hint="eastAsia"/>
        </w:rPr>
        <w:t>in</w:t>
      </w:r>
      <w:r>
        <w:t xml:space="preserve"> </w:t>
      </w:r>
      <w:r>
        <w:rPr>
          <w:rFonts w:hint="eastAsia"/>
        </w:rPr>
        <w:t>public</w:t>
      </w:r>
      <w:r>
        <w:t xml:space="preserve"> </w:t>
      </w:r>
      <w:r>
        <w:rPr>
          <w:rFonts w:hint="eastAsia"/>
        </w:rPr>
        <w:t>equity,</w:t>
      </w:r>
      <w:r>
        <w:t xml:space="preserve"> </w:t>
      </w:r>
      <w:r>
        <w:rPr>
          <w:rFonts w:hint="eastAsia"/>
        </w:rPr>
        <w:t>PIPE）：</w:t>
      </w:r>
    </w:p>
    <w:p>
      <w:pPr>
        <w:pStyle w:val="4"/>
        <w:numPr>
          <w:ilvl w:val="1"/>
          <w:numId w:val="66"/>
        </w:numPr>
        <w:ind w:firstLineChars="0"/>
      </w:pPr>
      <w:r>
        <w:rPr>
          <w:rFonts w:hint="eastAsia"/>
        </w:rPr>
        <w:t>通常，追切需要额外资本金的上市公司会通过这种方式将股权以一定的市场优惠价卖给合格投资者，以此来扩大公司资本。</w:t>
      </w:r>
    </w:p>
    <w:p>
      <w:pPr>
        <w:pStyle w:val="5"/>
      </w:pPr>
      <w:r>
        <w:rPr>
          <w:rFonts w:hint="eastAsia"/>
        </w:rPr>
        <w:t>特点</w:t>
      </w:r>
    </w:p>
    <w:p>
      <w:pPr>
        <w:pStyle w:val="4"/>
        <w:numPr>
          <w:ilvl w:val="0"/>
          <w:numId w:val="67"/>
        </w:numPr>
        <w:ind w:firstLineChars="0"/>
      </w:pPr>
      <w:r>
        <w:rPr>
          <w:rFonts w:hint="eastAsia"/>
        </w:rPr>
        <w:t>没有交易活跃的二级市场，流动性较低。</w:t>
      </w:r>
    </w:p>
    <w:p>
      <w:pPr>
        <w:pStyle w:val="4"/>
        <w:numPr>
          <w:ilvl w:val="0"/>
          <w:numId w:val="67"/>
        </w:numPr>
        <w:ind w:firstLineChars="0"/>
      </w:pPr>
      <w:r>
        <w:rPr>
          <w:rFonts w:hint="eastAsia"/>
        </w:rPr>
        <w:t>透明度低——不用公开年报数据，报表披露成本低。</w:t>
      </w:r>
    </w:p>
    <w:p>
      <w:pPr>
        <w:pStyle w:val="4"/>
        <w:numPr>
          <w:ilvl w:val="0"/>
          <w:numId w:val="67"/>
        </w:numPr>
        <w:ind w:firstLineChars="0"/>
      </w:pPr>
      <w:r>
        <w:rPr>
          <w:rFonts w:hint="eastAsia"/>
        </w:rPr>
        <w:t>更关注企业</w:t>
      </w:r>
      <w:r>
        <w:rPr>
          <w:rFonts w:hint="eastAsia"/>
          <w:u w:val="single"/>
        </w:rPr>
        <w:t>长期获利</w:t>
      </w:r>
      <w:r>
        <w:rPr>
          <w:rFonts w:hint="eastAsia"/>
        </w:rPr>
        <w:t>的能力</w:t>
      </w:r>
    </w:p>
    <w:p>
      <w:pPr>
        <w:pStyle w:val="4"/>
        <w:numPr>
          <w:ilvl w:val="0"/>
          <w:numId w:val="67"/>
        </w:numPr>
        <w:ind w:firstLineChars="0"/>
      </w:pPr>
      <w:r>
        <w:rPr>
          <w:rFonts w:hint="eastAsia"/>
        </w:rPr>
        <w:t>对投资者而言有更高的潜在收益。</w:t>
      </w:r>
    </w:p>
    <w:p>
      <w:pPr>
        <w:pStyle w:val="3"/>
      </w:pPr>
      <w:r>
        <w:rPr>
          <w:rFonts w:hint="eastAsia"/>
        </w:rPr>
        <w:t>境外权益证券投资——存托凭证（Depository Receipts,</w:t>
      </w:r>
      <w:r>
        <w:t xml:space="preserve"> </w:t>
      </w:r>
      <w:r>
        <w:rPr>
          <w:rFonts w:hint="eastAsia"/>
        </w:rPr>
        <w:t>DRs）</w:t>
      </w:r>
    </w:p>
    <w:p>
      <w:pPr>
        <w:pStyle w:val="4"/>
        <w:numPr>
          <w:ilvl w:val="0"/>
          <w:numId w:val="68"/>
        </w:numPr>
        <w:ind w:firstLineChars="0"/>
      </w:pPr>
      <w:r>
        <w:rPr>
          <w:rFonts w:hint="eastAsia"/>
        </w:rPr>
        <w:t>存托凭证代表对一个外国企业的所有权，机构购入企业股票，一比一去发行DR</w:t>
      </w:r>
    </w:p>
    <w:tbl>
      <w:tblPr>
        <w:tblStyle w:val="13"/>
        <w:tblW w:w="0" w:type="auto"/>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autofit"/>
        <w:tblCellMar>
          <w:top w:w="15" w:type="dxa"/>
          <w:left w:w="15" w:type="dxa"/>
          <w:bottom w:w="15" w:type="dxa"/>
          <w:right w:w="15" w:type="dxa"/>
        </w:tblCellMar>
      </w:tblPr>
      <w:tblGrid>
        <w:gridCol w:w="1707"/>
        <w:gridCol w:w="2396"/>
        <w:gridCol w:w="1684"/>
        <w:gridCol w:w="2503"/>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07" w:type="dxa"/>
            <w:tcBorders>
              <w:top w:val="outset" w:color="000000" w:sz="6" w:space="0"/>
              <w:left w:val="outset" w:color="000000" w:sz="6" w:space="0"/>
              <w:bottom w:val="outset" w:color="000000" w:sz="6" w:space="0"/>
              <w:right w:val="outset" w:color="000000" w:sz="6" w:space="0"/>
            </w:tcBorders>
            <w:vAlign w:val="center"/>
          </w:tcPr>
          <w:p>
            <w:r>
              <w:t>存托凭证（DRs）</w:t>
            </w:r>
          </w:p>
        </w:tc>
        <w:tc>
          <w:tcPr>
            <w:tcW w:w="2396" w:type="dxa"/>
            <w:tcBorders>
              <w:top w:val="outset" w:color="000000" w:sz="6" w:space="0"/>
              <w:left w:val="outset" w:color="000000" w:sz="6" w:space="0"/>
              <w:bottom w:val="outset" w:color="000000" w:sz="6" w:space="0"/>
              <w:right w:val="outset" w:color="000000" w:sz="6" w:space="0"/>
            </w:tcBorders>
            <w:vAlign w:val="center"/>
          </w:tcPr>
          <w:p>
            <w:r>
              <w:t>外国企业是否直接参与DR发行</w:t>
            </w:r>
          </w:p>
        </w:tc>
        <w:tc>
          <w:tcPr>
            <w:tcW w:w="1684" w:type="dxa"/>
            <w:tcBorders>
              <w:top w:val="outset" w:color="000000" w:sz="6" w:space="0"/>
              <w:left w:val="outset" w:color="000000" w:sz="6" w:space="0"/>
              <w:bottom w:val="outset" w:color="000000" w:sz="6" w:space="0"/>
              <w:right w:val="outset" w:color="000000" w:sz="6" w:space="0"/>
            </w:tcBorders>
            <w:vAlign w:val="center"/>
          </w:tcPr>
          <w:p>
            <w:r>
              <w:t>投票权的归属</w:t>
            </w:r>
          </w:p>
        </w:tc>
        <w:tc>
          <w:tcPr>
            <w:tcW w:w="2503" w:type="dxa"/>
            <w:tcBorders>
              <w:top w:val="outset" w:color="000000" w:sz="6" w:space="0"/>
              <w:left w:val="outset" w:color="000000" w:sz="6" w:space="0"/>
              <w:bottom w:val="outset" w:color="000000" w:sz="6" w:space="0"/>
              <w:right w:val="outset" w:color="000000" w:sz="6" w:space="0"/>
            </w:tcBorders>
          </w:tcPr>
          <w:p>
            <w:r>
              <w:t>上市公司分红权</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07" w:type="dxa"/>
            <w:tcBorders>
              <w:top w:val="outset" w:color="000000" w:sz="6" w:space="0"/>
              <w:left w:val="outset" w:color="000000" w:sz="6" w:space="0"/>
              <w:bottom w:val="outset" w:color="000000" w:sz="6" w:space="0"/>
              <w:right w:val="outset" w:color="000000" w:sz="6" w:space="0"/>
            </w:tcBorders>
            <w:vAlign w:val="center"/>
          </w:tcPr>
          <w:p>
            <w:r>
              <w:t>参与型</w:t>
            </w:r>
          </w:p>
          <w:p>
            <w:r>
              <w:t>Sponsored DR</w:t>
            </w:r>
          </w:p>
        </w:tc>
        <w:tc>
          <w:tcPr>
            <w:tcW w:w="2396" w:type="dxa"/>
            <w:tcBorders>
              <w:top w:val="outset" w:color="000000" w:sz="6" w:space="0"/>
              <w:left w:val="outset" w:color="000000" w:sz="6" w:space="0"/>
              <w:bottom w:val="outset" w:color="000000" w:sz="6" w:space="0"/>
              <w:right w:val="outset" w:color="000000" w:sz="6" w:space="0"/>
            </w:tcBorders>
            <w:vAlign w:val="center"/>
          </w:tcPr>
          <w:p>
            <w:r>
              <w:t>是</w:t>
            </w:r>
          </w:p>
        </w:tc>
        <w:tc>
          <w:tcPr>
            <w:tcW w:w="1684" w:type="dxa"/>
            <w:tcBorders>
              <w:top w:val="outset" w:color="000000" w:sz="6" w:space="0"/>
              <w:left w:val="outset" w:color="000000" w:sz="6" w:space="0"/>
              <w:bottom w:val="outset" w:color="000000" w:sz="6" w:space="0"/>
              <w:right w:val="outset" w:color="000000" w:sz="6" w:space="0"/>
            </w:tcBorders>
            <w:vAlign w:val="center"/>
          </w:tcPr>
          <w:p>
            <w:r>
              <w:t>购买DR的投资者</w:t>
            </w:r>
          </w:p>
        </w:tc>
        <w:tc>
          <w:tcPr>
            <w:tcW w:w="2503" w:type="dxa"/>
            <w:tcBorders>
              <w:top w:val="outset" w:color="000000" w:sz="6" w:space="0"/>
              <w:left w:val="outset" w:color="000000" w:sz="6" w:space="0"/>
              <w:bottom w:val="outset" w:color="000000" w:sz="6" w:space="0"/>
              <w:right w:val="outset" w:color="000000" w:sz="6" w:space="0"/>
            </w:tcBorders>
          </w:tcPr>
          <w:p>
            <w:r>
              <w:rPr>
                <w:rFonts w:hint="eastAsia"/>
              </w:rPr>
              <w:t>购买DR的投资者</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15" w:type="dxa"/>
            <w:left w:w="15" w:type="dxa"/>
            <w:bottom w:w="15" w:type="dxa"/>
            <w:right w:w="15" w:type="dxa"/>
          </w:tblCellMar>
        </w:tblPrEx>
        <w:trPr>
          <w:trHeight w:val="240" w:hRule="atLeast"/>
          <w:jc w:val="center"/>
        </w:trPr>
        <w:tc>
          <w:tcPr>
            <w:tcW w:w="1707" w:type="dxa"/>
            <w:tcBorders>
              <w:top w:val="outset" w:color="000000" w:sz="6" w:space="0"/>
              <w:left w:val="outset" w:color="000000" w:sz="6" w:space="0"/>
              <w:bottom w:val="outset" w:color="000000" w:sz="6" w:space="0"/>
              <w:right w:val="outset" w:color="000000" w:sz="6" w:space="0"/>
            </w:tcBorders>
            <w:vAlign w:val="center"/>
          </w:tcPr>
          <w:p>
            <w:r>
              <w:t>非参与型</w:t>
            </w:r>
          </w:p>
          <w:p>
            <w:r>
              <w:t>Unsponsored</w:t>
            </w:r>
            <w:r>
              <w:rPr>
                <w:rFonts w:hint="eastAsia"/>
              </w:rPr>
              <w:t xml:space="preserve"> </w:t>
            </w:r>
            <w:r>
              <w:t>DR</w:t>
            </w:r>
          </w:p>
        </w:tc>
        <w:tc>
          <w:tcPr>
            <w:tcW w:w="2396" w:type="dxa"/>
            <w:tcBorders>
              <w:top w:val="outset" w:color="000000" w:sz="6" w:space="0"/>
              <w:left w:val="outset" w:color="000000" w:sz="6" w:space="0"/>
              <w:bottom w:val="outset" w:color="000000" w:sz="6" w:space="0"/>
              <w:right w:val="outset" w:color="000000" w:sz="6" w:space="0"/>
            </w:tcBorders>
            <w:vAlign w:val="center"/>
          </w:tcPr>
          <w:p>
            <w:r>
              <w:t>否</w:t>
            </w:r>
          </w:p>
        </w:tc>
        <w:tc>
          <w:tcPr>
            <w:tcW w:w="1684" w:type="dxa"/>
            <w:tcBorders>
              <w:top w:val="outset" w:color="000000" w:sz="6" w:space="0"/>
              <w:left w:val="outset" w:color="000000" w:sz="6" w:space="0"/>
              <w:bottom w:val="outset" w:color="000000" w:sz="6" w:space="0"/>
              <w:right w:val="outset" w:color="000000" w:sz="6" w:space="0"/>
            </w:tcBorders>
            <w:vAlign w:val="center"/>
          </w:tcPr>
          <w:p>
            <w:r>
              <w:t>存托银行</w:t>
            </w:r>
          </w:p>
        </w:tc>
        <w:tc>
          <w:tcPr>
            <w:tcW w:w="2503" w:type="dxa"/>
            <w:tcBorders>
              <w:top w:val="outset" w:color="000000" w:sz="6" w:space="0"/>
              <w:left w:val="outset" w:color="000000" w:sz="6" w:space="0"/>
              <w:bottom w:val="outset" w:color="000000" w:sz="6" w:space="0"/>
              <w:right w:val="outset" w:color="000000" w:sz="6" w:space="0"/>
            </w:tcBorders>
          </w:tcPr>
          <w:p>
            <w:r>
              <w:rPr>
                <w:rFonts w:hint="eastAsia"/>
              </w:rPr>
              <w:t>购买DR的投资者</w:t>
            </w:r>
          </w:p>
        </w:tc>
      </w:tr>
    </w:tbl>
    <w:p>
      <w:pPr>
        <w:pStyle w:val="4"/>
        <w:numPr>
          <w:ilvl w:val="0"/>
          <w:numId w:val="68"/>
        </w:numPr>
        <w:ind w:firstLineChars="0"/>
      </w:pPr>
      <w:r>
        <w:rPr>
          <w:rFonts w:hint="eastAsia"/>
        </w:rPr>
        <w:t>全球存托凭证Global</w:t>
      </w:r>
      <w:r>
        <w:t xml:space="preserve"> </w:t>
      </w:r>
      <w:r>
        <w:rPr>
          <w:rFonts w:hint="eastAsia"/>
        </w:rPr>
        <w:t>Depository</w:t>
      </w:r>
      <w:r>
        <w:t xml:space="preserve"> </w:t>
      </w:r>
      <w:r>
        <w:rPr>
          <w:rFonts w:hint="eastAsia"/>
        </w:rPr>
        <w:t>Receipts,</w:t>
      </w:r>
      <w:r>
        <w:t xml:space="preserve"> </w:t>
      </w:r>
      <w:r>
        <w:rPr>
          <w:rFonts w:hint="eastAsia"/>
        </w:rPr>
        <w:t>GDR</w:t>
      </w:r>
    </w:p>
    <w:p>
      <w:pPr>
        <w:pStyle w:val="4"/>
        <w:numPr>
          <w:ilvl w:val="1"/>
          <w:numId w:val="68"/>
        </w:numPr>
        <w:ind w:firstLineChars="0"/>
      </w:pPr>
      <w:r>
        <w:rPr>
          <w:rFonts w:hint="eastAsia"/>
        </w:rPr>
        <w:t>在公司本国和美国以外的地区发行的存托凭证。</w:t>
      </w:r>
    </w:p>
    <w:p>
      <w:pPr>
        <w:pStyle w:val="4"/>
        <w:numPr>
          <w:ilvl w:val="0"/>
          <w:numId w:val="68"/>
        </w:numPr>
        <w:ind w:firstLineChars="0"/>
      </w:pPr>
      <w:r>
        <w:rPr>
          <w:rFonts w:hint="eastAsia"/>
        </w:rPr>
        <w:t>美国存托凭证（American</w:t>
      </w:r>
      <w:r>
        <w:t xml:space="preserve"> </w:t>
      </w:r>
      <w:r>
        <w:rPr>
          <w:rFonts w:hint="eastAsia"/>
        </w:rPr>
        <w:t>Depository</w:t>
      </w:r>
      <w:r>
        <w:t xml:space="preserve"> </w:t>
      </w:r>
      <w:r>
        <w:rPr>
          <w:rFonts w:hint="eastAsia"/>
        </w:rPr>
        <w:t>Receipts,ADR）</w:t>
      </w:r>
    </w:p>
    <w:p>
      <w:pPr>
        <w:pStyle w:val="4"/>
        <w:numPr>
          <w:ilvl w:val="1"/>
          <w:numId w:val="68"/>
        </w:numPr>
        <w:ind w:firstLineChars="0"/>
      </w:pPr>
      <w:r>
        <w:rPr>
          <w:rFonts w:hint="eastAsia"/>
        </w:rPr>
        <w:t>以美元计价的、与在美国交易所交易的普通股票类似的存托凭证。</w:t>
      </w:r>
    </w:p>
    <w:p>
      <w:pPr>
        <w:pStyle w:val="4"/>
        <w:numPr>
          <w:ilvl w:val="1"/>
          <w:numId w:val="68"/>
        </w:numPr>
        <w:ind w:firstLineChars="0"/>
      </w:pPr>
      <w:r>
        <w:rPr>
          <w:rFonts w:hint="eastAsia"/>
        </w:rPr>
        <w:t>可以在 NYSE, NASDAQ, and AMEX交易</w:t>
      </w:r>
    </w:p>
    <w:p>
      <w:pPr>
        <w:pStyle w:val="4"/>
        <w:numPr>
          <w:ilvl w:val="0"/>
          <w:numId w:val="68"/>
        </w:numPr>
        <w:ind w:firstLineChars="0"/>
      </w:pPr>
      <w:r>
        <w:rPr>
          <w:rFonts w:hint="eastAsia"/>
        </w:rPr>
        <w:t>持有一篮子上市的DR，则gaining exposure to multiple equities.</w:t>
      </w:r>
    </w:p>
    <w:p>
      <w:pPr>
        <w:pStyle w:val="3"/>
      </w:pPr>
      <w:r>
        <w:rPr>
          <w:rFonts w:hint="eastAsia"/>
        </w:rPr>
        <w:t>不同权益证券的风险对比</w:t>
      </w:r>
      <w:r>
        <w:t xml:space="preserve"> </w:t>
      </w:r>
    </w:p>
    <w:p>
      <w:pPr>
        <w:pStyle w:val="4"/>
        <w:numPr>
          <w:ilvl w:val="0"/>
          <w:numId w:val="69"/>
        </w:numPr>
        <w:ind w:firstLineChars="0"/>
      </w:pPr>
      <w:r>
        <w:rPr>
          <w:rFonts w:hint="eastAsia"/>
        </w:rPr>
        <w:t>优先股比普通股风险低；</w:t>
      </w:r>
    </w:p>
    <w:p>
      <w:pPr>
        <w:pStyle w:val="4"/>
        <w:numPr>
          <w:ilvl w:val="0"/>
          <w:numId w:val="69"/>
        </w:numPr>
        <w:ind w:firstLineChars="0"/>
      </w:pPr>
      <w:r>
        <w:rPr>
          <w:rFonts w:hint="eastAsia"/>
        </w:rPr>
        <w:t>可售回普通股</w:t>
      </w:r>
      <w:r>
        <w:t>puttable</w:t>
      </w:r>
      <w:r>
        <w:rPr>
          <w:rFonts w:hint="eastAsia"/>
        </w:rPr>
        <w:t>（可售回优先股）比可赋回普通股（可赋回优先股）风险低；</w:t>
      </w:r>
    </w:p>
    <w:p>
      <w:pPr>
        <w:pStyle w:val="4"/>
        <w:numPr>
          <w:ilvl w:val="0"/>
          <w:numId w:val="69"/>
        </w:numPr>
        <w:ind w:firstLineChars="0"/>
      </w:pPr>
      <w:r>
        <w:rPr>
          <w:rFonts w:hint="eastAsia"/>
        </w:rPr>
        <w:t xml:space="preserve">可累计优先股/参与优先股 比 </w:t>
      </w:r>
      <w:r>
        <w:t xml:space="preserve"> </w:t>
      </w:r>
      <w:r>
        <w:rPr>
          <w:rFonts w:hint="eastAsia"/>
        </w:rPr>
        <w:t>非可累计优先股</w:t>
      </w:r>
      <w:r>
        <w:t>/</w:t>
      </w:r>
      <w:r>
        <w:rPr>
          <w:rFonts w:hint="eastAsia"/>
        </w:rPr>
        <w:t>非参与优先股 风险低。</w:t>
      </w:r>
    </w:p>
    <w:p>
      <w:pPr>
        <w:pStyle w:val="3"/>
      </w:pPr>
      <w:r>
        <w:t>股东权益回报率与权益成本</w:t>
      </w:r>
    </w:p>
    <w:p>
      <w:pPr>
        <w:pStyle w:val="4"/>
        <w:numPr>
          <w:ilvl w:val="0"/>
          <w:numId w:val="70"/>
        </w:numPr>
        <w:ind w:firstLineChars="0"/>
      </w:pPr>
      <w:r>
        <w:drawing>
          <wp:inline distT="0" distB="0" distL="0" distR="0">
            <wp:extent cx="2369820" cy="388620"/>
            <wp:effectExtent l="0" t="0" r="0" b="0"/>
            <wp:docPr id="8" name="图片 8" descr="C:\Users\YYS\AppData\Local\Temp\tianruoocr\截图_2023012822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YYS\AppData\Local\Temp\tianruoocr\截图_202301282217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9820" cy="388620"/>
                    </a:xfrm>
                    <a:prstGeom prst="rect">
                      <a:avLst/>
                    </a:prstGeom>
                    <a:noFill/>
                    <a:ln>
                      <a:noFill/>
                    </a:ln>
                  </pic:spPr>
                </pic:pic>
              </a:graphicData>
            </a:graphic>
          </wp:inline>
        </w:drawing>
      </w:r>
    </w:p>
    <w:p>
      <w:pPr>
        <w:pStyle w:val="4"/>
        <w:numPr>
          <w:ilvl w:val="0"/>
          <w:numId w:val="70"/>
        </w:numPr>
        <w:ind w:firstLineChars="0"/>
      </w:pPr>
      <w:r>
        <w:rPr>
          <w:rFonts w:hint="eastAsia"/>
        </w:rPr>
        <w:t>公司的权益成本（cost of equity）可以用于代表投资者要求的最低预期收益率（required</w:t>
      </w:r>
      <w:r>
        <w:t xml:space="preserve"> rate of </w:t>
      </w:r>
      <w:r>
        <w:rPr>
          <w:rFonts w:hint="eastAsia"/>
        </w:rPr>
        <w:t>return）</w:t>
      </w:r>
    </w:p>
    <w:p>
      <w:pPr>
        <w:rPr>
          <w:rFonts w:hint="default"/>
          <w:lang w:val="en-US" w:eastAsia="zh-CN"/>
        </w:rPr>
      </w:pPr>
    </w:p>
    <w:p>
      <w:pPr>
        <w:pStyle w:val="2"/>
        <w:spacing w:before="93" w:after="93"/>
        <w:rPr>
          <w:rFonts w:hint="default"/>
          <w:lang w:val="en-US"/>
        </w:rPr>
      </w:pPr>
      <w:r>
        <w:t xml:space="preserve">Chapter </w:t>
      </w:r>
      <w:r>
        <w:rPr>
          <w:rFonts w:hint="eastAsia"/>
          <w:lang w:val="en-US" w:eastAsia="zh-CN"/>
        </w:rPr>
        <w:t>6&amp;7 基本面分析——公司行业分析&amp;现状分析</w:t>
      </w:r>
    </w:p>
    <w:p>
      <w:pPr>
        <w:pStyle w:val="3"/>
        <w:numPr>
          <w:ilvl w:val="0"/>
          <w:numId w:val="71"/>
        </w:numPr>
      </w:pPr>
      <w:r>
        <w:t>行业分类——</w:t>
      </w:r>
      <w:r>
        <w:rPr>
          <w:rFonts w:hint="eastAsia"/>
        </w:rPr>
        <w:t>分类方法</w:t>
      </w:r>
    </w:p>
    <w:p>
      <w:pPr>
        <w:pStyle w:val="5"/>
        <w:numPr>
          <w:ilvl w:val="0"/>
          <w:numId w:val="72"/>
        </w:numPr>
      </w:pPr>
      <w:r>
        <w:rPr>
          <w:rFonts w:hint="eastAsia"/>
        </w:rPr>
        <w:t>提供的产品或服务（Products</w:t>
      </w:r>
      <w:r>
        <w:t xml:space="preserve"> </w:t>
      </w:r>
      <w:r>
        <w:rPr>
          <w:rFonts w:hint="eastAsia"/>
        </w:rPr>
        <w:t>or</w:t>
      </w:r>
      <w:r>
        <w:t xml:space="preserve"> </w:t>
      </w:r>
      <w:r>
        <w:rPr>
          <w:rFonts w:hint="eastAsia"/>
        </w:rPr>
        <w:t>Services</w:t>
      </w:r>
      <w:r>
        <w:t xml:space="preserve"> </w:t>
      </w:r>
      <w:r>
        <w:rPr>
          <w:rFonts w:hint="eastAsia"/>
        </w:rPr>
        <w:t>Supplied）</w:t>
      </w:r>
    </w:p>
    <w:p>
      <w:pPr>
        <w:pStyle w:val="4"/>
        <w:numPr>
          <w:ilvl w:val="0"/>
          <w:numId w:val="73"/>
        </w:numPr>
        <w:ind w:firstLineChars="0"/>
      </w:pPr>
      <w:r>
        <w:rPr>
          <w:rFonts w:hint="eastAsia"/>
        </w:rPr>
        <w:t>自上而下一般会涉及四个层级：板块（sector）一行业（industry）一子行业（sub-industry）一公司（company），例如：能源一石油一燃油一中石油。</w:t>
      </w:r>
    </w:p>
    <w:p>
      <w:pPr>
        <w:pStyle w:val="4"/>
        <w:numPr>
          <w:ilvl w:val="0"/>
          <w:numId w:val="73"/>
        </w:numPr>
        <w:ind w:firstLineChars="0"/>
      </w:pPr>
      <w:r>
        <w:rPr>
          <w:rFonts w:hint="eastAsia"/>
        </w:rPr>
        <w:t>Sector rotation策略可以可以择时利用商业周期条件</w:t>
      </w:r>
    </w:p>
    <w:p>
      <w:pPr>
        <w:pStyle w:val="5"/>
      </w:pPr>
      <w:r>
        <w:rPr>
          <w:rFonts w:hint="eastAsia"/>
        </w:rPr>
        <w:t>商业周期敏感度（</w:t>
      </w:r>
      <w:r>
        <w:t>Businesses-</w:t>
      </w:r>
      <w:r>
        <w:rPr>
          <w:rFonts w:hint="eastAsia"/>
        </w:rPr>
        <w:t>cycle</w:t>
      </w:r>
      <w:r>
        <w:t xml:space="preserve"> </w:t>
      </w:r>
      <w:r>
        <w:rPr>
          <w:rFonts w:hint="eastAsia"/>
        </w:rPr>
        <w:t>Sensitivities）</w:t>
      </w:r>
    </w:p>
    <w:p>
      <w:r>
        <w:rPr>
          <w:rFonts w:hint="eastAsia"/>
        </w:rPr>
        <w:t xml:space="preserve">基于行业对商业周期/经济周期的敏感度来分类 </w:t>
      </w:r>
    </w:p>
    <w:p>
      <w:pPr>
        <w:pStyle w:val="4"/>
        <w:numPr>
          <w:ilvl w:val="0"/>
          <w:numId w:val="73"/>
        </w:numPr>
        <w:ind w:firstLineChars="0"/>
      </w:pPr>
      <w:r>
        <w:rPr>
          <w:rFonts w:hint="eastAsia"/>
        </w:rPr>
        <w:t>周期性（cyclical）行业。</w:t>
      </w:r>
    </w:p>
    <w:p>
      <w:pPr>
        <w:pStyle w:val="4"/>
        <w:numPr>
          <w:ilvl w:val="1"/>
          <w:numId w:val="73"/>
        </w:numPr>
        <w:ind w:firstLineChars="0"/>
      </w:pPr>
      <w:r>
        <w:rPr>
          <w:rFonts w:hint="eastAsia"/>
        </w:rPr>
        <w:t>消费取决于经济主体对经济前景的乐观程度。</w:t>
      </w:r>
    </w:p>
    <w:p>
      <w:pPr>
        <w:pStyle w:val="4"/>
        <w:numPr>
          <w:ilvl w:val="1"/>
          <w:numId w:val="73"/>
        </w:numPr>
        <w:ind w:firstLineChars="0"/>
      </w:pPr>
      <w:r>
        <w:rPr>
          <w:rFonts w:hint="eastAsia"/>
        </w:rPr>
        <w:t>例如，家电、汽车、房地产等行业属于周期性行业。</w:t>
      </w:r>
    </w:p>
    <w:p>
      <w:pPr>
        <w:pStyle w:val="4"/>
        <w:numPr>
          <w:ilvl w:val="0"/>
          <w:numId w:val="73"/>
        </w:numPr>
        <w:ind w:firstLineChars="0"/>
      </w:pPr>
      <w:r>
        <w:rPr>
          <w:rFonts w:hint="eastAsia"/>
        </w:rPr>
        <w:t>非周期性（non-cyclical）行业。</w:t>
      </w:r>
    </w:p>
    <w:p>
      <w:pPr>
        <w:pStyle w:val="4"/>
        <w:numPr>
          <w:ilvl w:val="1"/>
          <w:numId w:val="74"/>
        </w:numPr>
        <w:ind w:firstLineChars="0"/>
      </w:pPr>
      <w:r>
        <w:rPr>
          <w:rFonts w:hint="eastAsia"/>
        </w:rPr>
        <w:t>独立于经济周期，销售和利润不受经济周期波动的影响，通常以满足市场日常消费为主</w:t>
      </w:r>
    </w:p>
    <w:p>
      <w:pPr>
        <w:pStyle w:val="4"/>
        <w:numPr>
          <w:ilvl w:val="1"/>
          <w:numId w:val="73"/>
        </w:numPr>
        <w:ind w:firstLineChars="0"/>
      </w:pPr>
      <w:r>
        <w:rPr>
          <w:rFonts w:hint="eastAsia"/>
        </w:rPr>
        <w:t>一是防御型（defensive）行业，行业需求相对稳定，consumer staples例如食品、饮料、医疗、医药等；【对比是可选消费consumer discretionary】</w:t>
      </w:r>
    </w:p>
    <w:p>
      <w:pPr>
        <w:pStyle w:val="4"/>
        <w:numPr>
          <w:ilvl w:val="1"/>
          <w:numId w:val="73"/>
        </w:numPr>
        <w:ind w:firstLineChars="0"/>
      </w:pPr>
      <w:r>
        <w:rPr>
          <w:rFonts w:hint="eastAsia"/>
        </w:rPr>
        <w:t>二是成长型（growth）行业，处于快速增长，例如人工智能等新兴产业</w:t>
      </w:r>
    </w:p>
    <w:p>
      <w:pPr>
        <w:pStyle w:val="4"/>
        <w:numPr>
          <w:ilvl w:val="0"/>
          <w:numId w:val="73"/>
        </w:numPr>
        <w:ind w:firstLineChars="0"/>
      </w:pPr>
      <w:r>
        <w:rPr>
          <w:rFonts w:hint="eastAsia"/>
        </w:rPr>
        <w:t>使用商业周期分类缺点：</w:t>
      </w:r>
    </w:p>
    <w:p>
      <w:pPr>
        <w:pStyle w:val="4"/>
        <w:numPr>
          <w:ilvl w:val="1"/>
          <w:numId w:val="73"/>
        </w:numPr>
        <w:ind w:firstLineChars="0"/>
      </w:pPr>
      <w:r>
        <w:rPr>
          <w:rFonts w:hint="eastAsia"/>
        </w:rPr>
        <w:t>严重的衰退时会影响所有行业</w:t>
      </w:r>
    </w:p>
    <w:p>
      <w:pPr>
        <w:pStyle w:val="4"/>
        <w:numPr>
          <w:ilvl w:val="1"/>
          <w:numId w:val="73"/>
        </w:numPr>
        <w:ind w:firstLineChars="0"/>
      </w:pPr>
      <w:r>
        <w:rPr>
          <w:rFonts w:hint="eastAsia"/>
        </w:rPr>
        <w:t>对同一行业，不同的地区/国家可能处于不同周期</w:t>
      </w:r>
    </w:p>
    <w:p>
      <w:pPr>
        <w:pStyle w:val="5"/>
      </w:pPr>
      <w:r>
        <w:rPr>
          <w:rFonts w:hint="eastAsia"/>
        </w:rPr>
        <w:t>统计相似性（Statistical</w:t>
      </w:r>
      <w:r>
        <w:t xml:space="preserve"> </w:t>
      </w:r>
      <w:r>
        <w:rPr>
          <w:rFonts w:hint="eastAsia"/>
        </w:rPr>
        <w:t>Similarities）</w:t>
      </w:r>
    </w:p>
    <w:p>
      <w:pPr>
        <w:pStyle w:val="4"/>
        <w:numPr>
          <w:ilvl w:val="1"/>
          <w:numId w:val="74"/>
        </w:numPr>
        <w:ind w:firstLineChars="0"/>
      </w:pPr>
      <w:r>
        <w:rPr>
          <w:rFonts w:hint="eastAsia"/>
        </w:rPr>
        <w:t>该方法基于对公司历史收益相关性的研究</w:t>
      </w:r>
    </w:p>
    <w:p>
      <w:pPr>
        <w:pStyle w:val="4"/>
        <w:numPr>
          <w:ilvl w:val="1"/>
          <w:numId w:val="75"/>
        </w:numPr>
        <w:ind w:firstLineChars="0"/>
      </w:pPr>
      <w:r>
        <w:rPr>
          <w:rFonts w:hint="eastAsia"/>
        </w:rPr>
        <w:t>局限性。</w:t>
      </w:r>
    </w:p>
    <w:p>
      <w:pPr>
        <w:pStyle w:val="4"/>
        <w:numPr>
          <w:ilvl w:val="0"/>
          <w:numId w:val="76"/>
        </w:numPr>
        <w:ind w:firstLineChars="0"/>
      </w:pPr>
      <w:r>
        <w:rPr>
          <w:rFonts w:hint="eastAsia"/>
        </w:rPr>
        <w:t>公司分类不直观（non-intuitive），仅仅是数字上的关联性，不代表行业相关</w:t>
      </w:r>
    </w:p>
    <w:p>
      <w:pPr>
        <w:pStyle w:val="4"/>
        <w:numPr>
          <w:ilvl w:val="0"/>
          <w:numId w:val="76"/>
        </w:numPr>
        <w:ind w:firstLineChars="0"/>
      </w:pPr>
      <w:r>
        <w:rPr>
          <w:rFonts w:hint="eastAsia"/>
        </w:rPr>
        <w:t>指标会随着时间和地域的变化而产生差异。</w:t>
      </w:r>
    </w:p>
    <w:p>
      <w:pPr>
        <w:pStyle w:val="4"/>
        <w:numPr>
          <w:ilvl w:val="0"/>
          <w:numId w:val="76"/>
        </w:numPr>
        <w:ind w:firstLineChars="0"/>
      </w:pPr>
      <w:r>
        <w:rPr>
          <w:rFonts w:hint="eastAsia"/>
        </w:rPr>
        <w:t>历史数据的相关性并不能代表现在或未来。</w:t>
      </w:r>
    </w:p>
    <w:p>
      <w:pPr>
        <w:pStyle w:val="4"/>
        <w:numPr>
          <w:ilvl w:val="0"/>
          <w:numId w:val="76"/>
        </w:numPr>
        <w:ind w:firstLineChars="0"/>
      </w:pPr>
      <w:r>
        <w:rPr>
          <w:rFonts w:hint="eastAsia"/>
        </w:rPr>
        <w:t>所有统计方法会存在固有的缺陷。</w:t>
      </w:r>
    </w:p>
    <w:p>
      <w:pPr>
        <w:pStyle w:val="5"/>
      </w:pPr>
      <w:r>
        <w:rPr>
          <w:rFonts w:hint="eastAsia"/>
        </w:rPr>
        <w:t>同类组（Peer</w:t>
      </w:r>
      <w:r>
        <w:t xml:space="preserve"> </w:t>
      </w:r>
      <w:r>
        <w:rPr>
          <w:rFonts w:hint="eastAsia"/>
        </w:rPr>
        <w:t>Group）</w:t>
      </w:r>
      <w:r>
        <w:t>：</w:t>
      </w:r>
      <w:r>
        <w:rPr>
          <w:rFonts w:hint="eastAsia"/>
        </w:rPr>
        <w:t>商业模式相似，可比公司</w:t>
      </w:r>
    </w:p>
    <w:p>
      <w:pPr>
        <w:ind w:firstLine="420"/>
      </w:pPr>
      <w:r>
        <w:rPr>
          <w:rFonts w:hint="eastAsia"/>
        </w:rPr>
        <w:t>分类起点可以是行业分类，但不要求包括所有细分行业的公司，相对主观</w:t>
      </w:r>
    </w:p>
    <w:p>
      <w:pPr>
        <w:ind w:firstLine="420"/>
      </w:pPr>
      <w:r>
        <w:rPr>
          <w:rFonts w:hint="eastAsia"/>
        </w:rPr>
        <w:t>也会利用管理层提到的竞争对手公司</w:t>
      </w:r>
    </w:p>
    <w:p>
      <w:pPr>
        <w:ind w:firstLine="420"/>
        <w:rPr>
          <w:rFonts w:hint="eastAsia"/>
        </w:rPr>
      </w:pPr>
      <w:r>
        <w:rPr>
          <w:rFonts w:hint="eastAsia"/>
        </w:rPr>
        <w:t>相同业务的收入利润占比约相似，越成功的peer group选取</w:t>
      </w:r>
    </w:p>
    <w:p>
      <w:pPr>
        <w:ind w:firstLine="420"/>
        <w:rPr>
          <w:rFonts w:hint="eastAsia"/>
        </w:rPr>
      </w:pPr>
      <w:r>
        <w:drawing>
          <wp:inline distT="0" distB="0" distL="114300" distR="114300">
            <wp:extent cx="5268595" cy="2086610"/>
            <wp:effectExtent l="0" t="0" r="8255" b="8890"/>
            <wp:docPr id="54" name="图片 54" descr="截图_2023012500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截图_20230125002626"/>
                    <pic:cNvPicPr>
                      <a:picLocks noChangeAspect="1"/>
                    </pic:cNvPicPr>
                  </pic:nvPicPr>
                  <pic:blipFill>
                    <a:blip r:embed="rId13"/>
                    <a:stretch>
                      <a:fillRect/>
                    </a:stretch>
                  </pic:blipFill>
                  <pic:spPr>
                    <a:xfrm>
                      <a:off x="0" y="0"/>
                      <a:ext cx="5268595" cy="2086610"/>
                    </a:xfrm>
                    <a:prstGeom prst="rect">
                      <a:avLst/>
                    </a:prstGeom>
                  </pic:spPr>
                </pic:pic>
              </a:graphicData>
            </a:graphic>
          </wp:inline>
        </w:drawing>
      </w:r>
    </w:p>
    <w:p>
      <w:pPr>
        <w:pStyle w:val="3"/>
        <w:bidi w:val="0"/>
      </w:pPr>
      <w:r>
        <w:rPr>
          <w:rFonts w:hint="eastAsia"/>
          <w:lang w:val="en-US" w:eastAsia="zh-CN"/>
        </w:rPr>
        <w:t>Revenue analysis</w:t>
      </w:r>
    </w:p>
    <w:p>
      <w:pPr>
        <w:pStyle w:val="5"/>
        <w:numPr>
          <w:numId w:val="77"/>
        </w:numPr>
        <w:rPr>
          <w:rFonts w:hint="default" w:eastAsia="等线"/>
          <w:lang w:val="en-US" w:eastAsia="zh-CN"/>
        </w:rPr>
      </w:pPr>
      <w:r>
        <w:t>定价能力影响因素</w:t>
      </w:r>
    </w:p>
    <w:p>
      <w:pPr>
        <w:pStyle w:val="6"/>
      </w:pPr>
      <w:r>
        <w:t xml:space="preserve">Barriers to entry </w:t>
      </w:r>
    </w:p>
    <w:p>
      <w:pPr>
        <w:pStyle w:val="4"/>
        <w:numPr>
          <w:ilvl w:val="0"/>
          <w:numId w:val="78"/>
        </w:numPr>
        <w:ind w:firstLineChars="0"/>
      </w:pPr>
      <w:r>
        <w:t>低进入壁垒往往导致行业竞争激烈，pricing power弱</w:t>
      </w:r>
    </w:p>
    <w:p>
      <w:pPr>
        <w:pStyle w:val="4"/>
        <w:numPr>
          <w:ilvl w:val="0"/>
          <w:numId w:val="78"/>
        </w:numPr>
        <w:ind w:firstLineChars="0"/>
      </w:pPr>
      <w:r>
        <w:t>高进入壁垒并不保障pricing power，当价格是购买者决策非常大的</w:t>
      </w:r>
      <w:r>
        <w:rPr>
          <w:rFonts w:hint="eastAsia"/>
        </w:rPr>
        <w:t>影响</w:t>
      </w:r>
      <w:r>
        <w:t>因素</w:t>
      </w:r>
    </w:p>
    <w:p>
      <w:pPr>
        <w:pStyle w:val="4"/>
        <w:numPr>
          <w:ilvl w:val="0"/>
          <w:numId w:val="78"/>
        </w:numPr>
        <w:ind w:firstLineChars="0"/>
      </w:pPr>
      <w:r>
        <w:rPr>
          <w:rFonts w:hint="eastAsia"/>
        </w:rPr>
        <w:t>高进入壁垒+低定价能力 往往导致 高退出壁垒——找不到合适的买价接盘</w:t>
      </w:r>
    </w:p>
    <w:p>
      <w:pPr>
        <w:pStyle w:val="4"/>
        <w:numPr>
          <w:ilvl w:val="0"/>
          <w:numId w:val="78"/>
        </w:numPr>
        <w:ind w:firstLineChars="0"/>
      </w:pPr>
      <w:r>
        <w:rPr>
          <w:rFonts w:hint="eastAsia"/>
        </w:rPr>
        <w:t>高</w:t>
      </w:r>
      <w:r>
        <w:t xml:space="preserve">退出壁垒往往导致行业产能过剩overcapacity </w:t>
      </w:r>
    </w:p>
    <w:p>
      <w:pPr>
        <w:pStyle w:val="6"/>
      </w:pPr>
      <w:r>
        <w:rPr>
          <w:rStyle w:val="19"/>
          <w:b/>
        </w:rPr>
        <w:t>Market</w:t>
      </w:r>
      <w:r>
        <w:rPr>
          <w:b w:val="0"/>
        </w:rPr>
        <w:t xml:space="preserve"> </w:t>
      </w:r>
      <w:r>
        <w:t>share stability市场份额稳定性</w:t>
      </w:r>
    </w:p>
    <w:p>
      <w:pPr>
        <w:pStyle w:val="4"/>
        <w:numPr>
          <w:ilvl w:val="0"/>
          <w:numId w:val="79"/>
        </w:numPr>
        <w:ind w:firstLineChars="0"/>
      </w:pPr>
      <w:r>
        <w:rPr>
          <w:rFonts w:hint="eastAsia"/>
        </w:rPr>
        <w:t>市场份额的稳定性由行业内的竞争程度决定，一般市场份额越稳定的行业，内部竞争越弱；反之越强。</w:t>
      </w:r>
    </w:p>
    <w:p>
      <w:pPr>
        <w:pStyle w:val="4"/>
        <w:numPr>
          <w:ilvl w:val="0"/>
          <w:numId w:val="79"/>
        </w:numPr>
        <w:ind w:firstLineChars="0"/>
      </w:pPr>
      <w:r>
        <w:rPr>
          <w:rFonts w:hint="eastAsia"/>
        </w:rPr>
        <w:t>竞争程度会影响企业的定价权。</w:t>
      </w:r>
    </w:p>
    <w:p>
      <w:pPr>
        <w:pStyle w:val="6"/>
      </w:pPr>
      <w:r>
        <w:rPr>
          <w:rFonts w:hint="eastAsia"/>
        </w:rPr>
        <w:t>Industry concentration</w:t>
      </w:r>
    </w:p>
    <w:p>
      <w:pPr>
        <w:pStyle w:val="4"/>
        <w:numPr>
          <w:ilvl w:val="0"/>
          <w:numId w:val="80"/>
        </w:numPr>
        <w:ind w:firstLineChars="0"/>
      </w:pPr>
      <w:r>
        <w:rPr>
          <w:rFonts w:hint="eastAsia"/>
        </w:rPr>
        <w:t>集中度低的行业（fragmental</w:t>
      </w:r>
      <w:r>
        <w:t xml:space="preserve"> </w:t>
      </w:r>
      <w:r>
        <w:rPr>
          <w:rFonts w:hint="eastAsia"/>
        </w:rPr>
        <w:t>industries）的价格竞争趋向激烈；</w:t>
      </w:r>
    </w:p>
    <w:p>
      <w:pPr>
        <w:pStyle w:val="4"/>
        <w:numPr>
          <w:ilvl w:val="0"/>
          <w:numId w:val="80"/>
        </w:numPr>
        <w:ind w:firstLineChars="0"/>
      </w:pPr>
      <w:r>
        <w:t>但concentrated industries</w:t>
      </w:r>
      <w:r>
        <w:rPr>
          <w:rFonts w:hint="eastAsia"/>
        </w:rPr>
        <w:t>并不保障pricing powe</w:t>
      </w:r>
      <w:r>
        <w:t>r----50%对</w:t>
      </w:r>
      <w:r>
        <w:rPr>
          <w:rFonts w:hint="eastAsia"/>
        </w:rPr>
        <w:t>5</w:t>
      </w:r>
      <w:r>
        <w:t>0%，两者博弈</w:t>
      </w:r>
    </w:p>
    <w:p>
      <w:pPr>
        <w:pStyle w:val="4"/>
        <w:numPr>
          <w:ilvl w:val="1"/>
          <w:numId w:val="80"/>
        </w:numPr>
        <w:ind w:firstLineChars="0"/>
      </w:pPr>
      <w:r>
        <w:rPr>
          <w:rFonts w:hint="eastAsia"/>
        </w:rPr>
        <w:t>也就是高集中行业会避免价格竞争</w:t>
      </w:r>
    </w:p>
    <w:p>
      <w:pPr>
        <w:pStyle w:val="4"/>
        <w:numPr>
          <w:ilvl w:val="1"/>
          <w:numId w:val="80"/>
        </w:numPr>
        <w:ind w:firstLineChars="0"/>
      </w:pPr>
      <w:r>
        <w:t>所以Relative market shares 比absolute market shares对定价影响更大</w:t>
      </w:r>
    </w:p>
    <w:p>
      <w:pPr>
        <w:pStyle w:val="6"/>
      </w:pPr>
      <w:r>
        <w:rPr>
          <w:rFonts w:hint="eastAsia"/>
        </w:rPr>
        <w:t>Industry capacity</w:t>
      </w:r>
    </w:p>
    <w:p>
      <w:pPr>
        <w:pStyle w:val="4"/>
        <w:numPr>
          <w:ilvl w:val="0"/>
          <w:numId w:val="81"/>
        </w:numPr>
        <w:ind w:firstLineChars="0"/>
      </w:pPr>
      <w:r>
        <w:t>Under-capacity产能不足，更有定价能力</w:t>
      </w:r>
    </w:p>
    <w:p>
      <w:pPr>
        <w:pStyle w:val="6"/>
      </w:pPr>
      <w:r>
        <w:t>行业周期</w:t>
      </w:r>
    </w:p>
    <w:p>
      <w:pPr>
        <w:pStyle w:val="4"/>
        <w:numPr>
          <w:ilvl w:val="0"/>
          <w:numId w:val="81"/>
        </w:numPr>
        <w:ind w:firstLineChars="0"/>
      </w:pPr>
      <w:r>
        <w:rPr>
          <w:rFonts w:hint="eastAsia"/>
        </w:rPr>
        <w:t>大致会经历五个时期：初创期（embryonic</w:t>
      </w:r>
      <w:r>
        <w:t xml:space="preserve"> </w:t>
      </w:r>
      <w:r>
        <w:rPr>
          <w:rFonts w:hint="eastAsia"/>
        </w:rPr>
        <w:t>stage）、增长期（growth</w:t>
      </w:r>
      <w:r>
        <w:t xml:space="preserve"> </w:t>
      </w:r>
      <w:r>
        <w:rPr>
          <w:rFonts w:hint="eastAsia"/>
        </w:rPr>
        <w:t>stage）、震荡期（shakeout</w:t>
      </w:r>
      <w:r>
        <w:t xml:space="preserve"> </w:t>
      </w:r>
      <w:r>
        <w:rPr>
          <w:rFonts w:hint="eastAsia"/>
        </w:rPr>
        <w:t>stage）、成熟期（mature</w:t>
      </w:r>
      <w:r>
        <w:t xml:space="preserve"> </w:t>
      </w:r>
      <w:r>
        <w:rPr>
          <w:rFonts w:hint="eastAsia"/>
        </w:rPr>
        <w:t>stage）和下降期（decline stage）。</w:t>
      </w:r>
    </w:p>
    <w:p>
      <w:pPr>
        <w:pStyle w:val="4"/>
        <w:numPr>
          <w:ilvl w:val="1"/>
          <w:numId w:val="81"/>
        </w:numPr>
        <w:ind w:firstLineChars="0"/>
      </w:pPr>
      <w:r>
        <w:rPr>
          <w:rFonts w:hint="eastAsia"/>
        </w:rPr>
        <w:t>价格高的时候：embryonic</w:t>
      </w:r>
      <w:r>
        <w:t xml:space="preserve"> </w:t>
      </w:r>
      <w:r>
        <w:rPr>
          <w:rFonts w:hint="eastAsia"/>
        </w:rPr>
        <w:t>stage---不是mature；</w:t>
      </w:r>
    </w:p>
    <w:p>
      <w:pPr>
        <w:pStyle w:val="4"/>
        <w:numPr>
          <w:ilvl w:val="1"/>
          <w:numId w:val="81"/>
        </w:numPr>
        <w:ind w:firstLineChars="0"/>
      </w:pPr>
      <w:r>
        <w:rPr>
          <w:rFonts w:hint="eastAsia"/>
        </w:rPr>
        <w:t>Growth阶段不太会发生价格战，但可能存在正常的价格下降</w:t>
      </w:r>
    </w:p>
    <w:p>
      <w:pPr>
        <w:pStyle w:val="4"/>
        <w:numPr>
          <w:ilvl w:val="1"/>
          <w:numId w:val="81"/>
        </w:numPr>
        <w:ind w:firstLineChars="0"/>
      </w:pPr>
      <w:r>
        <w:drawing>
          <wp:inline distT="0" distB="0" distL="0" distR="0">
            <wp:extent cx="3425825" cy="1962150"/>
            <wp:effectExtent l="0" t="0" r="3175" b="0"/>
            <wp:docPr id="10" name="图片 10" descr="C:\Users\YYS\AppData\Local\Temp\tianruoocr\截图_20230128224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YS\AppData\Local\Temp\tianruoocr\截图_202301282243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45862" cy="1973773"/>
                    </a:xfrm>
                    <a:prstGeom prst="rect">
                      <a:avLst/>
                    </a:prstGeom>
                    <a:noFill/>
                    <a:ln>
                      <a:noFill/>
                    </a:ln>
                  </pic:spPr>
                </pic:pic>
              </a:graphicData>
            </a:graphic>
          </wp:inline>
        </w:drawing>
      </w:r>
    </w:p>
    <w:p>
      <w:pPr>
        <w:pStyle w:val="4"/>
        <w:numPr>
          <w:ilvl w:val="2"/>
          <w:numId w:val="81"/>
        </w:numPr>
        <w:ind w:firstLineChars="0"/>
      </w:pPr>
      <w:r>
        <w:rPr>
          <w:rFonts w:hint="eastAsia"/>
        </w:rPr>
        <w:t>坐标轴：需求，时间（不是发展stage）</w:t>
      </w:r>
    </w:p>
    <w:p>
      <w:pPr>
        <w:pStyle w:val="5"/>
        <w:numPr>
          <w:numId w:val="77"/>
        </w:numPr>
      </w:pPr>
      <w:r>
        <w:rPr>
          <w:rFonts w:hint="eastAsia"/>
          <w:lang w:val="en-US" w:eastAsia="zh-CN"/>
        </w:rPr>
        <w:t>定价</w:t>
      </w:r>
      <w:r>
        <w:t>策略</w:t>
      </w:r>
    </w:p>
    <w:p>
      <w:pPr>
        <w:pStyle w:val="4"/>
        <w:numPr>
          <w:ilvl w:val="0"/>
          <w:numId w:val="81"/>
        </w:numPr>
        <w:ind w:firstLineChars="0"/>
      </w:pPr>
      <w:r>
        <w:rPr>
          <w:rFonts w:hint="eastAsia"/>
        </w:rPr>
        <w:t>Cost</w:t>
      </w:r>
      <w:r>
        <w:t xml:space="preserve"> </w:t>
      </w:r>
      <w:r>
        <w:rPr>
          <w:rFonts w:hint="eastAsia"/>
        </w:rPr>
        <w:t>leadership（low cost）</w:t>
      </w:r>
    </w:p>
    <w:p>
      <w:pPr>
        <w:pStyle w:val="4"/>
        <w:numPr>
          <w:ilvl w:val="1"/>
          <w:numId w:val="81"/>
        </w:numPr>
        <w:ind w:firstLineChars="0"/>
      </w:pPr>
      <w:r>
        <w:rPr>
          <w:rFonts w:hint="eastAsia"/>
        </w:rPr>
        <w:t>——低价低成本，靠量获利</w:t>
      </w:r>
    </w:p>
    <w:p>
      <w:pPr>
        <w:pStyle w:val="4"/>
        <w:numPr>
          <w:ilvl w:val="0"/>
          <w:numId w:val="81"/>
        </w:numPr>
        <w:ind w:firstLineChars="0"/>
      </w:pPr>
      <w:r>
        <w:t>Product or service differentiation</w:t>
      </w:r>
    </w:p>
    <w:p>
      <w:pPr>
        <w:pStyle w:val="4"/>
        <w:numPr>
          <w:ilvl w:val="1"/>
          <w:numId w:val="81"/>
        </w:numPr>
        <w:ind w:firstLineChars="0"/>
      </w:pPr>
      <w:r>
        <w:t>——在type, features, quality, or delivery上获得差异性，得到price premium</w:t>
      </w:r>
    </w:p>
    <w:p>
      <w:pPr>
        <w:pStyle w:val="5"/>
        <w:numPr>
          <w:ilvl w:val="0"/>
          <w:numId w:val="77"/>
        </w:numPr>
        <w:rPr>
          <w:rFonts w:hint="default"/>
          <w:lang w:val="en-US" w:eastAsia="zh-CN"/>
        </w:rPr>
      </w:pPr>
      <w:r>
        <w:rPr>
          <w:rFonts w:hint="default"/>
          <w:lang w:val="en-US" w:eastAsia="zh-CN"/>
        </w:rPr>
        <w:t>自上而下Top-down analysis</w:t>
      </w:r>
    </w:p>
    <w:p>
      <w:pPr>
        <w:rPr>
          <w:rFonts w:hint="eastAsia"/>
          <w:lang w:val="en-US" w:eastAsia="zh-CN"/>
        </w:rPr>
      </w:pPr>
      <w:r>
        <w:rPr>
          <w:rFonts w:hint="default"/>
          <w:lang w:val="en-US" w:eastAsia="zh-CN"/>
        </w:rPr>
        <w:t>表示为市场规模和一家公司的市场份额</w:t>
      </w:r>
      <w:r>
        <w:rPr>
          <w:rFonts w:hint="eastAsia"/>
          <w:lang w:val="en-US" w:eastAsia="zh-CN"/>
        </w:rPr>
        <w:t>的比例</w:t>
      </w:r>
    </w:p>
    <w:p>
      <w:pPr>
        <w:pStyle w:val="3"/>
        <w:bidi w:val="0"/>
      </w:pPr>
      <w:r>
        <w:rPr>
          <w:rFonts w:hint="eastAsia"/>
          <w:lang w:val="en-US" w:eastAsia="zh-CN"/>
        </w:rPr>
        <w:t>运营盈利和营运资本分析</w:t>
      </w:r>
    </w:p>
    <w:p>
      <w:pPr>
        <w:pStyle w:val="5"/>
        <w:numPr>
          <w:numId w:val="82"/>
        </w:numPr>
        <w:bidi w:val="0"/>
        <w:rPr>
          <w:rFonts w:hint="default"/>
          <w:lang w:val="en-US" w:eastAsia="zh-CN"/>
        </w:rPr>
      </w:pPr>
      <w:r>
        <w:rPr>
          <w:rFonts w:hint="eastAsia"/>
          <w:lang w:val="en-US" w:eastAsia="zh-CN"/>
        </w:rPr>
        <w:t>Operating Cost</w:t>
      </w:r>
    </w:p>
    <w:p>
      <w:pPr>
        <w:rPr>
          <w:rFonts w:hint="eastAsia"/>
          <w:lang w:val="en-US" w:eastAsia="zh-CN"/>
        </w:rPr>
      </w:pPr>
      <w:r>
        <w:rPr>
          <w:rFonts w:hint="eastAsia"/>
          <w:lang w:val="en-US" w:eastAsia="zh-CN"/>
        </w:rPr>
        <w:t>三种分类方式：是否可变成本；自然属性；作用</w:t>
      </w:r>
    </w:p>
    <w:p>
      <w:pPr>
        <w:ind w:firstLine="420" w:firstLineChars="0"/>
        <w:rPr>
          <w:rFonts w:hint="default"/>
          <w:lang w:val="en-US" w:eastAsia="zh-CN"/>
        </w:rPr>
      </w:pPr>
      <w:r>
        <w:rPr>
          <w:rFonts w:hint="eastAsia"/>
          <w:lang w:val="en-US" w:eastAsia="zh-CN"/>
        </w:rPr>
        <w:t>分类方式是并行的</w:t>
      </w:r>
    </w:p>
    <w:p>
      <w:r>
        <w:drawing>
          <wp:inline distT="0" distB="0" distL="114300" distR="114300">
            <wp:extent cx="4777105" cy="1943100"/>
            <wp:effectExtent l="0" t="0" r="444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4777105" cy="1943100"/>
                    </a:xfrm>
                    <a:prstGeom prst="rect">
                      <a:avLst/>
                    </a:prstGeom>
                    <a:noFill/>
                    <a:ln>
                      <a:noFill/>
                    </a:ln>
                  </pic:spPr>
                </pic:pic>
              </a:graphicData>
            </a:graphic>
          </wp:inline>
        </w:drawing>
      </w:r>
    </w:p>
    <w:p>
      <w:pPr>
        <w:pStyle w:val="5"/>
        <w:numPr>
          <w:ilvl w:val="0"/>
          <w:numId w:val="82"/>
        </w:numPr>
        <w:bidi w:val="0"/>
        <w:rPr>
          <w:rFonts w:hint="default" w:eastAsia="等线"/>
          <w:lang w:val="en-US" w:eastAsia="zh-CN"/>
        </w:rPr>
      </w:pPr>
      <w:r>
        <w:rPr>
          <w:rFonts w:hint="eastAsia"/>
          <w:lang w:val="en-US" w:eastAsia="zh-CN"/>
        </w:rPr>
        <w:t>Operating Profit——用可变成本表示</w:t>
      </w:r>
    </w:p>
    <w:p>
      <w:r>
        <w:drawing>
          <wp:inline distT="0" distB="0" distL="114300" distR="114300">
            <wp:extent cx="3098165" cy="356235"/>
            <wp:effectExtent l="0" t="0" r="6985" b="571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3098165" cy="356235"/>
                    </a:xfrm>
                    <a:prstGeom prst="rect">
                      <a:avLst/>
                    </a:prstGeom>
                    <a:noFill/>
                    <a:ln>
                      <a:noFill/>
                    </a:ln>
                  </pic:spPr>
                </pic:pic>
              </a:graphicData>
            </a:graphic>
          </wp:inline>
        </w:drawing>
      </w:r>
    </w:p>
    <w:p>
      <w:pPr>
        <w:rPr>
          <w:rFonts w:hint="default" w:eastAsia="等线"/>
          <w:lang w:val="en-US" w:eastAsia="zh-CN"/>
        </w:rPr>
      </w:pPr>
      <w:r>
        <w:rPr>
          <w:rFonts w:hint="eastAsia"/>
          <w:lang w:val="en-US" w:eastAsia="zh-CN"/>
        </w:rPr>
        <w:t>其中价格P-可变成本V=</w:t>
      </w:r>
      <w:r>
        <w:rPr>
          <w:rFonts w:hint="eastAsia"/>
          <w:b/>
          <w:bCs/>
          <w:lang w:val="en-US" w:eastAsia="zh-CN"/>
        </w:rPr>
        <w:t>Contribution margin</w:t>
      </w:r>
      <w:r>
        <w:rPr>
          <w:rFonts w:hint="eastAsia"/>
          <w:b/>
          <w:bCs/>
          <w:color w:val="7030A0"/>
          <w:lang w:val="en-US" w:eastAsia="zh-CN"/>
        </w:rPr>
        <w:t>【记住名词】</w:t>
      </w:r>
    </w:p>
    <w:p>
      <w:pPr>
        <w:numPr>
          <w:ilvl w:val="0"/>
          <w:numId w:val="83"/>
        </w:numPr>
        <w:rPr>
          <w:b/>
          <w:bCs/>
        </w:rPr>
      </w:pPr>
      <w:r>
        <w:rPr>
          <w:rFonts w:hint="eastAsia"/>
          <w:b/>
          <w:bCs/>
        </w:rPr>
        <w:t>Degree of operating leverage（DOL）</w:t>
      </w:r>
    </w:p>
    <w:p>
      <w:pPr>
        <w:rPr>
          <w:rFonts w:hint="eastAsia"/>
          <w:b/>
          <w:bCs/>
        </w:rPr>
      </w:pPr>
      <w:r>
        <mc:AlternateContent>
          <mc:Choice Requires="wps">
            <w:drawing>
              <wp:anchor distT="0" distB="0" distL="114300" distR="114300" simplePos="0" relativeHeight="251659264" behindDoc="0" locked="0" layoutInCell="1" allowOverlap="1">
                <wp:simplePos x="0" y="0"/>
                <wp:positionH relativeFrom="column">
                  <wp:posOffset>2319020</wp:posOffset>
                </wp:positionH>
                <wp:positionV relativeFrom="paragraph">
                  <wp:posOffset>278765</wp:posOffset>
                </wp:positionV>
                <wp:extent cx="1031240" cy="369570"/>
                <wp:effectExtent l="6350" t="6350" r="10160" b="14605"/>
                <wp:wrapNone/>
                <wp:docPr id="134" name="矩形 134"/>
                <wp:cNvGraphicFramePr/>
                <a:graphic xmlns:a="http://schemas.openxmlformats.org/drawingml/2006/main">
                  <a:graphicData uri="http://schemas.microsoft.com/office/word/2010/wordprocessingShape">
                    <wps:wsp>
                      <wps:cNvSpPr/>
                      <wps:spPr>
                        <a:xfrm>
                          <a:off x="3462020" y="2639695"/>
                          <a:ext cx="1031240" cy="369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6pt;margin-top:21.95pt;height:29.1pt;width:81.2pt;z-index:251659264;v-text-anchor:middle;mso-width-relative:page;mso-height-relative:page;" filled="f" stroked="t" coordsize="21600,21600" o:gfxdata="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&#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l0bQ71wAAAAoBAAAPAAAAAAAAAAEAIAAAACIAAABk&#10;cnMvZG93bnJldi54bWxQSwECFAAUAAAACACHTuJAmGz7e3kCAADbBAAADgAAAAAAAAABACAAAAAm&#10;AQAAZHJzL2Uyb0RvYy54bWxQSwUGAAAAAAYABgBZAQAAEQYAAAAA&#10;">
                <v:fill on="f" focussize="0,0"/>
                <v:stroke weight="1pt" color="#FF0000 [3204]" miterlimit="8" joinstyle="miter"/>
                <v:imagedata o:title=""/>
                <o:lock v:ext="edit" aspectratio="f"/>
              </v:rect>
            </w:pict>
          </mc:Fallback>
        </mc:AlternateContent>
      </w:r>
      <w:r>
        <w:drawing>
          <wp:inline distT="0" distB="0" distL="114300" distR="114300">
            <wp:extent cx="5168265" cy="591185"/>
            <wp:effectExtent l="0" t="0" r="3810" b="8890"/>
            <wp:docPr id="81" name="图片 81" descr="截图_2023012518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截图_20230125181656"/>
                    <pic:cNvPicPr>
                      <a:picLocks noChangeAspect="1"/>
                    </pic:cNvPicPr>
                  </pic:nvPicPr>
                  <pic:blipFill>
                    <a:blip r:embed="rId17"/>
                    <a:stretch>
                      <a:fillRect/>
                    </a:stretch>
                  </pic:blipFill>
                  <pic:spPr>
                    <a:xfrm>
                      <a:off x="0" y="0"/>
                      <a:ext cx="5168265" cy="591185"/>
                    </a:xfrm>
                    <a:prstGeom prst="rect">
                      <a:avLst/>
                    </a:prstGeom>
                  </pic:spPr>
                </pic:pic>
              </a:graphicData>
            </a:graphic>
          </wp:inline>
        </w:drawing>
      </w:r>
    </w:p>
    <w:p>
      <w:pPr>
        <w:rPr>
          <w:rFonts w:hint="eastAsia"/>
          <w:b/>
          <w:bCs/>
        </w:rPr>
      </w:pPr>
      <w:r>
        <w:rPr>
          <w:rFonts w:hint="eastAsia"/>
          <w:b/>
          <w:bCs/>
        </w:rPr>
        <w:t>总盈亏平衡NI=0，运营盈亏平衡Operating income=0【直接算不要记下面的公式】</w:t>
      </w:r>
    </w:p>
    <w:p>
      <w:pPr>
        <w:rPr>
          <w:rFonts w:hint="eastAsia"/>
          <w:b/>
          <w:bCs/>
        </w:rPr>
      </w:pPr>
    </w:p>
    <w:p>
      <w:pPr>
        <w:pStyle w:val="5"/>
        <w:numPr>
          <w:ilvl w:val="0"/>
          <w:numId w:val="82"/>
        </w:numPr>
        <w:bidi w:val="0"/>
        <w:rPr>
          <w:rFonts w:hint="default"/>
          <w:lang w:val="en-US" w:eastAsia="zh-CN"/>
        </w:rPr>
      </w:pPr>
      <w:r>
        <w:rPr>
          <w:rFonts w:hint="eastAsia"/>
          <w:lang w:val="en-US" w:eastAsia="zh-CN"/>
        </w:rPr>
        <w:t>Operating Profit——用财报分类方式表示</w:t>
      </w:r>
    </w:p>
    <w:p>
      <w:r>
        <w:drawing>
          <wp:inline distT="0" distB="0" distL="114300" distR="114300">
            <wp:extent cx="4834255" cy="357632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rcRect t="2476"/>
                    <a:stretch>
                      <a:fillRect/>
                    </a:stretch>
                  </pic:blipFill>
                  <pic:spPr>
                    <a:xfrm>
                      <a:off x="0" y="0"/>
                      <a:ext cx="4834255" cy="3576320"/>
                    </a:xfrm>
                    <a:prstGeom prst="rect">
                      <a:avLst/>
                    </a:prstGeom>
                    <a:noFill/>
                    <a:ln>
                      <a:noFill/>
                    </a:ln>
                  </pic:spPr>
                </pic:pic>
              </a:graphicData>
            </a:graphic>
          </wp:inline>
        </w:drawing>
      </w:r>
    </w:p>
    <w:p>
      <w:pPr>
        <w:pStyle w:val="5"/>
        <w:numPr>
          <w:ilvl w:val="0"/>
          <w:numId w:val="82"/>
        </w:numPr>
        <w:bidi w:val="0"/>
        <w:rPr>
          <w:rFonts w:hint="default"/>
          <w:lang w:val="en-US" w:eastAsia="zh-CN"/>
        </w:rPr>
      </w:pPr>
      <w:r>
        <w:rPr>
          <w:rFonts w:hint="eastAsia"/>
          <w:lang w:val="en-US" w:eastAsia="zh-CN"/>
        </w:rPr>
        <w:t>Working capital ——同财报</w:t>
      </w:r>
    </w:p>
    <w:p>
      <w:pPr>
        <w:pStyle w:val="6"/>
        <w:numPr>
          <w:numId w:val="0"/>
        </w:numPr>
        <w:ind w:left="227" w:leftChars="0"/>
      </w:pPr>
      <w:r>
        <w:t>Working Capital Turnover = revenue / average working capita</w:t>
      </w:r>
      <w:r>
        <w:rPr>
          <w:rFonts w:hint="eastAsia"/>
        </w:rPr>
        <w:t>l</w:t>
      </w:r>
    </w:p>
    <w:p>
      <w:pPr>
        <w:jc w:val="left"/>
      </w:pPr>
      <w:r>
        <w:rPr>
          <w:rFonts w:hint="eastAsia"/>
        </w:rPr>
        <w:t xml:space="preserve">． </w:t>
      </w:r>
      <w:r>
        <w:t>Working</w:t>
      </w:r>
      <w:r>
        <w:rPr>
          <w:rFonts w:hint="eastAsia"/>
        </w:rPr>
        <w:t xml:space="preserve"> capital = current assets - current liabilities </w:t>
      </w:r>
    </w:p>
    <w:p>
      <w:pPr>
        <w:pStyle w:val="6"/>
        <w:numPr>
          <w:numId w:val="0"/>
        </w:numPr>
        <w:ind w:left="227" w:leftChars="0"/>
      </w:pPr>
      <w:r>
        <w:t>Inventory Turnover =</w:t>
      </w:r>
      <w:r>
        <w:rPr>
          <w:color w:val="FF0000"/>
        </w:rPr>
        <w:t xml:space="preserve"> COGS</w:t>
      </w:r>
      <w:r>
        <w:t xml:space="preserve"> / average inventory </w:t>
      </w:r>
    </w:p>
    <w:p>
      <w:pPr>
        <w:pStyle w:val="6"/>
        <w:numPr>
          <w:numId w:val="0"/>
        </w:numPr>
        <w:ind w:left="1260" w:leftChars="0"/>
      </w:pPr>
      <w:r>
        <w:rPr>
          <w:rFonts w:hint="eastAsia"/>
        </w:rPr>
        <w:t xml:space="preserve">Days of </w:t>
      </w:r>
      <w:r>
        <w:t>inventory</w:t>
      </w:r>
      <w:r>
        <w:rPr>
          <w:rFonts w:hint="eastAsia"/>
        </w:rPr>
        <w:t xml:space="preserve"> on Hand (DOH) ＝ 365 / Inventory Turnover</w:t>
      </w:r>
    </w:p>
    <w:p>
      <w:pPr>
        <w:pStyle w:val="6"/>
        <w:numPr>
          <w:numId w:val="0"/>
        </w:numPr>
        <w:ind w:left="227" w:leftChars="0"/>
      </w:pPr>
      <w:r>
        <w:t>Receivable Turnover =赊销的</w:t>
      </w:r>
      <w:r>
        <w:rPr>
          <w:b/>
        </w:rPr>
        <w:t xml:space="preserve">revenue </w:t>
      </w:r>
      <w:r>
        <w:t>/ average accounts receivable</w:t>
      </w:r>
    </w:p>
    <w:p>
      <w:pPr>
        <w:pStyle w:val="6"/>
        <w:numPr>
          <w:numId w:val="0"/>
        </w:numPr>
        <w:ind w:left="1260" w:leftChars="0"/>
      </w:pPr>
      <w:r>
        <w:t xml:space="preserve">Days of Sales Outstanding (DSO) = 365 / Receivable Turnover </w:t>
      </w:r>
    </w:p>
    <w:p>
      <w:pPr>
        <w:pStyle w:val="6"/>
        <w:numPr>
          <w:numId w:val="0"/>
        </w:numPr>
        <w:ind w:left="227" w:leftChars="0"/>
      </w:pPr>
      <w:r>
        <w:t xml:space="preserve">Payable turnover = 赊购的purchase / average accounts payable </w:t>
      </w:r>
    </w:p>
    <w:p>
      <w:pPr>
        <w:pStyle w:val="6"/>
        <w:numPr>
          <w:numId w:val="0"/>
        </w:numPr>
        <w:ind w:left="1260" w:leftChars="0"/>
      </w:pPr>
      <w:r>
        <w:t>Number of Days of Payable = 365/ Payable Turnover</w:t>
      </w:r>
    </w:p>
    <w:p>
      <w:r>
        <w:t>经营周期：都是越短越好</w:t>
      </w:r>
    </w:p>
    <w:p>
      <w:pPr>
        <w:numPr>
          <w:ilvl w:val="0"/>
          <w:numId w:val="84"/>
        </w:numPr>
      </w:pPr>
      <w:r>
        <w:rPr>
          <w:rFonts w:hint="eastAsia"/>
        </w:rPr>
        <w:t>题目中还是要算，如果sales增加，可能receivable增加也会导致turnover增加</w:t>
      </w:r>
    </w:p>
    <w:p>
      <w:pPr>
        <w:pStyle w:val="4"/>
        <w:numPr>
          <w:ilvl w:val="0"/>
          <w:numId w:val="85"/>
        </w:numPr>
        <w:ind w:firstLineChars="0"/>
      </w:pPr>
      <w:r>
        <w:rPr>
          <w:rFonts w:hint="eastAsia"/>
        </w:rPr>
        <w:t>Operating Cycle=Days of Inventory on Hand（DOH）+Days of Sales Outstanding（DSO）</w:t>
      </w:r>
    </w:p>
    <w:p>
      <w:pPr>
        <w:pStyle w:val="4"/>
        <w:numPr>
          <w:ilvl w:val="0"/>
          <w:numId w:val="85"/>
        </w:numPr>
        <w:ind w:firstLineChars="0"/>
        <w:rPr>
          <w:rFonts w:hint="default"/>
          <w:lang w:val="en-US" w:eastAsia="zh-CN"/>
        </w:rPr>
      </w:pPr>
      <w:r>
        <w:t>Cash Conversion Cycle=DOH+DSO-Number of Days of Payables</w:t>
      </w:r>
    </w:p>
    <w:p>
      <w:pPr>
        <w:pStyle w:val="3"/>
        <w:bidi w:val="0"/>
        <w:rPr>
          <w:rFonts w:hint="default"/>
          <w:lang w:val="en-US" w:eastAsia="zh-CN"/>
        </w:rPr>
      </w:pPr>
      <w:r>
        <w:rPr>
          <w:rFonts w:hint="default"/>
          <w:lang w:val="en-US" w:eastAsia="zh-CN"/>
        </w:rPr>
        <w:t>评估资本结构</w:t>
      </w:r>
    </w:p>
    <w:p>
      <w:pPr>
        <w:pStyle w:val="5"/>
        <w:numPr>
          <w:numId w:val="86"/>
        </w:numPr>
        <w:bidi w:val="0"/>
        <w:rPr>
          <w:rFonts w:hint="eastAsia"/>
          <w:lang w:val="en-US" w:eastAsia="zh-CN"/>
        </w:rPr>
      </w:pPr>
      <w:r>
        <w:rPr>
          <w:rFonts w:hint="eastAsia"/>
          <w:lang w:val="en-US" w:eastAsia="zh-CN"/>
        </w:rPr>
        <w:t>资金来源和用途</w:t>
      </w:r>
    </w:p>
    <w:p>
      <w:pPr>
        <w:rPr>
          <w:rFonts w:hint="default"/>
          <w:lang w:val="en-US" w:eastAsia="zh-CN"/>
        </w:rPr>
      </w:pPr>
      <w:r>
        <w:drawing>
          <wp:inline distT="0" distB="0" distL="114300" distR="114300">
            <wp:extent cx="5205730" cy="1981200"/>
            <wp:effectExtent l="0" t="0" r="444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a:stretch>
                      <a:fillRect/>
                    </a:stretch>
                  </pic:blipFill>
                  <pic:spPr>
                    <a:xfrm>
                      <a:off x="0" y="0"/>
                      <a:ext cx="5205730" cy="19812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评估资本回报率——与财报杜邦分析一致</w:t>
      </w:r>
    </w:p>
    <w:p>
      <w:pPr>
        <w:rPr>
          <w:b/>
        </w:rPr>
      </w:pPr>
      <w:r>
        <w:rPr>
          <w:b/>
        </w:rPr>
        <w:t>两部分分解：</w:t>
      </w:r>
    </w:p>
    <w:p>
      <w:pPr>
        <w:pStyle w:val="4"/>
        <w:numPr>
          <w:ilvl w:val="0"/>
          <w:numId w:val="87"/>
        </w:numPr>
        <w:ind w:firstLineChars="0"/>
      </w:pPr>
      <w:r>
        <w:t>ROE=ROA x Financial Leverage Ratio</w:t>
      </w:r>
    </w:p>
    <w:p>
      <w:pPr>
        <w:rPr>
          <w:b/>
        </w:rPr>
      </w:pPr>
      <w:r>
        <w:rPr>
          <w:rFonts w:hint="eastAsia"/>
          <w:b/>
        </w:rPr>
        <w:t>三部分分解：</w:t>
      </w:r>
    </w:p>
    <w:p>
      <w:r>
        <w:t>销售净利率（赚钱能力</w:t>
      </w:r>
      <w:r>
        <w:rPr>
          <w:rFonts w:hint="eastAsia"/>
        </w:rPr>
        <w:t>-销售总监</w:t>
      </w:r>
      <w:r>
        <w:t>）x资产周转率（效率</w:t>
      </w:r>
      <w:r>
        <w:rPr>
          <w:rFonts w:hint="eastAsia"/>
        </w:rPr>
        <w:t>-CEO</w:t>
      </w:r>
      <w:r>
        <w:t>）x财务杠杆（CFO）</w:t>
      </w:r>
    </w:p>
    <w:p>
      <w:pPr>
        <w:pStyle w:val="4"/>
        <w:numPr>
          <w:ilvl w:val="0"/>
          <w:numId w:val="88"/>
        </w:numPr>
        <w:ind w:firstLineChars="0"/>
        <w:rPr>
          <w:b/>
        </w:rPr>
      </w:pPr>
      <w:r>
        <mc:AlternateContent>
          <mc:Choice Requires="wps">
            <w:drawing>
              <wp:anchor distT="0" distB="0" distL="114300" distR="114300" simplePos="0" relativeHeight="251661312" behindDoc="0" locked="0" layoutInCell="1" allowOverlap="1">
                <wp:simplePos x="0" y="0"/>
                <wp:positionH relativeFrom="column">
                  <wp:posOffset>1197610</wp:posOffset>
                </wp:positionH>
                <wp:positionV relativeFrom="paragraph">
                  <wp:posOffset>54610</wp:posOffset>
                </wp:positionV>
                <wp:extent cx="864870" cy="354330"/>
                <wp:effectExtent l="6350" t="6350" r="14605" b="10795"/>
                <wp:wrapNone/>
                <wp:docPr id="44" name="矩形 44"/>
                <wp:cNvGraphicFramePr/>
                <a:graphic xmlns:a="http://schemas.openxmlformats.org/drawingml/2006/main">
                  <a:graphicData uri="http://schemas.microsoft.com/office/word/2010/wordprocessingShape">
                    <wps:wsp>
                      <wps:cNvSpPr/>
                      <wps:spPr>
                        <a:xfrm>
                          <a:off x="0" y="0"/>
                          <a:ext cx="864870" cy="3543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3pt;margin-top:4.3pt;height:27.9pt;width:68.1pt;z-index:251661312;v-text-anchor:middle;mso-width-relative:page;mso-height-relative:page;" filled="f" stroked="t" coordsize="21600,21600" o:gfxdata="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vkLk12AAAAAgBAAAPAAAAAAAAAAEAIAAAACIAAABkcnMvZG93bnJldi54&#10;bWxQSwECFAAUAAAACACHTuJA6cEsaGwCAADMBAAADgAAAAAAAAABACAAAAAnAQAAZHJzL2Uyb0Rv&#10;Yy54bWxQSwUGAAAAAAYABgBZAQAABQYAAAAA&#10;">
                <v:fill on="f" focussize="0,0"/>
                <v:stroke weight="1pt" color="#70AD47 [3209]" miterlimit="8" joinstyle="miter"/>
                <v:imagedata o:title=""/>
                <o:lock v:ext="edit" aspectratio="f"/>
              </v:rect>
            </w:pict>
          </mc:Fallback>
        </mc:AlternateContent>
      </w:r>
      <w:r>
        <w:drawing>
          <wp:inline distT="0" distB="0" distL="0" distR="0">
            <wp:extent cx="3179445" cy="854710"/>
            <wp:effectExtent l="0" t="0" r="1905" b="2540"/>
            <wp:docPr id="22" name="图片 22" descr="C:\Users\YYS\AppData\Local\Temp\tianruoocr\截图_2023011119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YYS\AppData\Local\Temp\tianruoocr\截图_202301111920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25234" cy="867429"/>
                    </a:xfrm>
                    <a:prstGeom prst="rect">
                      <a:avLst/>
                    </a:prstGeom>
                    <a:noFill/>
                    <a:ln>
                      <a:noFill/>
                    </a:ln>
                  </pic:spPr>
                </pic:pic>
              </a:graphicData>
            </a:graphic>
          </wp:inline>
        </w:drawing>
      </w:r>
    </w:p>
    <w:p>
      <w:pPr>
        <w:rPr>
          <w:b/>
        </w:rPr>
      </w:pPr>
      <w:r>
        <w:rPr>
          <w:rFonts w:hint="eastAsia"/>
          <w:b/>
        </w:rPr>
        <w:t>五部分分解：</w:t>
      </w:r>
    </w:p>
    <w:p>
      <w:r>
        <w:t>考虑政府收税情况，</w:t>
      </w:r>
    </w:p>
    <w:p>
      <w:pPr>
        <w:pStyle w:val="4"/>
        <w:numPr>
          <w:ilvl w:val="0"/>
          <w:numId w:val="88"/>
        </w:numPr>
        <w:ind w:firstLineChars="0"/>
        <w:rPr>
          <w:color w:val="FF0000"/>
        </w:rPr>
      </w:pPr>
      <w:r>
        <w:t>所得税x</w:t>
      </w:r>
      <w:r>
        <w:rPr>
          <w:color w:val="FF0000"/>
        </w:rPr>
        <w:t>利息情况（融资成本）</w:t>
      </w:r>
      <w:r>
        <w:t>x赚钱x经营效率x</w:t>
      </w:r>
      <w:r>
        <w:rPr>
          <w:rFonts w:hint="eastAsia"/>
          <w:color w:val="FF0000"/>
        </w:rPr>
        <w:t>财务杠杆（CFO）</w:t>
      </w:r>
    </w:p>
    <w:p>
      <w:pPr>
        <w:pStyle w:val="4"/>
        <w:numPr>
          <w:ilvl w:val="0"/>
          <w:numId w:val="89"/>
        </w:numPr>
        <w:ind w:firstLineChars="0"/>
        <w:rPr>
          <w:color w:val="FF0000"/>
        </w:rPr>
      </w:pPr>
      <w:r>
        <w:rPr>
          <w:color w:val="FF0000"/>
        </w:rPr>
        <w:t>有两项CFO会影响</w:t>
      </w:r>
    </w:p>
    <w:p>
      <w:pPr>
        <w:pStyle w:val="4"/>
        <w:numPr>
          <w:ilvl w:val="0"/>
          <w:numId w:val="88"/>
        </w:numPr>
        <w:ind w:firstLineChars="0"/>
      </w:pPr>
      <w:r>
        <mc:AlternateContent>
          <mc:Choice Requires="wps">
            <w:drawing>
              <wp:anchor distT="0" distB="0" distL="114300" distR="114300" simplePos="0" relativeHeight="251660288" behindDoc="0" locked="0" layoutInCell="1" allowOverlap="1">
                <wp:simplePos x="0" y="0"/>
                <wp:positionH relativeFrom="column">
                  <wp:posOffset>1440180</wp:posOffset>
                </wp:positionH>
                <wp:positionV relativeFrom="paragraph">
                  <wp:posOffset>44450</wp:posOffset>
                </wp:positionV>
                <wp:extent cx="324485" cy="320675"/>
                <wp:effectExtent l="6350" t="6350" r="12065" b="6350"/>
                <wp:wrapNone/>
                <wp:docPr id="43" name="矩形 43"/>
                <wp:cNvGraphicFramePr/>
                <a:graphic xmlns:a="http://schemas.openxmlformats.org/drawingml/2006/main">
                  <a:graphicData uri="http://schemas.microsoft.com/office/word/2010/wordprocessingShape">
                    <wps:wsp>
                      <wps:cNvSpPr/>
                      <wps:spPr>
                        <a:xfrm>
                          <a:off x="2583180" y="3990340"/>
                          <a:ext cx="324485" cy="3206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3.4pt;margin-top:3.5pt;height:25.25pt;width:25.55pt;z-index:251660288;v-text-anchor:middle;mso-width-relative:page;mso-height-relative:page;" filled="f" stroked="t" coordsize="21600,21600" o:gfxdata="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O2tcZ2AAAAAgBAAAPAAAAAAAAAAEAIAAAACIA&#10;AABkcnMvZG93bnJldi54bWxQSwECFAAUAAAACACHTuJAN0NdiXsCAADYBAAADgAAAAAAAAABACAA&#10;AAAnAQAAZHJzL2Uyb0RvYy54bWxQSwUGAAAAAAYABgBZAQAAFAYAAAAA&#10;">
                <v:fill on="f" focussize="0,0"/>
                <v:stroke weight="1pt" color="#70AD47 [3209]" miterlimit="8" joinstyle="miter"/>
                <v:imagedata o:title=""/>
                <o:lock v:ext="edit" aspectratio="f"/>
              </v:rect>
            </w:pict>
          </mc:Fallback>
        </mc:AlternateContent>
      </w:r>
      <w:r>
        <w:drawing>
          <wp:inline distT="0" distB="0" distL="0" distR="0">
            <wp:extent cx="3114040" cy="1008380"/>
            <wp:effectExtent l="0" t="0" r="635" b="1270"/>
            <wp:docPr id="7" name="图片 7" descr="C:\Users\YYS\AppData\Local\Temp\tianruoocr\截图_2023011119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YYS\AppData\Local\Temp\tianruoocr\截图_2023011119204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150344" cy="1020198"/>
                    </a:xfrm>
                    <a:prstGeom prst="rect">
                      <a:avLst/>
                    </a:prstGeom>
                    <a:noFill/>
                    <a:ln>
                      <a:noFill/>
                    </a:ln>
                  </pic:spPr>
                </pic:pic>
              </a:graphicData>
            </a:graphic>
          </wp:inline>
        </w:drawing>
      </w:r>
    </w:p>
    <w:p>
      <w:pPr>
        <w:pStyle w:val="4"/>
        <w:numPr>
          <w:ilvl w:val="1"/>
          <w:numId w:val="88"/>
        </w:numPr>
        <w:ind w:firstLineChars="0"/>
      </w:pPr>
      <w:r>
        <w:t>Tax burden越高，税率越低</w:t>
      </w:r>
    </w:p>
    <w:p>
      <w:pPr>
        <w:rPr>
          <w:rFonts w:hint="default"/>
          <w:lang w:val="en-US" w:eastAsia="zh-CN"/>
        </w:rPr>
      </w:pPr>
    </w:p>
    <w:p>
      <w:pPr>
        <w:pStyle w:val="5"/>
        <w:bidi w:val="0"/>
      </w:pPr>
      <w:r>
        <w:rPr>
          <w:rFonts w:hint="eastAsia"/>
          <w:lang w:val="en-US" w:eastAsia="zh-CN"/>
        </w:rPr>
        <w:t>评估敏感性——</w:t>
      </w:r>
      <w:r>
        <w:rPr>
          <w:rFonts w:hint="eastAsia"/>
        </w:rPr>
        <w:t>杠杆系数</w:t>
      </w:r>
    </w:p>
    <w:p>
      <w:pPr>
        <w:numPr>
          <w:ilvl w:val="0"/>
          <w:numId w:val="83"/>
        </w:numPr>
        <w:rPr>
          <w:b/>
          <w:bCs/>
        </w:rPr>
      </w:pPr>
      <w:r>
        <w:rPr>
          <w:rFonts w:hint="eastAsia"/>
          <w:b/>
          <w:bCs/>
        </w:rPr>
        <w:t>Degree of operating leverage（DOL）</w:t>
      </w:r>
    </w:p>
    <w:p>
      <w:pPr>
        <w:ind w:left="210" w:leftChars="100"/>
      </w:pPr>
      <w:r>
        <mc:AlternateContent>
          <mc:Choice Requires="wps">
            <w:drawing>
              <wp:anchor distT="0" distB="0" distL="114300" distR="114300" simplePos="0" relativeHeight="251662336" behindDoc="0" locked="0" layoutInCell="1" allowOverlap="1">
                <wp:simplePos x="0" y="0"/>
                <wp:positionH relativeFrom="column">
                  <wp:posOffset>2319020</wp:posOffset>
                </wp:positionH>
                <wp:positionV relativeFrom="paragraph">
                  <wp:posOffset>278765</wp:posOffset>
                </wp:positionV>
                <wp:extent cx="1031240" cy="369570"/>
                <wp:effectExtent l="6350" t="6350" r="10160" b="14605"/>
                <wp:wrapNone/>
                <wp:docPr id="23" name="矩形 23"/>
                <wp:cNvGraphicFramePr/>
                <a:graphic xmlns:a="http://schemas.openxmlformats.org/drawingml/2006/main">
                  <a:graphicData uri="http://schemas.microsoft.com/office/word/2010/wordprocessingShape">
                    <wps:wsp>
                      <wps:cNvSpPr/>
                      <wps:spPr>
                        <a:xfrm>
                          <a:off x="3462020" y="2639695"/>
                          <a:ext cx="1031240" cy="3695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2.6pt;margin-top:21.95pt;height:29.1pt;width:81.2pt;z-index:251662336;v-text-anchor:middle;mso-width-relative:page;mso-height-relative:page;" filled="f" stroked="t" coordsize="21600,21600" o:gfxdata="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5dG0O9cAAAAKAQAADwAAAAAAAAABACAAAAAiAAAAZHJz&#10;L2Rvd25yZXYueG1sUEsBAhQAFAAAAAgAh07iQFA3gpt3AgAA2QQAAA4AAAAAAAAAAQAgAAAAJgEA&#10;AGRycy9lMm9Eb2MueG1sUEsFBgAAAAAGAAYAWQEAAA8GAAAAAA==&#10;">
                <v:fill on="f" focussize="0,0"/>
                <v:stroke weight="1pt" color="#FF0000 [3204]" miterlimit="8" joinstyle="miter"/>
                <v:imagedata o:title=""/>
                <o:lock v:ext="edit" aspectratio="f"/>
              </v:rect>
            </w:pict>
          </mc:Fallback>
        </mc:AlternateContent>
      </w:r>
      <w:r>
        <w:drawing>
          <wp:inline distT="0" distB="0" distL="114300" distR="114300">
            <wp:extent cx="5168265" cy="591185"/>
            <wp:effectExtent l="0" t="0" r="3810" b="8890"/>
            <wp:docPr id="24" name="图片 24" descr="截图_2023012518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图_20230125181656"/>
                    <pic:cNvPicPr>
                      <a:picLocks noChangeAspect="1"/>
                    </pic:cNvPicPr>
                  </pic:nvPicPr>
                  <pic:blipFill>
                    <a:blip r:embed="rId17"/>
                    <a:stretch>
                      <a:fillRect/>
                    </a:stretch>
                  </pic:blipFill>
                  <pic:spPr>
                    <a:xfrm>
                      <a:off x="0" y="0"/>
                      <a:ext cx="5168265" cy="591185"/>
                    </a:xfrm>
                    <a:prstGeom prst="rect">
                      <a:avLst/>
                    </a:prstGeom>
                  </pic:spPr>
                </pic:pic>
              </a:graphicData>
            </a:graphic>
          </wp:inline>
        </w:drawing>
      </w:r>
    </w:p>
    <w:p>
      <w:pPr>
        <w:numPr>
          <w:ilvl w:val="0"/>
          <w:numId w:val="83"/>
        </w:numPr>
        <w:rPr>
          <w:b/>
          <w:bCs/>
        </w:rPr>
      </w:pPr>
      <w:r>
        <w:rPr>
          <w:rFonts w:hint="eastAsia"/>
          <w:b/>
          <w:bCs/>
        </w:rPr>
        <w:t>Degree of financial leverage（DFL）</w:t>
      </w:r>
    </w:p>
    <w:p>
      <w:pPr>
        <w:ind w:left="210" w:leftChars="100"/>
      </w:pPr>
      <w:r>
        <mc:AlternateContent>
          <mc:Choice Requires="wps">
            <w:drawing>
              <wp:anchor distT="0" distB="0" distL="114300" distR="114300" simplePos="0" relativeHeight="251663360" behindDoc="0" locked="0" layoutInCell="1" allowOverlap="1">
                <wp:simplePos x="0" y="0"/>
                <wp:positionH relativeFrom="column">
                  <wp:posOffset>2442210</wp:posOffset>
                </wp:positionH>
                <wp:positionV relativeFrom="paragraph">
                  <wp:posOffset>342265</wp:posOffset>
                </wp:positionV>
                <wp:extent cx="1325245" cy="412750"/>
                <wp:effectExtent l="6350" t="6350" r="11430" b="9525"/>
                <wp:wrapNone/>
                <wp:docPr id="135" name="矩形 135"/>
                <wp:cNvGraphicFramePr/>
                <a:graphic xmlns:a="http://schemas.openxmlformats.org/drawingml/2006/main">
                  <a:graphicData uri="http://schemas.microsoft.com/office/word/2010/wordprocessingShape">
                    <wps:wsp>
                      <wps:cNvSpPr/>
                      <wps:spPr>
                        <a:xfrm>
                          <a:off x="3585210" y="3693795"/>
                          <a:ext cx="1325245" cy="412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3pt;margin-top:26.95pt;height:32.5pt;width:104.35pt;z-index:251663360;v-text-anchor:middle;mso-width-relative:page;mso-height-relative:page;" filled="f" stroked="t" coordsize="21600,21600" o:gfxdata="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3ux1XXAAAACgEAAA8AAAAAAAAAAQAgAAAAIgAA&#10;AGRycy9kb3ducmV2LnhtbFBLAQIUABQAAAAIAIdO4kA8UHckewIAANsEAAAOAAAAAAAAAAEAIAAA&#10;ACYBAABkcnMvZTJvRG9jLnhtbFBLBQYAAAAABgAGAFkBAAATBgAAAAA=&#10;">
                <v:fill on="f" focussize="0,0"/>
                <v:stroke weight="1pt" color="#FF0000 [3204]" miterlimit="8" joinstyle="miter"/>
                <v:imagedata o:title=""/>
                <o:lock v:ext="edit" aspectratio="f"/>
              </v:rect>
            </w:pict>
          </mc:Fallback>
        </mc:AlternateContent>
      </w:r>
      <w:r>
        <w:rPr>
          <w:rFonts w:hint="eastAsia"/>
        </w:rPr>
        <w:drawing>
          <wp:inline distT="0" distB="0" distL="114300" distR="114300">
            <wp:extent cx="5065395" cy="695960"/>
            <wp:effectExtent l="0" t="0" r="1905" b="8890"/>
            <wp:docPr id="82" name="图片 82" descr="截图_2023012518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截图_20230125181707"/>
                    <pic:cNvPicPr>
                      <a:picLocks noChangeAspect="1"/>
                    </pic:cNvPicPr>
                  </pic:nvPicPr>
                  <pic:blipFill>
                    <a:blip r:embed="rId22"/>
                    <a:stretch>
                      <a:fillRect/>
                    </a:stretch>
                  </pic:blipFill>
                  <pic:spPr>
                    <a:xfrm>
                      <a:off x="0" y="0"/>
                      <a:ext cx="5065395" cy="695960"/>
                    </a:xfrm>
                    <a:prstGeom prst="rect">
                      <a:avLst/>
                    </a:prstGeom>
                  </pic:spPr>
                </pic:pic>
              </a:graphicData>
            </a:graphic>
          </wp:inline>
        </w:drawing>
      </w:r>
    </w:p>
    <w:p>
      <w:pPr>
        <w:numPr>
          <w:ilvl w:val="0"/>
          <w:numId w:val="83"/>
        </w:numPr>
        <w:rPr>
          <w:b/>
          <w:bCs/>
        </w:rPr>
      </w:pPr>
      <w:r>
        <w:rPr>
          <w:rFonts w:hint="eastAsia"/>
          <w:b/>
          <w:bCs/>
        </w:rPr>
        <w:t>Degree of total leverage（DTL）</w:t>
      </w:r>
    </w:p>
    <w:p>
      <w:pPr>
        <w:rPr>
          <w:rFonts w:hint="eastAsia"/>
        </w:rPr>
      </w:pPr>
      <w:r>
        <w:rPr>
          <w:rFonts w:hint="eastAsia"/>
        </w:rPr>
        <w:drawing>
          <wp:inline distT="0" distB="0" distL="114300" distR="114300">
            <wp:extent cx="4690745" cy="1026160"/>
            <wp:effectExtent l="0" t="0" r="5080" b="2540"/>
            <wp:docPr id="83" name="图片 83" descr="截图_2023012518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截图_20230125181849"/>
                    <pic:cNvPicPr>
                      <a:picLocks noChangeAspect="1"/>
                    </pic:cNvPicPr>
                  </pic:nvPicPr>
                  <pic:blipFill>
                    <a:blip r:embed="rId23"/>
                    <a:stretch>
                      <a:fillRect/>
                    </a:stretch>
                  </pic:blipFill>
                  <pic:spPr>
                    <a:xfrm>
                      <a:off x="0" y="0"/>
                      <a:ext cx="4690745" cy="1026160"/>
                    </a:xfrm>
                    <a:prstGeom prst="rect">
                      <a:avLst/>
                    </a:prstGeom>
                  </pic:spPr>
                </pic:pic>
              </a:graphicData>
            </a:graphic>
          </wp:inline>
        </w:drawing>
      </w:r>
    </w:p>
    <w:p>
      <w:pPr>
        <w:pStyle w:val="2"/>
        <w:spacing w:before="93" w:after="93"/>
        <w:rPr>
          <w:rFonts w:hint="default"/>
          <w:lang w:val="en-US"/>
        </w:rPr>
      </w:pPr>
      <w:r>
        <w:t>Chapter</w:t>
      </w:r>
      <w:r>
        <w:rPr>
          <w:rFonts w:hint="eastAsia"/>
          <w:lang w:val="en-US" w:eastAsia="zh-CN"/>
        </w:rPr>
        <w:t xml:space="preserve"> 8  公司预测</w:t>
      </w:r>
    </w:p>
    <w:p>
      <w:pPr>
        <w:pStyle w:val="3"/>
        <w:numPr>
          <w:ilvl w:val="0"/>
          <w:numId w:val="90"/>
        </w:numPr>
        <w:bidi w:val="0"/>
        <w:rPr>
          <w:rFonts w:hint="default"/>
          <w:lang w:val="en-US" w:eastAsia="zh-CN"/>
        </w:rPr>
      </w:pPr>
      <w:r>
        <w:rPr>
          <w:rFonts w:hint="eastAsia"/>
          <w:lang w:val="en-US" w:eastAsia="zh-CN"/>
        </w:rPr>
        <w:t>方法：</w:t>
      </w:r>
    </w:p>
    <w:p>
      <w:pPr>
        <w:widowControl w:val="0"/>
        <w:numPr>
          <w:ilvl w:val="0"/>
          <w:numId w:val="91"/>
        </w:numPr>
        <w:ind w:left="420" w:leftChars="0" w:hanging="420" w:firstLineChars="0"/>
        <w:jc w:val="both"/>
        <w:rPr>
          <w:rFonts w:hint="default"/>
          <w:lang w:val="en-US" w:eastAsia="zh-CN"/>
        </w:rPr>
      </w:pPr>
      <w:r>
        <w:rPr>
          <w:rFonts w:hint="default"/>
          <w:lang w:val="en-US" w:eastAsia="zh-CN"/>
        </w:rPr>
        <w:t>1.自上而下Top-down analysis：</w:t>
      </w:r>
    </w:p>
    <w:p>
      <w:pPr>
        <w:widowControl w:val="0"/>
        <w:numPr>
          <w:ilvl w:val="1"/>
          <w:numId w:val="91"/>
        </w:numPr>
        <w:ind w:left="840" w:leftChars="0" w:hanging="420" w:firstLineChars="0"/>
        <w:jc w:val="both"/>
        <w:rPr>
          <w:rFonts w:hint="default"/>
          <w:lang w:val="en-US" w:eastAsia="zh-CN"/>
        </w:rPr>
      </w:pPr>
      <w:r>
        <w:rPr>
          <w:rFonts w:hint="default"/>
          <w:lang w:val="en-US" w:eastAsia="zh-CN"/>
        </w:rPr>
        <w:t>从预测宏观变量开始</w:t>
      </w:r>
    </w:p>
    <w:p>
      <w:pPr>
        <w:widowControl w:val="0"/>
        <w:numPr>
          <w:ilvl w:val="1"/>
          <w:numId w:val="91"/>
        </w:numPr>
        <w:ind w:left="840" w:leftChars="0" w:hanging="420" w:firstLineChars="0"/>
        <w:jc w:val="both"/>
        <w:rPr>
          <w:rFonts w:hint="default"/>
          <w:lang w:val="en-US" w:eastAsia="zh-CN"/>
        </w:rPr>
      </w:pPr>
      <w:r>
        <w:rPr>
          <w:rFonts w:hint="default"/>
          <w:lang w:val="en-US" w:eastAsia="zh-CN"/>
        </w:rPr>
        <w:t>1）预测相对于GDP的增速Growth relative to GDP growth</w:t>
      </w:r>
    </w:p>
    <w:p>
      <w:pPr>
        <w:widowControl w:val="0"/>
        <w:numPr>
          <w:ilvl w:val="1"/>
          <w:numId w:val="91"/>
        </w:numPr>
        <w:ind w:left="840" w:leftChars="0" w:hanging="420" w:firstLineChars="0"/>
        <w:jc w:val="both"/>
        <w:rPr>
          <w:rFonts w:hint="default"/>
          <w:lang w:val="en-US" w:eastAsia="zh-CN"/>
        </w:rPr>
      </w:pPr>
      <w:r>
        <w:rPr>
          <w:rFonts w:hint="default"/>
          <w:lang w:val="en-US" w:eastAsia="zh-CN"/>
        </w:rPr>
        <w:t>2）预测相对于市场增长和市场份额的增速Market growth and market share</w:t>
      </w:r>
    </w:p>
    <w:p>
      <w:pPr>
        <w:widowControl w:val="0"/>
        <w:numPr>
          <w:ilvl w:val="0"/>
          <w:numId w:val="91"/>
        </w:numPr>
        <w:ind w:left="420" w:leftChars="0" w:hanging="420" w:firstLineChars="0"/>
        <w:jc w:val="both"/>
        <w:rPr>
          <w:rFonts w:hint="default"/>
          <w:lang w:val="en-US" w:eastAsia="zh-CN"/>
        </w:rPr>
      </w:pPr>
      <w:r>
        <w:rPr>
          <w:rFonts w:hint="default"/>
          <w:lang w:val="en-US" w:eastAsia="zh-CN"/>
        </w:rPr>
        <w:t>2.自下而上Bottom-up analysis：</w:t>
      </w:r>
    </w:p>
    <w:p>
      <w:pPr>
        <w:widowControl w:val="0"/>
        <w:numPr>
          <w:ilvl w:val="1"/>
          <w:numId w:val="91"/>
        </w:numPr>
        <w:ind w:left="840" w:leftChars="0" w:hanging="420" w:firstLineChars="0"/>
        <w:jc w:val="both"/>
        <w:rPr>
          <w:rFonts w:hint="default"/>
          <w:lang w:val="en-US" w:eastAsia="zh-CN"/>
        </w:rPr>
      </w:pPr>
      <w:r>
        <w:rPr>
          <w:rFonts w:hint="default"/>
          <w:lang w:val="en-US" w:eastAsia="zh-CN"/>
        </w:rPr>
        <w:t>从企业自身或其业务部门出发</w:t>
      </w:r>
    </w:p>
    <w:p>
      <w:pPr>
        <w:widowControl w:val="0"/>
        <w:numPr>
          <w:ilvl w:val="1"/>
          <w:numId w:val="91"/>
        </w:numPr>
        <w:ind w:left="840" w:leftChars="0" w:hanging="420" w:firstLineChars="0"/>
        <w:jc w:val="both"/>
        <w:rPr>
          <w:rFonts w:hint="default"/>
          <w:lang w:val="en-US" w:eastAsia="zh-CN"/>
        </w:rPr>
      </w:pPr>
      <w:r>
        <w:rPr>
          <w:rFonts w:hint="default"/>
          <w:lang w:val="en-US" w:eastAsia="zh-CN"/>
        </w:rPr>
        <w:t>如：利用企业的历史平均财务数据</w:t>
      </w:r>
      <w:r>
        <w:rPr>
          <w:rFonts w:hint="eastAsia"/>
          <w:lang w:val="en-US" w:eastAsia="zh-CN"/>
        </w:rPr>
        <w:t>；Time series,Return on capital,Capacity-based measure</w:t>
      </w:r>
    </w:p>
    <w:p>
      <w:pPr>
        <w:widowControl w:val="0"/>
        <w:numPr>
          <w:ilvl w:val="0"/>
          <w:numId w:val="91"/>
        </w:numPr>
        <w:ind w:left="420" w:leftChars="0" w:hanging="420" w:firstLineChars="0"/>
        <w:jc w:val="both"/>
        <w:rPr>
          <w:rFonts w:hint="default"/>
          <w:lang w:val="en-US" w:eastAsia="zh-CN"/>
        </w:rPr>
      </w:pPr>
      <w:r>
        <w:rPr>
          <w:rFonts w:hint="eastAsia"/>
          <w:lang w:val="en-US" w:eastAsia="zh-CN"/>
        </w:rPr>
        <w:t>3.</w:t>
      </w:r>
      <w:r>
        <w:rPr>
          <w:rFonts w:hint="default"/>
          <w:lang w:val="en-US" w:eastAsia="zh-CN"/>
        </w:rPr>
        <w:t>混合分析Hybrid analysis o同时从“宏观”和“企业”出发o同时使用自上而下和自下而上的方法</w:t>
      </w:r>
      <w:r>
        <w:rPr>
          <w:rFonts w:hint="default"/>
          <w:lang w:val="en-US" w:eastAsia="zh-CN"/>
        </w:rPr>
        <w:drawing>
          <wp:inline distT="0" distB="0" distL="114300" distR="114300">
            <wp:extent cx="4219575" cy="295275"/>
            <wp:effectExtent l="0" t="0" r="0" b="0"/>
            <wp:docPr id="56" name="图片 56" descr="截图_2023102822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截图_20231028225450"/>
                    <pic:cNvPicPr>
                      <a:picLocks noChangeAspect="1"/>
                    </pic:cNvPicPr>
                  </pic:nvPicPr>
                  <pic:blipFill>
                    <a:blip r:embed="rId24"/>
                    <a:stretch>
                      <a:fillRect/>
                    </a:stretch>
                  </pic:blipFill>
                  <pic:spPr>
                    <a:xfrm>
                      <a:off x="0" y="0"/>
                      <a:ext cx="4219575" cy="295275"/>
                    </a:xfrm>
                    <a:prstGeom prst="rect">
                      <a:avLst/>
                    </a:prstGeom>
                  </pic:spPr>
                </pic:pic>
              </a:graphicData>
            </a:graphic>
          </wp:inline>
        </w:drawing>
      </w:r>
    </w:p>
    <w:p>
      <w:pPr>
        <w:pStyle w:val="3"/>
        <w:numPr>
          <w:ilvl w:val="0"/>
          <w:numId w:val="90"/>
        </w:numPr>
        <w:bidi w:val="0"/>
        <w:rPr>
          <w:rFonts w:hint="default"/>
          <w:lang w:val="en-US" w:eastAsia="zh-CN"/>
        </w:rPr>
      </w:pPr>
      <w:r>
        <w:rPr>
          <w:rFonts w:hint="eastAsia"/>
          <w:lang w:val="en-US" w:eastAsia="zh-CN"/>
        </w:rPr>
        <w:t>利润表预测</w:t>
      </w:r>
    </w:p>
    <w:p>
      <w:pPr>
        <w:numPr>
          <w:ilvl w:val="0"/>
          <w:numId w:val="92"/>
        </w:numPr>
        <w:ind w:left="420" w:leftChars="0" w:hanging="420" w:firstLineChars="0"/>
        <w:rPr>
          <w:rFonts w:hint="default"/>
          <w:b/>
          <w:bCs/>
          <w:color w:val="7030A0"/>
          <w:lang w:val="en-US" w:eastAsia="zh-CN"/>
        </w:rPr>
      </w:pPr>
      <w:r>
        <w:rPr>
          <w:rFonts w:hint="eastAsia"/>
          <w:b/>
          <w:bCs/>
          <w:color w:val="7030A0"/>
          <w:lang w:val="en-US" w:eastAsia="zh-CN"/>
        </w:rPr>
        <w:t>体现规模经济：看毛利率，而不是净利率</w:t>
      </w:r>
    </w:p>
    <w:p>
      <w:pPr>
        <w:widowControl w:val="0"/>
        <w:numPr>
          <w:ilvl w:val="0"/>
          <w:numId w:val="0"/>
        </w:numPr>
        <w:jc w:val="both"/>
        <w:rPr>
          <w:rFonts w:hint="eastAsia"/>
          <w:lang w:val="en-US" w:eastAsia="zh-CN"/>
        </w:rPr>
      </w:pPr>
      <w:r>
        <w:rPr>
          <w:rFonts w:hint="default"/>
          <w:lang w:val="en-US" w:eastAsia="zh-CN"/>
        </w:rPr>
        <w:drawing>
          <wp:inline distT="0" distB="0" distL="114300" distR="114300">
            <wp:extent cx="5268595" cy="2990215"/>
            <wp:effectExtent l="0" t="0" r="8255" b="635"/>
            <wp:docPr id="57" name="图片 57" descr="截图_2023102822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截图_20231028225612"/>
                    <pic:cNvPicPr>
                      <a:picLocks noChangeAspect="1"/>
                    </pic:cNvPicPr>
                  </pic:nvPicPr>
                  <pic:blipFill>
                    <a:blip r:embed="rId25"/>
                    <a:stretch>
                      <a:fillRect/>
                    </a:stretch>
                  </pic:blipFill>
                  <pic:spPr>
                    <a:xfrm>
                      <a:off x="0" y="0"/>
                      <a:ext cx="5268595" cy="2990215"/>
                    </a:xfrm>
                    <a:prstGeom prst="rect">
                      <a:avLst/>
                    </a:prstGeom>
                  </pic:spPr>
                </pic:pic>
              </a:graphicData>
            </a:graphic>
          </wp:inline>
        </w:drawing>
      </w:r>
    </w:p>
    <w:p>
      <w:pPr>
        <w:pStyle w:val="3"/>
        <w:numPr>
          <w:ilvl w:val="0"/>
          <w:numId w:val="90"/>
        </w:numPr>
        <w:bidi w:val="0"/>
        <w:rPr>
          <w:rFonts w:hint="default"/>
          <w:lang w:val="en-US" w:eastAsia="zh-CN"/>
        </w:rPr>
      </w:pPr>
      <w:r>
        <w:rPr>
          <w:rFonts w:hint="eastAsia"/>
          <w:lang w:val="en-US" w:eastAsia="zh-CN"/>
        </w:rPr>
        <w:t>资产负债表预测</w:t>
      </w:r>
    </w:p>
    <w:p>
      <w:pPr>
        <w:widowControl w:val="0"/>
        <w:numPr>
          <w:ilvl w:val="0"/>
          <w:numId w:val="93"/>
        </w:numPr>
        <w:ind w:left="420" w:leftChars="0" w:hanging="420" w:firstLineChars="0"/>
        <w:jc w:val="both"/>
        <w:rPr>
          <w:rFonts w:hint="default"/>
          <w:lang w:val="en-US" w:eastAsia="zh-CN"/>
        </w:rPr>
      </w:pPr>
      <w:r>
        <w:rPr>
          <w:rFonts w:hint="default"/>
          <w:lang w:val="en-US" w:eastAsia="zh-CN"/>
        </w:rPr>
        <w:t>预测营运资本项目working capital items：</w:t>
      </w:r>
    </w:p>
    <w:p>
      <w:pPr>
        <w:widowControl w:val="0"/>
        <w:numPr>
          <w:ilvl w:val="1"/>
          <w:numId w:val="93"/>
        </w:numPr>
        <w:ind w:left="840" w:leftChars="0" w:hanging="420" w:firstLineChars="0"/>
        <w:jc w:val="both"/>
        <w:rPr>
          <w:rFonts w:hint="default"/>
          <w:lang w:val="en-US" w:eastAsia="zh-CN"/>
        </w:rPr>
      </w:pPr>
      <w:r>
        <w:rPr>
          <w:rFonts w:hint="eastAsia"/>
          <w:lang w:val="en-US" w:eastAsia="zh-CN"/>
        </w:rPr>
        <w:t>一般</w:t>
      </w:r>
      <w:r>
        <w:rPr>
          <w:rFonts w:hint="default"/>
          <w:lang w:val="en-US" w:eastAsia="zh-CN"/>
        </w:rPr>
        <w:t>·假定经营效率指标保持不变Efficiency Ratios remain constant</w:t>
      </w:r>
      <w:r>
        <w:rPr>
          <w:rFonts w:hint="eastAsia"/>
          <w:lang w:val="en-US" w:eastAsia="zh-CN"/>
        </w:rPr>
        <w:t>——turnover不变</w:t>
      </w:r>
    </w:p>
    <w:p>
      <w:pPr>
        <w:rPr>
          <w:rFonts w:hint="default"/>
          <w:lang w:val="en-US" w:eastAsia="zh-CN"/>
        </w:rPr>
      </w:pPr>
      <w:r>
        <w:rPr>
          <w:rFonts w:hint="default"/>
          <w:lang w:val="en-US" w:eastAsia="zh-CN"/>
        </w:rPr>
        <w:drawing>
          <wp:inline distT="0" distB="0" distL="114300" distR="114300">
            <wp:extent cx="5274310" cy="2181225"/>
            <wp:effectExtent l="0" t="0" r="2540" b="0"/>
            <wp:docPr id="58" name="图片 58" descr="截图_2023102822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截图_20231028225830"/>
                    <pic:cNvPicPr>
                      <a:picLocks noChangeAspect="1"/>
                    </pic:cNvPicPr>
                  </pic:nvPicPr>
                  <pic:blipFill>
                    <a:blip r:embed="rId26"/>
                    <a:stretch>
                      <a:fillRect/>
                    </a:stretch>
                  </pic:blipFill>
                  <pic:spPr>
                    <a:xfrm>
                      <a:off x="0" y="0"/>
                      <a:ext cx="5274310" cy="2181225"/>
                    </a:xfrm>
                    <a:prstGeom prst="rect">
                      <a:avLst/>
                    </a:prstGeom>
                  </pic:spPr>
                </pic:pic>
              </a:graphicData>
            </a:graphic>
          </wp:inline>
        </w:drawing>
      </w:r>
    </w:p>
    <w:p>
      <w:pPr>
        <w:pStyle w:val="3"/>
        <w:numPr>
          <w:ilvl w:val="0"/>
          <w:numId w:val="90"/>
        </w:numPr>
        <w:bidi w:val="0"/>
        <w:rPr>
          <w:rFonts w:hint="eastAsia"/>
          <w:lang w:val="en-US" w:eastAsia="zh-CN"/>
        </w:rPr>
      </w:pPr>
      <w:r>
        <w:rPr>
          <w:rFonts w:hint="eastAsia"/>
          <w:lang w:val="en-US" w:eastAsia="zh-CN"/>
        </w:rPr>
        <w:t>Scenario analysis情景分析</w:t>
      </w:r>
    </w:p>
    <w:p>
      <w:pPr>
        <w:rPr>
          <w:rFonts w:hint="default"/>
          <w:lang w:val="en-US" w:eastAsia="zh-CN"/>
        </w:rPr>
      </w:pPr>
      <w:r>
        <w:rPr>
          <w:rFonts w:hint="eastAsia"/>
          <w:lang w:val="en-US" w:eastAsia="zh-CN"/>
        </w:rPr>
        <w:t>基于不同的假设给出多个预测结果——悲观/中性//乐观</w:t>
      </w:r>
    </w:p>
    <w:p>
      <w:pPr>
        <w:pStyle w:val="2"/>
        <w:spacing w:before="93" w:after="93"/>
      </w:pPr>
      <w:bookmarkStart w:id="0" w:name="_GoBack"/>
      <w:bookmarkEnd w:id="0"/>
      <w:r>
        <w:t>Chapter</w:t>
      </w:r>
      <w:r>
        <w:rPr>
          <w:rFonts w:hint="eastAsia"/>
          <w:lang w:val="en-US" w:eastAsia="zh-CN"/>
        </w:rPr>
        <w:t xml:space="preserve"> 9</w:t>
      </w:r>
      <w:r>
        <w:t>权益估值</w:t>
      </w:r>
    </w:p>
    <w:p>
      <w:pPr>
        <w:pStyle w:val="3"/>
        <w:numPr>
          <w:ilvl w:val="0"/>
          <w:numId w:val="94"/>
        </w:numPr>
      </w:pPr>
      <w:r>
        <w:t>估值模型选择</w:t>
      </w:r>
    </w:p>
    <w:p>
      <w:r>
        <w:drawing>
          <wp:inline distT="0" distB="0" distL="0" distR="0">
            <wp:extent cx="5274310" cy="2404745"/>
            <wp:effectExtent l="0" t="0" r="2540" b="0"/>
            <wp:docPr id="19" name="图片 19" descr="C:\Users\YYS\AppData\Local\Temp\tianruoocr\截图_2023012900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YYS\AppData\Local\Temp\tianruoocr\截图_2023012900105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405163"/>
                    </a:xfrm>
                    <a:prstGeom prst="rect">
                      <a:avLst/>
                    </a:prstGeom>
                    <a:noFill/>
                    <a:ln>
                      <a:noFill/>
                    </a:ln>
                  </pic:spPr>
                </pic:pic>
              </a:graphicData>
            </a:graphic>
          </wp:inline>
        </w:drawing>
      </w:r>
    </w:p>
    <w:p>
      <w:pPr>
        <w:numPr>
          <w:ilvl w:val="0"/>
          <w:numId w:val="95"/>
        </w:numPr>
      </w:pPr>
      <w:r>
        <w:rPr>
          <w:rFonts w:hint="eastAsia"/>
        </w:rPr>
        <w:t>FCFE模型：假设FCFE体现股利支付能力</w:t>
      </w:r>
    </w:p>
    <w:p>
      <w:pPr>
        <w:numPr>
          <w:ilvl w:val="0"/>
          <w:numId w:val="95"/>
        </w:numPr>
      </w:pPr>
      <w:r>
        <w:rPr>
          <w:rFonts w:hint="eastAsia"/>
        </w:rPr>
        <w:t>DDM模型：预期股利</w:t>
      </w:r>
    </w:p>
    <w:p>
      <w:pPr>
        <w:pStyle w:val="3"/>
      </w:pPr>
      <w:r>
        <w:rPr>
          <w:rFonts w:hint="eastAsia"/>
        </w:rPr>
        <w:t>股利贴现模型</w:t>
      </w:r>
    </w:p>
    <w:p>
      <w:pPr>
        <w:numPr>
          <w:ilvl w:val="0"/>
          <w:numId w:val="96"/>
        </w:numPr>
      </w:pPr>
      <w:r>
        <w:rPr>
          <w:rFonts w:hint="eastAsia"/>
        </w:rPr>
        <w:t xml:space="preserve">The Gordon growth model 适合于valuing mature companies. </w:t>
      </w:r>
    </w:p>
    <w:p>
      <w:pPr>
        <w:numPr>
          <w:ilvl w:val="0"/>
          <w:numId w:val="96"/>
        </w:numPr>
      </w:pPr>
      <w:r>
        <w:rPr>
          <w:rFonts w:hint="eastAsia"/>
        </w:rPr>
        <w:t>The two-stage model 适合于由growth stage to a mature stage.</w:t>
      </w:r>
    </w:p>
    <w:p>
      <w:pPr>
        <w:numPr>
          <w:ilvl w:val="0"/>
          <w:numId w:val="96"/>
        </w:numPr>
      </w:pPr>
      <w:r>
        <w:rPr>
          <w:rFonts w:hint="eastAsia"/>
        </w:rPr>
        <w:t>The three-stage model适合于 young companies just entering the growth phase.</w:t>
      </w:r>
    </w:p>
    <w:p>
      <w:pPr>
        <w:pStyle w:val="5"/>
        <w:numPr>
          <w:ilvl w:val="0"/>
          <w:numId w:val="97"/>
        </w:numPr>
      </w:pPr>
      <w:r>
        <w:t>股利概念</w:t>
      </w:r>
    </w:p>
    <w:p>
      <w:pPr>
        <w:pStyle w:val="6"/>
      </w:pPr>
      <w:r>
        <w:t>现金股利——包括常规股息（regular）和特殊股息（extra）</w:t>
      </w:r>
    </w:p>
    <w:p>
      <w:r>
        <w:tab/>
      </w:r>
      <w:r>
        <w:drawing>
          <wp:inline distT="0" distB="0" distL="0" distR="0">
            <wp:extent cx="4166870" cy="1152525"/>
            <wp:effectExtent l="0" t="0" r="5080" b="0"/>
            <wp:docPr id="12" name="图片 12" descr="C:\Users\YYS\AppData\Local\Temp\tianruoocr\截图_2023012823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YYS\AppData\Local\Temp\tianruoocr\截图_202301282304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87026" cy="1158081"/>
                    </a:xfrm>
                    <a:prstGeom prst="rect">
                      <a:avLst/>
                    </a:prstGeom>
                    <a:noFill/>
                    <a:ln>
                      <a:noFill/>
                    </a:ln>
                  </pic:spPr>
                </pic:pic>
              </a:graphicData>
            </a:graphic>
          </wp:inline>
        </w:drawing>
      </w:r>
    </w:p>
    <w:p>
      <w:pPr>
        <w:pStyle w:val="4"/>
        <w:numPr>
          <w:ilvl w:val="2"/>
          <w:numId w:val="98"/>
        </w:numPr>
        <w:ind w:firstLineChars="0"/>
      </w:pPr>
      <w:r>
        <w:t>在除息日前（</w:t>
      </w:r>
      <w:r>
        <w:rPr>
          <w:rFonts w:hint="eastAsia"/>
        </w:rPr>
        <w:t>9</w:t>
      </w:r>
      <w:r>
        <w:t>.27</w:t>
      </w:r>
      <w:r>
        <w:rPr>
          <w:rFonts w:hint="eastAsia"/>
        </w:rPr>
        <w:t>可以</w:t>
      </w:r>
      <w:r>
        <w:t>,9.28不行）买入，可以享受股利——一般会在除息日当天有股息价格的下跌</w:t>
      </w:r>
    </w:p>
    <w:p>
      <w:pPr>
        <w:pStyle w:val="4"/>
        <w:numPr>
          <w:ilvl w:val="2"/>
          <w:numId w:val="98"/>
        </w:numPr>
        <w:ind w:firstLineChars="0"/>
      </w:pPr>
      <w:r>
        <w:t>登记日：在登记日出现在股东名册的股东可以享有——美国清算是T+2</w:t>
      </w:r>
    </w:p>
    <w:p>
      <w:pPr>
        <w:pStyle w:val="6"/>
      </w:pPr>
      <w:r>
        <w:t>股票红利</w:t>
      </w:r>
    </w:p>
    <w:p>
      <w:pPr>
        <w:pStyle w:val="4"/>
        <w:numPr>
          <w:ilvl w:val="2"/>
          <w:numId w:val="98"/>
        </w:numPr>
        <w:ind w:firstLineChars="0"/>
      </w:pPr>
      <w:r>
        <w:rPr>
          <w:rFonts w:hint="eastAsia"/>
        </w:rPr>
        <w:t>使用</w:t>
      </w:r>
      <w:r>
        <w:t>stock split或bonus issue of shares。</w:t>
      </w:r>
    </w:p>
    <w:p>
      <w:pPr>
        <w:pStyle w:val="4"/>
        <w:numPr>
          <w:ilvl w:val="2"/>
          <w:numId w:val="98"/>
        </w:numPr>
        <w:ind w:firstLineChars="0"/>
      </w:pPr>
      <w:r>
        <w:t>不需要折现，因为股东财富不变。</w:t>
      </w:r>
    </w:p>
    <w:p>
      <w:pPr>
        <w:pStyle w:val="6"/>
      </w:pPr>
      <w:r>
        <w:t>实物股利：要折现</w:t>
      </w:r>
    </w:p>
    <w:p>
      <w:pPr>
        <w:pStyle w:val="5"/>
        <w:numPr>
          <w:numId w:val="77"/>
        </w:numPr>
      </w:pPr>
      <w:r>
        <w:rPr>
          <w:rFonts w:hint="eastAsia"/>
        </w:rPr>
        <w:t>股权自由现金流模型（Free-Cash-Flow-to-Equity）：注意第n期有两笔</w:t>
      </w:r>
    </w:p>
    <w:p>
      <w:r>
        <w:drawing>
          <wp:inline distT="0" distB="0" distL="0" distR="0">
            <wp:extent cx="4309110" cy="1208405"/>
            <wp:effectExtent l="0" t="0" r="0" b="0"/>
            <wp:docPr id="15" name="图片 15" descr="C:\Users\YYS\AppData\Local\Temp\tianruoocr\截图_202301282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YYS\AppData\Local\Temp\tianruoocr\截图_202301282310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27446" cy="1213759"/>
                    </a:xfrm>
                    <a:prstGeom prst="rect">
                      <a:avLst/>
                    </a:prstGeom>
                    <a:noFill/>
                    <a:ln>
                      <a:noFill/>
                    </a:ln>
                  </pic:spPr>
                </pic:pic>
              </a:graphicData>
            </a:graphic>
          </wp:inline>
        </w:drawing>
      </w:r>
    </w:p>
    <w:p>
      <w:pPr>
        <w:pStyle w:val="5"/>
        <w:numPr>
          <w:numId w:val="77"/>
        </w:numPr>
      </w:pPr>
      <w:r>
        <w:rPr>
          <w:rFonts w:hint="eastAsia"/>
        </w:rPr>
        <w:t>戈登增长模型（The</w:t>
      </w:r>
      <w:r>
        <w:t xml:space="preserve"> </w:t>
      </w:r>
      <w:r>
        <w:rPr>
          <w:rFonts w:hint="eastAsia"/>
        </w:rPr>
        <w:t>Gordon</w:t>
      </w:r>
      <w:r>
        <w:t xml:space="preserve"> </w:t>
      </w:r>
      <w:r>
        <w:rPr>
          <w:rFonts w:hint="eastAsia"/>
        </w:rPr>
        <w:t>Growth Model,</w:t>
      </w:r>
      <w:r>
        <w:t xml:space="preserve"> </w:t>
      </w:r>
      <w:r>
        <w:rPr>
          <w:rFonts w:hint="eastAsia"/>
        </w:rPr>
        <w:t>GGM）</w:t>
      </w:r>
    </w:p>
    <w:p>
      <w:pPr>
        <w:pStyle w:val="4"/>
        <w:numPr>
          <w:ilvl w:val="0"/>
          <w:numId w:val="99"/>
        </w:numPr>
        <w:ind w:firstLineChars="0"/>
      </w:pPr>
      <w:r>
        <w:rPr>
          <w:rFonts w:hint="eastAsia"/>
        </w:rPr>
        <w:t>两条重要假设：</w:t>
      </w:r>
    </w:p>
    <w:p>
      <w:pPr>
        <w:pStyle w:val="4"/>
        <w:numPr>
          <w:ilvl w:val="0"/>
          <w:numId w:val="100"/>
        </w:numPr>
        <w:ind w:left="420" w:leftChars="200" w:firstLineChars="0"/>
      </w:pPr>
      <w:r>
        <w:rPr>
          <w:rFonts w:hint="eastAsia"/>
        </w:rPr>
        <w:t>一是股利以永续增长率g</w:t>
      </w:r>
      <w:r>
        <w:rPr>
          <w:rFonts w:hint="eastAsia"/>
          <w:vertAlign w:val="subscript"/>
        </w:rPr>
        <w:t>c</w:t>
      </w:r>
      <w:r>
        <w:rPr>
          <w:rFonts w:hint="eastAsia"/>
        </w:rPr>
        <w:t>无限期增长</w:t>
      </w:r>
    </w:p>
    <w:p>
      <w:pPr>
        <w:pStyle w:val="4"/>
        <w:numPr>
          <w:ilvl w:val="2"/>
          <w:numId w:val="100"/>
        </w:numPr>
        <w:ind w:firstLineChars="0"/>
      </w:pPr>
      <w:r>
        <w:t>注意只要求D</w:t>
      </w:r>
      <w:r>
        <w:rPr>
          <w:vertAlign w:val="subscript"/>
        </w:rPr>
        <w:t>1</w:t>
      </w:r>
      <w:r>
        <w:t>往后，D</w:t>
      </w:r>
      <w:r>
        <w:rPr>
          <w:vertAlign w:val="subscript"/>
        </w:rPr>
        <w:t>0</w:t>
      </w:r>
      <w:r>
        <w:t>到D</w:t>
      </w:r>
      <w:r>
        <w:rPr>
          <w:vertAlign w:val="subscript"/>
        </w:rPr>
        <w:t>1</w:t>
      </w:r>
      <w:r>
        <w:t>并不要求</w:t>
      </w:r>
    </w:p>
    <w:p>
      <w:pPr>
        <w:pStyle w:val="4"/>
        <w:numPr>
          <w:ilvl w:val="2"/>
          <w:numId w:val="100"/>
        </w:numPr>
        <w:ind w:firstLineChars="0"/>
      </w:pPr>
      <w:r>
        <w:t>当销售净利率和股利支付率也保持不变时，</w:t>
      </w:r>
      <w:r>
        <w:rPr>
          <w:rFonts w:hint="eastAsia"/>
        </w:rPr>
        <w:t>g</w:t>
      </w:r>
      <w:r>
        <w:rPr>
          <w:rFonts w:hint="eastAsia"/>
          <w:vertAlign w:val="subscript"/>
        </w:rPr>
        <w:t>c</w:t>
      </w:r>
      <w:r>
        <w:rPr>
          <w:rFonts w:hint="eastAsia"/>
        </w:rPr>
        <w:t>与销售增长率保持一致</w:t>
      </w:r>
    </w:p>
    <w:p>
      <w:pPr>
        <w:pStyle w:val="4"/>
        <w:numPr>
          <w:ilvl w:val="0"/>
          <w:numId w:val="100"/>
        </w:numPr>
        <w:ind w:left="420" w:leftChars="200" w:firstLineChars="0"/>
      </w:pPr>
      <w:r>
        <w:rPr>
          <w:rFonts w:hint="eastAsia"/>
        </w:rPr>
        <w:t>二是股利增长率比要求回报率（r也不变）小</w:t>
      </w:r>
    </w:p>
    <w:p>
      <w:pPr>
        <w:ind w:left="420" w:leftChars="200"/>
      </w:pPr>
      <w:r>
        <w:drawing>
          <wp:inline distT="0" distB="0" distL="0" distR="0">
            <wp:extent cx="4702810" cy="746760"/>
            <wp:effectExtent l="0" t="0" r="2540" b="0"/>
            <wp:docPr id="14" name="图片 14" descr="C:\Users\YYS\AppData\Local\Temp\tianruoocr\截图_2023012823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YYS\AppData\Local\Temp\tianruoocr\截图_202301282310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39388" cy="752521"/>
                    </a:xfrm>
                    <a:prstGeom prst="rect">
                      <a:avLst/>
                    </a:prstGeom>
                    <a:noFill/>
                    <a:ln>
                      <a:noFill/>
                    </a:ln>
                  </pic:spPr>
                </pic:pic>
              </a:graphicData>
            </a:graphic>
          </wp:inline>
        </w:drawing>
      </w:r>
    </w:p>
    <w:p>
      <w:pPr>
        <w:jc w:val="center"/>
      </w:pPr>
      <w:r>
        <w:drawing>
          <wp:inline distT="0" distB="0" distL="0" distR="0">
            <wp:extent cx="4524375" cy="2142490"/>
            <wp:effectExtent l="0" t="0" r="9525" b="0"/>
            <wp:docPr id="16" name="图片 16" descr="C:\Users\YYS\AppData\Local\Temp\tianruoocr\截图_2023012823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YYS\AppData\Local\Temp\tianruoocr\截图_202301282312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31176" cy="2145571"/>
                    </a:xfrm>
                    <a:prstGeom prst="rect">
                      <a:avLst/>
                    </a:prstGeom>
                    <a:noFill/>
                    <a:ln>
                      <a:noFill/>
                    </a:ln>
                  </pic:spPr>
                </pic:pic>
              </a:graphicData>
            </a:graphic>
          </wp:inline>
        </w:drawing>
      </w:r>
    </w:p>
    <w:p>
      <w:pPr>
        <w:pStyle w:val="5"/>
        <w:numPr>
          <w:numId w:val="77"/>
        </w:numPr>
      </w:pPr>
      <w:r>
        <w:rPr>
          <w:rFonts w:hint="eastAsia"/>
        </w:rPr>
        <w:t>多阶段股利折现模型（Multi-stage</w:t>
      </w:r>
      <w:r>
        <w:t xml:space="preserve"> </w:t>
      </w:r>
      <w:r>
        <w:rPr>
          <w:rFonts w:hint="eastAsia"/>
        </w:rPr>
        <w:t>Dividend Discount Model）</w:t>
      </w:r>
    </w:p>
    <w:p>
      <w:pPr>
        <w:pStyle w:val="4"/>
        <w:numPr>
          <w:ilvl w:val="0"/>
          <w:numId w:val="99"/>
        </w:numPr>
        <w:ind w:firstLineChars="0"/>
      </w:pPr>
      <w:r>
        <w:rPr>
          <w:rFonts w:hint="eastAsia"/>
        </w:rPr>
        <w:t>绝大部分公司的股利呈多阶段增长。</w:t>
      </w:r>
    </w:p>
    <w:p>
      <w:pPr>
        <w:pStyle w:val="4"/>
        <w:numPr>
          <w:ilvl w:val="1"/>
          <w:numId w:val="99"/>
        </w:numPr>
        <w:ind w:firstLineChars="0"/>
      </w:pPr>
      <w:r>
        <w:rPr>
          <w:rFonts w:hint="eastAsia"/>
        </w:rPr>
        <w:t>例如，在第一阶段，公司保持股利高速增长。第二阶段，公司发展逐渐成熟，股利开始以一个较低的永续增长率增长</w:t>
      </w:r>
    </w:p>
    <w:p>
      <w:pPr>
        <w:pStyle w:val="4"/>
        <w:numPr>
          <w:ilvl w:val="0"/>
          <w:numId w:val="99"/>
        </w:numPr>
        <w:ind w:firstLineChars="0"/>
      </w:pPr>
      <w:r>
        <w:rPr>
          <w:rFonts w:hint="eastAsia"/>
        </w:rPr>
        <w:t>r</w:t>
      </w:r>
      <w:r>
        <w:t>和g</w:t>
      </w:r>
      <w:r>
        <w:rPr>
          <w:vertAlign w:val="subscript"/>
        </w:rPr>
        <w:t>h</w:t>
      </w:r>
      <w:r>
        <w:t>没有大小的约束，高增长可以更快</w:t>
      </w:r>
    </w:p>
    <w:p>
      <w:r>
        <w:drawing>
          <wp:inline distT="0" distB="0" distL="0" distR="0">
            <wp:extent cx="4261485" cy="616585"/>
            <wp:effectExtent l="0" t="0" r="5715" b="0"/>
            <wp:docPr id="17" name="图片 17" descr="C:\Users\YYS\AppData\Local\Temp\tianruoocr\截图_20230128232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YYS\AppData\Local\Temp\tianruoocr\截图_2023012823205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354526" cy="630579"/>
                    </a:xfrm>
                    <a:prstGeom prst="rect">
                      <a:avLst/>
                    </a:prstGeom>
                    <a:noFill/>
                    <a:ln>
                      <a:noFill/>
                    </a:ln>
                  </pic:spPr>
                </pic:pic>
              </a:graphicData>
            </a:graphic>
          </wp:inline>
        </w:drawing>
      </w:r>
    </w:p>
    <w:p>
      <w:pPr>
        <w:pStyle w:val="5"/>
        <w:numPr>
          <w:numId w:val="77"/>
        </w:numPr>
      </w:pPr>
      <w:r>
        <w:rPr>
          <w:rFonts w:hint="eastAsia"/>
        </w:rPr>
        <w:t>优先股估值（Preferred</w:t>
      </w:r>
      <w:r>
        <w:t xml:space="preserve"> </w:t>
      </w:r>
      <w:r>
        <w:rPr>
          <w:rFonts w:hint="eastAsia"/>
        </w:rPr>
        <w:t>Stock</w:t>
      </w:r>
      <w:r>
        <w:t xml:space="preserve"> </w:t>
      </w:r>
      <w:r>
        <w:rPr>
          <w:rFonts w:hint="eastAsia"/>
        </w:rPr>
        <w:t>Valuation）</w:t>
      </w:r>
    </w:p>
    <w:p>
      <w:pPr>
        <w:pStyle w:val="4"/>
        <w:numPr>
          <w:ilvl w:val="0"/>
          <w:numId w:val="101"/>
        </w:numPr>
        <w:ind w:firstLineChars="0"/>
      </w:pPr>
      <w:r>
        <w:rPr>
          <w:rFonts w:hint="eastAsia"/>
        </w:rPr>
        <w:t>对于不附加任何特殊条款、每期发放固定股利</w:t>
      </w:r>
    </w:p>
    <w:p>
      <w:pPr>
        <w:pStyle w:val="4"/>
        <w:numPr>
          <w:ilvl w:val="0"/>
          <w:numId w:val="101"/>
        </w:numPr>
        <w:ind w:firstLineChars="0"/>
      </w:pPr>
      <w:r>
        <w:t>V0=D/r</w:t>
      </w:r>
    </w:p>
    <w:p>
      <w:pPr>
        <w:pStyle w:val="3"/>
      </w:pPr>
      <w:r>
        <w:rPr>
          <w:rFonts w:hint="eastAsia"/>
        </w:rPr>
        <w:t>乘数模型（Multiplier Models）</w:t>
      </w:r>
    </w:p>
    <w:p>
      <w:pPr>
        <w:numPr>
          <w:ilvl w:val="0"/>
          <w:numId w:val="102"/>
        </w:numPr>
      </w:pPr>
      <w:r>
        <w:rPr>
          <w:rFonts w:hint="eastAsia"/>
        </w:rPr>
        <w:t>虽然历史数据会被使用，但future values也会使用</w:t>
      </w:r>
    </w:p>
    <w:p>
      <w:pPr>
        <w:pStyle w:val="5"/>
        <w:numPr>
          <w:ilvl w:val="0"/>
          <w:numId w:val="103"/>
        </w:numPr>
      </w:pPr>
      <w:r>
        <w:rPr>
          <w:rFonts w:hint="eastAsia"/>
        </w:rPr>
        <w:t>价格乘数模型Price</w:t>
      </w:r>
      <w:r>
        <w:t xml:space="preserve"> multiple</w:t>
      </w:r>
    </w:p>
    <w:p>
      <w:pPr>
        <w:pStyle w:val="4"/>
        <w:numPr>
          <w:ilvl w:val="0"/>
          <w:numId w:val="104"/>
        </w:numPr>
        <w:ind w:left="420" w:firstLineChars="0"/>
      </w:pPr>
      <w:r>
        <w:rPr>
          <w:rFonts w:hint="eastAsia"/>
        </w:rPr>
        <w:t>用公司的股价除以公司的基本面信息，例如市盈率P</w:t>
      </w:r>
      <w:r>
        <w:t>/E</w:t>
      </w:r>
      <w:r>
        <w:rPr>
          <w:rFonts w:hint="eastAsia"/>
        </w:rPr>
        <w:t>、市销率P</w:t>
      </w:r>
      <w:r>
        <w:t>/S</w:t>
      </w:r>
      <w:r>
        <w:rPr>
          <w:rFonts w:hint="eastAsia"/>
        </w:rPr>
        <w:t>、市净率P</w:t>
      </w:r>
      <w:r>
        <w:t>/B</w:t>
      </w:r>
      <w:r>
        <w:rPr>
          <w:rFonts w:hint="eastAsia"/>
        </w:rPr>
        <w:t>、市现率P</w:t>
      </w:r>
      <w:r>
        <w:t>/CF</w:t>
      </w:r>
      <w:r>
        <w:rPr>
          <w:rFonts w:hint="eastAsia"/>
        </w:rPr>
        <w:t>等；EBITDA值——往往因为会出现负利润，而EBITDA一般为正。</w:t>
      </w:r>
    </w:p>
    <w:p>
      <w:pPr>
        <w:pStyle w:val="4"/>
        <w:numPr>
          <w:ilvl w:val="0"/>
          <w:numId w:val="104"/>
        </w:numPr>
        <w:ind w:left="420" w:firstLineChars="0"/>
      </w:pPr>
      <w:r>
        <w:rPr>
          <w:rFonts w:hint="eastAsia"/>
        </w:rPr>
        <w:t>由于使用的数据来源分类，分为</w:t>
      </w:r>
    </w:p>
    <w:p>
      <w:pPr>
        <w:pStyle w:val="4"/>
        <w:numPr>
          <w:ilvl w:val="1"/>
          <w:numId w:val="104"/>
        </w:numPr>
        <w:ind w:firstLineChars="0"/>
      </w:pPr>
      <w:r>
        <w:rPr>
          <w:rFonts w:hint="eastAsia"/>
        </w:rPr>
        <w:t>实际（trailing）价格乘数</w:t>
      </w:r>
    </w:p>
    <w:p>
      <w:pPr>
        <w:pStyle w:val="4"/>
        <w:numPr>
          <w:ilvl w:val="2"/>
          <w:numId w:val="104"/>
        </w:numPr>
        <w:ind w:firstLineChars="0"/>
      </w:pPr>
      <w:r>
        <w:rPr>
          <w:rFonts w:hint="eastAsia"/>
        </w:rPr>
        <w:t>乘数分母使用的是过去或现在的实际数据</w:t>
      </w:r>
    </w:p>
    <w:p>
      <w:pPr>
        <w:pStyle w:val="4"/>
        <w:numPr>
          <w:ilvl w:val="2"/>
          <w:numId w:val="104"/>
        </w:numPr>
        <w:ind w:firstLineChars="0"/>
      </w:pPr>
      <w:r>
        <w:t>Eg：</w:t>
      </w:r>
      <w:r>
        <w:rPr>
          <w:rFonts w:hint="eastAsia"/>
        </w:rPr>
        <w:t>实际市盈率（trailing P/E）</w:t>
      </w:r>
      <w:r>
        <w:t>：P0/E0；</w:t>
      </w:r>
    </w:p>
    <w:p>
      <w:pPr>
        <w:pStyle w:val="4"/>
        <w:numPr>
          <w:ilvl w:val="1"/>
          <w:numId w:val="104"/>
        </w:numPr>
        <w:ind w:firstLineChars="0"/>
      </w:pPr>
      <w:r>
        <w:rPr>
          <w:rFonts w:hint="eastAsia"/>
        </w:rPr>
        <w:t>预期（leading forward）价格乘数</w:t>
      </w:r>
    </w:p>
    <w:p>
      <w:pPr>
        <w:pStyle w:val="4"/>
        <w:numPr>
          <w:ilvl w:val="2"/>
          <w:numId w:val="104"/>
        </w:numPr>
        <w:ind w:firstLineChars="0"/>
      </w:pPr>
      <w:r>
        <w:rPr>
          <w:rFonts w:hint="eastAsia"/>
        </w:rPr>
        <w:t>预期价格乘数指乘数分母使用的是未来预期的数据。</w:t>
      </w:r>
    </w:p>
    <w:p>
      <w:pPr>
        <w:pStyle w:val="4"/>
        <w:numPr>
          <w:ilvl w:val="2"/>
          <w:numId w:val="104"/>
        </w:numPr>
        <w:ind w:firstLineChars="0"/>
      </w:pPr>
      <w:r>
        <w:rPr>
          <w:rFonts w:hint="eastAsia"/>
        </w:rPr>
        <w:t>Eg：预期市盈率（leading</w:t>
      </w:r>
      <w:r>
        <w:t xml:space="preserve"> </w:t>
      </w:r>
      <w:r>
        <w:rPr>
          <w:rFonts w:hint="eastAsia"/>
        </w:rPr>
        <w:t>P/E）：P0/E1</w:t>
      </w:r>
    </w:p>
    <w:p>
      <w:pPr>
        <w:pStyle w:val="4"/>
        <w:numPr>
          <w:ilvl w:val="0"/>
          <w:numId w:val="105"/>
        </w:numPr>
        <w:ind w:firstLineChars="0"/>
      </w:pPr>
      <w:r>
        <w:rPr>
          <w:rFonts w:hint="eastAsia"/>
        </w:rPr>
        <w:t>判断PE是否高估——使用近几年的平均PE值</w:t>
      </w:r>
    </w:p>
    <w:p>
      <w:pPr>
        <w:pStyle w:val="4"/>
        <w:numPr>
          <w:ilvl w:val="0"/>
          <w:numId w:val="104"/>
        </w:numPr>
        <w:ind w:left="420" w:firstLineChars="0"/>
        <w:rPr>
          <w:b/>
        </w:rPr>
      </w:pPr>
      <w:r>
        <w:rPr>
          <w:rFonts w:hint="eastAsia"/>
          <w:b/>
        </w:rPr>
        <w:t>Price</w:t>
      </w:r>
      <w:r>
        <w:rPr>
          <w:b/>
        </w:rPr>
        <w:t xml:space="preserve"> </w:t>
      </w:r>
      <w:r>
        <w:rPr>
          <w:rFonts w:hint="eastAsia"/>
          <w:b/>
        </w:rPr>
        <w:t>multiples based on fundamentals：</w:t>
      </w:r>
    </w:p>
    <w:p>
      <w:pPr>
        <w:pStyle w:val="4"/>
        <w:numPr>
          <w:ilvl w:val="0"/>
          <w:numId w:val="106"/>
        </w:numPr>
        <w:ind w:firstLineChars="0"/>
      </w:pPr>
      <w:r>
        <w:rPr>
          <w:rFonts w:hint="eastAsia"/>
        </w:rPr>
        <w:t>使用DCF模型调整的乘数，又称为合理的预期市盈率（justified</w:t>
      </w:r>
      <w:r>
        <w:t xml:space="preserve"> </w:t>
      </w:r>
      <w:r>
        <w:rPr>
          <w:rFonts w:hint="eastAsia"/>
        </w:rPr>
        <w:t>forward P/E）</w:t>
      </w:r>
    </w:p>
    <w:p>
      <w:pPr>
        <w:pStyle w:val="4"/>
        <w:numPr>
          <w:ilvl w:val="0"/>
          <w:numId w:val="106"/>
        </w:numPr>
        <w:ind w:firstLineChars="0"/>
      </w:pPr>
      <w:r>
        <w:rPr>
          <w:rFonts w:hint="eastAsia"/>
        </w:rPr>
        <w:t>——合理的预期市盈率可以拆解成r/</w:t>
      </w:r>
      <w:r>
        <w:t>g/b</w:t>
      </w:r>
    </w:p>
    <w:p>
      <w:r>
        <w:drawing>
          <wp:inline distT="0" distB="0" distL="0" distR="0">
            <wp:extent cx="5274310" cy="512445"/>
            <wp:effectExtent l="0" t="0" r="2540" b="1905"/>
            <wp:docPr id="18" name="图片 18" descr="C:\Users\YYS\AppData\Local\Temp\tianruoocr\截图_20230128233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YYS\AppData\Local\Temp\tianruoocr\截图_202301282337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512838"/>
                    </a:xfrm>
                    <a:prstGeom prst="rect">
                      <a:avLst/>
                    </a:prstGeom>
                    <a:noFill/>
                    <a:ln>
                      <a:noFill/>
                    </a:ln>
                  </pic:spPr>
                </pic:pic>
              </a:graphicData>
            </a:graphic>
          </wp:inline>
        </w:drawing>
      </w:r>
    </w:p>
    <w:p>
      <w:pPr>
        <w:pStyle w:val="4"/>
        <w:numPr>
          <w:ilvl w:val="0"/>
          <w:numId w:val="107"/>
        </w:numPr>
        <w:ind w:firstLineChars="0"/>
      </w:pPr>
      <w:r>
        <w:rPr>
          <w:rFonts w:hint="eastAsia"/>
        </w:rPr>
        <w:t>市盈率和要求回报率r负相关，和股利增长率g正相关。</w:t>
      </w:r>
    </w:p>
    <w:p>
      <w:pPr>
        <w:pStyle w:val="4"/>
        <w:numPr>
          <w:ilvl w:val="0"/>
          <w:numId w:val="107"/>
        </w:numPr>
        <w:ind w:firstLineChars="0"/>
      </w:pPr>
      <w:r>
        <w:rPr>
          <w:rFonts w:hint="eastAsia"/>
        </w:rPr>
        <w:t>市盈率的股利支付率payout ratio （1</w:t>
      </w:r>
      <w:r>
        <w:t>-b</w:t>
      </w:r>
      <w:r>
        <w:rPr>
          <w:rFonts w:hint="eastAsia"/>
        </w:rPr>
        <w:t>）之间的关系不明确（ambiguous）。因为g</w:t>
      </w:r>
      <w:r>
        <w:t>=b x ROE</w:t>
      </w:r>
    </w:p>
    <w:p>
      <w:pPr>
        <w:pStyle w:val="4"/>
        <w:numPr>
          <w:ilvl w:val="0"/>
          <w:numId w:val="108"/>
        </w:numPr>
        <w:ind w:firstLineChars="0"/>
      </w:pPr>
      <w:r>
        <w:rPr>
          <w:rFonts w:hint="eastAsia"/>
        </w:rPr>
        <w:t>价格乘数模型的优点是：</w:t>
      </w:r>
    </w:p>
    <w:p>
      <w:pPr>
        <w:pStyle w:val="4"/>
        <w:numPr>
          <w:ilvl w:val="0"/>
          <w:numId w:val="109"/>
        </w:numPr>
        <w:ind w:firstLineChars="0"/>
      </w:pPr>
      <w:r>
        <w:rPr>
          <w:rFonts w:hint="eastAsia"/>
        </w:rPr>
        <w:t>既可以对同一时间的不同公司做横向比较</w:t>
      </w:r>
      <w:r>
        <w:t>cross-sectional</w:t>
      </w:r>
      <w:r>
        <w:rPr>
          <w:rFonts w:hint="eastAsia"/>
        </w:rPr>
        <w:t>，又可以对不同时间的同一公司做纵向比较</w:t>
      </w:r>
      <w:r>
        <w:t>in time-series</w:t>
      </w:r>
      <w:r>
        <w:rPr>
          <w:rFonts w:hint="eastAsia"/>
        </w:rPr>
        <w:t>。</w:t>
      </w:r>
    </w:p>
    <w:p>
      <w:pPr>
        <w:pStyle w:val="4"/>
        <w:numPr>
          <w:ilvl w:val="0"/>
          <w:numId w:val="108"/>
        </w:numPr>
        <w:ind w:firstLineChars="0"/>
      </w:pPr>
      <w:r>
        <w:rPr>
          <w:rFonts w:hint="eastAsia"/>
        </w:rPr>
        <w:t>价格乘数模型的缺点</w:t>
      </w:r>
    </w:p>
    <w:p>
      <w:pPr>
        <w:pStyle w:val="4"/>
        <w:numPr>
          <w:ilvl w:val="1"/>
          <w:numId w:val="108"/>
        </w:numPr>
        <w:ind w:firstLineChars="0"/>
      </w:pPr>
      <w:r>
        <w:rPr>
          <w:rFonts w:hint="eastAsia"/>
        </w:rPr>
        <w:t>估值结论很可能与用DCF模型得出的结论不一致。</w:t>
      </w:r>
    </w:p>
    <w:p>
      <w:pPr>
        <w:pStyle w:val="4"/>
        <w:numPr>
          <w:ilvl w:val="1"/>
          <w:numId w:val="108"/>
        </w:numPr>
        <w:ind w:firstLineChars="0"/>
      </w:pPr>
      <w:r>
        <w:rPr>
          <w:rFonts w:hint="eastAsia"/>
        </w:rPr>
        <w:t>不同的会计准则或计算方法的差异会导致含基本面信息的乘数很难比较，会计估计影响净利润</w:t>
      </w:r>
    </w:p>
    <w:p>
      <w:pPr>
        <w:pStyle w:val="4"/>
        <w:numPr>
          <w:ilvl w:val="1"/>
          <w:numId w:val="108"/>
        </w:numPr>
        <w:ind w:firstLineChars="0"/>
      </w:pPr>
      <w:r>
        <w:rPr>
          <w:rFonts w:hint="eastAsia"/>
        </w:rPr>
        <w:t>周期性公司的价格乘数可能会较大程度上受到现有经济状况影响。</w:t>
      </w:r>
    </w:p>
    <w:p>
      <w:pPr>
        <w:pStyle w:val="4"/>
        <w:numPr>
          <w:ilvl w:val="1"/>
          <w:numId w:val="108"/>
        </w:numPr>
        <w:ind w:firstLineChars="0"/>
      </w:pPr>
      <w:r>
        <w:rPr>
          <w:rFonts w:hint="eastAsia"/>
        </w:rPr>
        <w:t>大多只反映了公司的历史表现。</w:t>
      </w:r>
      <w:r>
        <w:tab/>
      </w:r>
    </w:p>
    <w:p>
      <w:pPr>
        <w:pStyle w:val="5"/>
        <w:numPr>
          <w:numId w:val="77"/>
        </w:numPr>
      </w:pPr>
      <w:r>
        <w:t>企业价值乘数模型Enterprise value multiple</w:t>
      </w:r>
    </w:p>
    <w:p>
      <w:pPr>
        <w:tabs>
          <w:tab w:val="left" w:pos="3633"/>
        </w:tabs>
      </w:pPr>
      <w:r>
        <w:t>Enterprise value multiple=EV</w:t>
      </w:r>
      <w:r>
        <w:rPr>
          <w:rFonts w:hint="eastAsia"/>
        </w:rPr>
        <w:t>/EBITDA</w:t>
      </w:r>
    </w:p>
    <w:p>
      <w:pPr>
        <w:pStyle w:val="4"/>
        <w:tabs>
          <w:tab w:val="left" w:pos="3633"/>
        </w:tabs>
        <w:ind w:firstLine="0" w:firstLineChars="0"/>
        <w:jc w:val="left"/>
        <w:rPr>
          <w:b/>
          <w:bCs/>
        </w:rPr>
      </w:pPr>
      <w:r>
        <w:t>其中</w:t>
      </w:r>
      <w:r>
        <w:rPr>
          <w:rFonts w:hint="eastAsia"/>
          <w:b/>
          <w:bCs/>
        </w:rPr>
        <w:t>e</w:t>
      </w:r>
      <w:r>
        <w:rPr>
          <w:b/>
          <w:bCs/>
        </w:rPr>
        <w:t>nterprise value=普通股市值</w:t>
      </w:r>
      <w:r>
        <w:rPr>
          <w:rFonts w:hint="eastAsia"/>
          <w:b/>
          <w:bCs/>
        </w:rPr>
        <w:t>+优先股市值</w:t>
      </w:r>
      <w:r>
        <w:rPr>
          <w:b/>
          <w:bCs/>
        </w:rPr>
        <w:t>+债市值</w:t>
      </w:r>
      <w:r>
        <w:rPr>
          <w:rFonts w:hint="eastAsia"/>
          <w:b/>
          <w:bCs/>
        </w:rPr>
        <w:t>-现金及现金等价物（或短期投资）</w:t>
      </w:r>
    </w:p>
    <w:p>
      <w:pPr>
        <w:pStyle w:val="4"/>
        <w:tabs>
          <w:tab w:val="left" w:pos="3633"/>
        </w:tabs>
        <w:ind w:firstLine="0" w:firstLineChars="0"/>
      </w:pPr>
      <w:r>
        <w:t>Enterprise value is often viewed as the cost of a</w:t>
      </w:r>
      <w:r>
        <w:rPr>
          <w:b/>
        </w:rPr>
        <w:t xml:space="preserve"> takeover收购</w:t>
      </w:r>
    </w:p>
    <w:p>
      <w:pPr>
        <w:pStyle w:val="4"/>
        <w:numPr>
          <w:ilvl w:val="1"/>
          <w:numId w:val="108"/>
        </w:numPr>
        <w:ind w:firstLineChars="0"/>
      </w:pPr>
      <w:r>
        <w:rPr>
          <w:rFonts w:hint="eastAsia"/>
        </w:rPr>
        <w:t>因为收购后现金左手倒右手，没必要算</w:t>
      </w:r>
    </w:p>
    <w:p>
      <w:pPr>
        <w:pStyle w:val="4"/>
        <w:numPr>
          <w:ilvl w:val="1"/>
          <w:numId w:val="108"/>
        </w:numPr>
        <w:ind w:firstLineChars="0"/>
      </w:pPr>
      <w:r>
        <w:rPr>
          <w:rFonts w:hint="eastAsia"/>
        </w:rPr>
        <w:t>当两个企业的杠杆率差异（资本结构）很大，比较使用企业价值乘数好用</w:t>
      </w:r>
      <w:r>
        <w:rPr>
          <w:rFonts w:hint="eastAsia"/>
        </w:rPr>
        <w:tab/>
      </w:r>
    </w:p>
    <w:p>
      <w:pPr>
        <w:pStyle w:val="3"/>
      </w:pPr>
      <w:r>
        <w:rPr>
          <w:rFonts w:hint="eastAsia"/>
        </w:rPr>
        <w:t>基于资产估值模型（asset-based valuation models）</w:t>
      </w:r>
    </w:p>
    <w:p>
      <w:pPr>
        <w:pStyle w:val="4"/>
        <w:numPr>
          <w:ilvl w:val="0"/>
          <w:numId w:val="108"/>
        </w:numPr>
        <w:ind w:firstLineChars="0"/>
      </w:pPr>
      <w:r>
        <w:rPr>
          <w:rFonts w:hint="eastAsia"/>
        </w:rPr>
        <w:t>Market value of equity=Market value of assets-Market value of liabilities</w:t>
      </w:r>
    </w:p>
    <w:p>
      <w:pPr>
        <w:pStyle w:val="4"/>
        <w:numPr>
          <w:ilvl w:val="0"/>
          <w:numId w:val="108"/>
        </w:numPr>
        <w:ind w:firstLineChars="0"/>
      </w:pPr>
      <w:r>
        <w:rPr>
          <w:rFonts w:hint="eastAsia"/>
        </w:rPr>
        <w:t>适合于：</w:t>
      </w:r>
    </w:p>
    <w:p>
      <w:pPr>
        <w:pStyle w:val="4"/>
        <w:numPr>
          <w:ilvl w:val="1"/>
          <w:numId w:val="108"/>
        </w:numPr>
        <w:ind w:firstLineChars="0"/>
      </w:pPr>
      <w:r>
        <w:rPr>
          <w:rFonts w:hint="eastAsia"/>
        </w:rPr>
        <w:t>多用于非上市公司；</w:t>
      </w:r>
    </w:p>
    <w:p>
      <w:pPr>
        <w:pStyle w:val="4"/>
        <w:numPr>
          <w:ilvl w:val="1"/>
          <w:numId w:val="108"/>
        </w:numPr>
        <w:ind w:firstLineChars="0"/>
      </w:pPr>
      <w:r>
        <w:rPr>
          <w:rFonts w:hint="eastAsia"/>
        </w:rPr>
        <w:t>有大量有形短期资产（tangible</w:t>
      </w:r>
      <w:r>
        <w:t xml:space="preserve"> </w:t>
      </w:r>
      <w:r>
        <w:rPr>
          <w:rFonts w:hint="eastAsia"/>
        </w:rPr>
        <w:t>short-term</w:t>
      </w:r>
      <w:r>
        <w:t xml:space="preserve"> </w:t>
      </w:r>
      <w:r>
        <w:rPr>
          <w:rFonts w:hint="eastAsia"/>
        </w:rPr>
        <w:t>asset），且资产的市场价值易得的公司；</w:t>
      </w:r>
    </w:p>
    <w:p>
      <w:pPr>
        <w:pStyle w:val="4"/>
        <w:numPr>
          <w:ilvl w:val="1"/>
          <w:numId w:val="108"/>
        </w:numPr>
        <w:ind w:firstLineChars="0"/>
      </w:pPr>
      <w:r>
        <w:rPr>
          <w:rFonts w:hint="eastAsia"/>
        </w:rPr>
        <w:t>正进行</w:t>
      </w:r>
      <w:r>
        <w:rPr>
          <w:rFonts w:hint="eastAsia"/>
          <w:u w:val="single"/>
        </w:rPr>
        <w:t>破产清算liquidated的公司</w:t>
      </w:r>
      <w:r>
        <w:rPr>
          <w:rFonts w:hint="eastAsia"/>
        </w:rPr>
        <w:t>。</w:t>
      </w:r>
    </w:p>
    <w:p>
      <w:pPr>
        <w:pStyle w:val="4"/>
        <w:numPr>
          <w:ilvl w:val="0"/>
          <w:numId w:val="108"/>
        </w:numPr>
        <w:ind w:firstLineChars="0"/>
      </w:pPr>
      <w:r>
        <w:rPr>
          <w:rFonts w:hint="eastAsia"/>
        </w:rPr>
        <w:t>不适于</w:t>
      </w:r>
    </w:p>
    <w:p>
      <w:pPr>
        <w:pStyle w:val="4"/>
        <w:numPr>
          <w:ilvl w:val="1"/>
          <w:numId w:val="108"/>
        </w:numPr>
        <w:ind w:firstLineChars="0"/>
      </w:pPr>
      <w:r>
        <w:rPr>
          <w:rFonts w:hint="eastAsia"/>
        </w:rPr>
        <w:t>公司大部分资产的市场价值不易得，例如地产、厂房设备（PPE）等。</w:t>
      </w:r>
    </w:p>
    <w:p>
      <w:pPr>
        <w:pStyle w:val="4"/>
        <w:numPr>
          <w:ilvl w:val="1"/>
          <w:numId w:val="108"/>
        </w:numPr>
        <w:ind w:firstLineChars="0"/>
      </w:pPr>
      <w:r>
        <w:rPr>
          <w:rFonts w:hint="eastAsia"/>
        </w:rPr>
        <w:t>公司资产和负债的FV和BV存在差异。——尤其debt的MV难以获得</w:t>
      </w:r>
    </w:p>
    <w:p>
      <w:pPr>
        <w:pStyle w:val="4"/>
        <w:numPr>
          <w:ilvl w:val="1"/>
          <w:numId w:val="108"/>
        </w:numPr>
        <w:ind w:firstLineChars="0"/>
      </w:pPr>
      <w:r>
        <w:rPr>
          <w:rFonts w:hint="eastAsia"/>
        </w:rPr>
        <w:t>由于公司总资产中的无形资产较难估算，例如员工的人力资本、公司的品牌形象等。使用基于资产的估值模型会导致公司的价值被低估。因此，使用该模型估值时会给予资产一个地板价（“floor value），一般设定为公司破产清算时的最低值。</w:t>
      </w:r>
    </w:p>
    <w:p>
      <w:pPr>
        <w:pStyle w:val="4"/>
        <w:numPr>
          <w:ilvl w:val="1"/>
          <w:numId w:val="108"/>
        </w:numPr>
        <w:ind w:firstLineChars="0"/>
      </w:pPr>
      <w:r>
        <w:rPr>
          <w:rFonts w:hint="eastAsia"/>
        </w:rPr>
        <w:t>恶性通胀（hyper-inflationary）环境下资产的价值更难估算。</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yriadPro-Sem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9906204"/>
    </w:sdtPr>
    <w:sdtContent>
      <w:p>
        <w:pPr>
          <w:pStyle w:val="10"/>
          <w:jc w:val="center"/>
        </w:pPr>
        <w:r>
          <w:fldChar w:fldCharType="begin"/>
        </w:r>
        <w:r>
          <w:instrText xml:space="preserve">PAGE   \* MERGEFORMAT</w:instrText>
        </w:r>
        <w:r>
          <w:fldChar w:fldCharType="separate"/>
        </w:r>
        <w:r>
          <w:rPr>
            <w:lang w:val="zh-CN"/>
          </w:rPr>
          <w:t>14</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pPr>
    <w:r>
      <w:t>CFA</w:t>
    </w:r>
    <w:r>
      <w:rPr>
        <w:rFonts w:hint="eastAsia"/>
      </w:rPr>
      <w:t>权益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D36EE"/>
    <w:multiLevelType w:val="multilevel"/>
    <w:tmpl w:val="89CD36E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8DFC625C"/>
    <w:multiLevelType w:val="singleLevel"/>
    <w:tmpl w:val="8DFC625C"/>
    <w:lvl w:ilvl="0" w:tentative="0">
      <w:start w:val="1"/>
      <w:numFmt w:val="bullet"/>
      <w:lvlText w:val=""/>
      <w:lvlJc w:val="left"/>
      <w:pPr>
        <w:ind w:left="420" w:hanging="420"/>
      </w:pPr>
      <w:rPr>
        <w:rFonts w:hint="default" w:ascii="Wingdings" w:hAnsi="Wingdings"/>
      </w:rPr>
    </w:lvl>
  </w:abstractNum>
  <w:abstractNum w:abstractNumId="2">
    <w:nsid w:val="8E912314"/>
    <w:multiLevelType w:val="singleLevel"/>
    <w:tmpl w:val="8E912314"/>
    <w:lvl w:ilvl="0" w:tentative="0">
      <w:start w:val="1"/>
      <w:numFmt w:val="bullet"/>
      <w:lvlText w:val=""/>
      <w:lvlJc w:val="left"/>
      <w:pPr>
        <w:ind w:left="420" w:hanging="420"/>
      </w:pPr>
      <w:rPr>
        <w:rFonts w:hint="default" w:ascii="Wingdings" w:hAnsi="Wingdings"/>
      </w:rPr>
    </w:lvl>
  </w:abstractNum>
  <w:abstractNum w:abstractNumId="3">
    <w:nsid w:val="8F048FE2"/>
    <w:multiLevelType w:val="multilevel"/>
    <w:tmpl w:val="8F048FE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986C5C04"/>
    <w:multiLevelType w:val="singleLevel"/>
    <w:tmpl w:val="986C5C04"/>
    <w:lvl w:ilvl="0" w:tentative="0">
      <w:start w:val="1"/>
      <w:numFmt w:val="decimal"/>
      <w:lvlText w:val="(%1)"/>
      <w:lvlJc w:val="left"/>
      <w:pPr>
        <w:tabs>
          <w:tab w:val="left" w:pos="420"/>
        </w:tabs>
        <w:ind w:left="845" w:hanging="425"/>
      </w:pPr>
      <w:rPr>
        <w:rFonts w:hint="default"/>
      </w:rPr>
    </w:lvl>
  </w:abstractNum>
  <w:abstractNum w:abstractNumId="5">
    <w:nsid w:val="9C085D0C"/>
    <w:multiLevelType w:val="singleLevel"/>
    <w:tmpl w:val="9C085D0C"/>
    <w:lvl w:ilvl="0" w:tentative="0">
      <w:start w:val="1"/>
      <w:numFmt w:val="bullet"/>
      <w:lvlText w:val=""/>
      <w:lvlJc w:val="left"/>
      <w:pPr>
        <w:ind w:left="420" w:hanging="420"/>
      </w:pPr>
      <w:rPr>
        <w:rFonts w:hint="default" w:ascii="Wingdings" w:hAnsi="Wingdings"/>
      </w:rPr>
    </w:lvl>
  </w:abstractNum>
  <w:abstractNum w:abstractNumId="6">
    <w:nsid w:val="9C35AB44"/>
    <w:multiLevelType w:val="singleLevel"/>
    <w:tmpl w:val="9C35AB44"/>
    <w:lvl w:ilvl="0" w:tentative="0">
      <w:start w:val="1"/>
      <w:numFmt w:val="bullet"/>
      <w:lvlText w:val=""/>
      <w:lvlJc w:val="left"/>
      <w:pPr>
        <w:tabs>
          <w:tab w:val="left" w:pos="420"/>
        </w:tabs>
        <w:ind w:left="840" w:hanging="420"/>
      </w:pPr>
      <w:rPr>
        <w:rFonts w:hint="default" w:ascii="Wingdings" w:hAnsi="Wingdings"/>
      </w:rPr>
    </w:lvl>
  </w:abstractNum>
  <w:abstractNum w:abstractNumId="7">
    <w:nsid w:val="9FDBED4B"/>
    <w:multiLevelType w:val="multilevel"/>
    <w:tmpl w:val="9FDBED4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A1CFAAF9"/>
    <w:multiLevelType w:val="multilevel"/>
    <w:tmpl w:val="A1CFAA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A73AFFC1"/>
    <w:multiLevelType w:val="singleLevel"/>
    <w:tmpl w:val="A73AFFC1"/>
    <w:lvl w:ilvl="0" w:tentative="0">
      <w:start w:val="1"/>
      <w:numFmt w:val="bullet"/>
      <w:lvlText w:val=""/>
      <w:lvlJc w:val="left"/>
      <w:pPr>
        <w:ind w:left="420" w:hanging="420"/>
      </w:pPr>
      <w:rPr>
        <w:rFonts w:hint="default" w:ascii="Wingdings" w:hAnsi="Wingdings"/>
      </w:rPr>
    </w:lvl>
  </w:abstractNum>
  <w:abstractNum w:abstractNumId="10">
    <w:nsid w:val="A9CC01EF"/>
    <w:multiLevelType w:val="multilevel"/>
    <w:tmpl w:val="A9CC01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AA86A989"/>
    <w:multiLevelType w:val="singleLevel"/>
    <w:tmpl w:val="AA86A989"/>
    <w:lvl w:ilvl="0" w:tentative="0">
      <w:start w:val="1"/>
      <w:numFmt w:val="bullet"/>
      <w:lvlText w:val=""/>
      <w:lvlJc w:val="left"/>
      <w:pPr>
        <w:tabs>
          <w:tab w:val="left" w:pos="420"/>
        </w:tabs>
        <w:ind w:left="840" w:hanging="420"/>
      </w:pPr>
      <w:rPr>
        <w:rFonts w:hint="default" w:ascii="Wingdings" w:hAnsi="Wingdings"/>
      </w:rPr>
    </w:lvl>
  </w:abstractNum>
  <w:abstractNum w:abstractNumId="12">
    <w:nsid w:val="AACD6FB8"/>
    <w:multiLevelType w:val="singleLevel"/>
    <w:tmpl w:val="AACD6FB8"/>
    <w:lvl w:ilvl="0" w:tentative="0">
      <w:start w:val="1"/>
      <w:numFmt w:val="bullet"/>
      <w:lvlText w:val=""/>
      <w:lvlJc w:val="left"/>
      <w:pPr>
        <w:ind w:left="420" w:hanging="420"/>
      </w:pPr>
      <w:rPr>
        <w:rFonts w:hint="default" w:ascii="Wingdings" w:hAnsi="Wingdings"/>
      </w:rPr>
    </w:lvl>
  </w:abstractNum>
  <w:abstractNum w:abstractNumId="13">
    <w:nsid w:val="AD62F07D"/>
    <w:multiLevelType w:val="singleLevel"/>
    <w:tmpl w:val="AD62F07D"/>
    <w:lvl w:ilvl="0" w:tentative="0">
      <w:start w:val="1"/>
      <w:numFmt w:val="bullet"/>
      <w:lvlText w:val=""/>
      <w:lvlJc w:val="left"/>
      <w:pPr>
        <w:ind w:left="420" w:hanging="420"/>
      </w:pPr>
      <w:rPr>
        <w:rFonts w:hint="default" w:ascii="Wingdings" w:hAnsi="Wingdings"/>
      </w:rPr>
    </w:lvl>
  </w:abstractNum>
  <w:abstractNum w:abstractNumId="14">
    <w:nsid w:val="BBB03ACB"/>
    <w:multiLevelType w:val="singleLevel"/>
    <w:tmpl w:val="BBB03ACB"/>
    <w:lvl w:ilvl="0" w:tentative="0">
      <w:start w:val="1"/>
      <w:numFmt w:val="bullet"/>
      <w:lvlText w:val=""/>
      <w:lvlJc w:val="left"/>
      <w:pPr>
        <w:tabs>
          <w:tab w:val="left" w:pos="420"/>
        </w:tabs>
        <w:ind w:left="840" w:hanging="420"/>
      </w:pPr>
      <w:rPr>
        <w:rFonts w:hint="default" w:ascii="Wingdings" w:hAnsi="Wingdings"/>
      </w:rPr>
    </w:lvl>
  </w:abstractNum>
  <w:abstractNum w:abstractNumId="15">
    <w:nsid w:val="C05A0924"/>
    <w:multiLevelType w:val="singleLevel"/>
    <w:tmpl w:val="C05A0924"/>
    <w:lvl w:ilvl="0" w:tentative="0">
      <w:start w:val="1"/>
      <w:numFmt w:val="bullet"/>
      <w:lvlText w:val=""/>
      <w:lvlJc w:val="left"/>
      <w:pPr>
        <w:ind w:left="420" w:hanging="420"/>
      </w:pPr>
      <w:rPr>
        <w:rFonts w:hint="default" w:ascii="Wingdings" w:hAnsi="Wingdings"/>
      </w:rPr>
    </w:lvl>
  </w:abstractNum>
  <w:abstractNum w:abstractNumId="16">
    <w:nsid w:val="C7E3FCCC"/>
    <w:multiLevelType w:val="singleLevel"/>
    <w:tmpl w:val="C7E3FCCC"/>
    <w:lvl w:ilvl="0" w:tentative="0">
      <w:start w:val="1"/>
      <w:numFmt w:val="bullet"/>
      <w:lvlText w:val=""/>
      <w:lvlJc w:val="left"/>
      <w:pPr>
        <w:ind w:left="420" w:hanging="420"/>
      </w:pPr>
      <w:rPr>
        <w:rFonts w:hint="default" w:ascii="Wingdings" w:hAnsi="Wingdings"/>
      </w:rPr>
    </w:lvl>
  </w:abstractNum>
  <w:abstractNum w:abstractNumId="17">
    <w:nsid w:val="CCAB0558"/>
    <w:multiLevelType w:val="multilevel"/>
    <w:tmpl w:val="CCAB055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CF694CCD"/>
    <w:multiLevelType w:val="singleLevel"/>
    <w:tmpl w:val="CF694CCD"/>
    <w:lvl w:ilvl="0" w:tentative="0">
      <w:start w:val="1"/>
      <w:numFmt w:val="bullet"/>
      <w:lvlText w:val=""/>
      <w:lvlJc w:val="left"/>
      <w:pPr>
        <w:ind w:left="420" w:hanging="420"/>
      </w:pPr>
      <w:rPr>
        <w:rFonts w:hint="default" w:ascii="Wingdings" w:hAnsi="Wingdings"/>
      </w:rPr>
    </w:lvl>
  </w:abstractNum>
  <w:abstractNum w:abstractNumId="19">
    <w:nsid w:val="CFD586A9"/>
    <w:multiLevelType w:val="multilevel"/>
    <w:tmpl w:val="CFD586A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0">
    <w:nsid w:val="D30623F5"/>
    <w:multiLevelType w:val="multilevel"/>
    <w:tmpl w:val="D30623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1">
    <w:nsid w:val="D4E59569"/>
    <w:multiLevelType w:val="multilevel"/>
    <w:tmpl w:val="D4E5956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22">
    <w:nsid w:val="DA492A1E"/>
    <w:multiLevelType w:val="multilevel"/>
    <w:tmpl w:val="DA492A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DBEF68C7"/>
    <w:multiLevelType w:val="singleLevel"/>
    <w:tmpl w:val="DBEF68C7"/>
    <w:lvl w:ilvl="0" w:tentative="0">
      <w:start w:val="1"/>
      <w:numFmt w:val="bullet"/>
      <w:lvlText w:val=""/>
      <w:lvlJc w:val="left"/>
      <w:pPr>
        <w:tabs>
          <w:tab w:val="left" w:pos="420"/>
        </w:tabs>
        <w:ind w:left="840" w:hanging="420"/>
      </w:pPr>
      <w:rPr>
        <w:rFonts w:hint="default" w:ascii="Wingdings" w:hAnsi="Wingdings"/>
      </w:rPr>
    </w:lvl>
  </w:abstractNum>
  <w:abstractNum w:abstractNumId="24">
    <w:nsid w:val="E1FD5FF3"/>
    <w:multiLevelType w:val="singleLevel"/>
    <w:tmpl w:val="E1FD5FF3"/>
    <w:lvl w:ilvl="0" w:tentative="0">
      <w:start w:val="1"/>
      <w:numFmt w:val="bullet"/>
      <w:lvlText w:val=""/>
      <w:lvlJc w:val="left"/>
      <w:pPr>
        <w:ind w:left="420" w:hanging="420"/>
      </w:pPr>
      <w:rPr>
        <w:rFonts w:hint="default" w:ascii="Wingdings" w:hAnsi="Wingdings"/>
      </w:rPr>
    </w:lvl>
  </w:abstractNum>
  <w:abstractNum w:abstractNumId="25">
    <w:nsid w:val="E83C0844"/>
    <w:multiLevelType w:val="singleLevel"/>
    <w:tmpl w:val="E83C0844"/>
    <w:lvl w:ilvl="0" w:tentative="0">
      <w:start w:val="1"/>
      <w:numFmt w:val="bullet"/>
      <w:lvlText w:val=""/>
      <w:lvlJc w:val="left"/>
      <w:pPr>
        <w:ind w:left="420" w:hanging="420"/>
      </w:pPr>
      <w:rPr>
        <w:rFonts w:hint="default" w:ascii="Wingdings" w:hAnsi="Wingdings"/>
      </w:rPr>
    </w:lvl>
  </w:abstractNum>
  <w:abstractNum w:abstractNumId="26">
    <w:nsid w:val="FBE992CC"/>
    <w:multiLevelType w:val="multilevel"/>
    <w:tmpl w:val="FBE992CC"/>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27">
    <w:nsid w:val="01F9CB00"/>
    <w:multiLevelType w:val="singleLevel"/>
    <w:tmpl w:val="01F9CB00"/>
    <w:lvl w:ilvl="0" w:tentative="0">
      <w:start w:val="1"/>
      <w:numFmt w:val="bullet"/>
      <w:lvlText w:val=""/>
      <w:lvlJc w:val="left"/>
      <w:pPr>
        <w:tabs>
          <w:tab w:val="left" w:pos="420"/>
        </w:tabs>
        <w:ind w:left="840" w:hanging="420"/>
      </w:pPr>
      <w:rPr>
        <w:rFonts w:hint="default" w:ascii="Wingdings" w:hAnsi="Wingdings"/>
      </w:rPr>
    </w:lvl>
  </w:abstractNum>
  <w:abstractNum w:abstractNumId="28">
    <w:nsid w:val="0421283D"/>
    <w:multiLevelType w:val="multilevel"/>
    <w:tmpl w:val="0421283D"/>
    <w:lvl w:ilvl="0" w:tentative="0">
      <w:start w:val="1"/>
      <w:numFmt w:val="decimal"/>
      <w:lvlText w:val="%1."/>
      <w:lvlJc w:val="left"/>
      <w:pPr>
        <w:ind w:left="420" w:hanging="420"/>
      </w:pPr>
      <w:rPr>
        <w:rFonts w:hint="default"/>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bullet"/>
      <w:lvlText w:val=""/>
      <w:lvlJc w:val="left"/>
      <w:pPr>
        <w:ind w:left="1680" w:hanging="420"/>
      </w:pPr>
      <w:rPr>
        <w:rFonts w:hint="default" w:ascii="Wingdings" w:hAnsi="Wingdings"/>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0426531C"/>
    <w:multiLevelType w:val="multilevel"/>
    <w:tmpl w:val="0426531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0">
    <w:nsid w:val="05151CD0"/>
    <w:multiLevelType w:val="multilevel"/>
    <w:tmpl w:val="05151CD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1">
    <w:nsid w:val="071136AF"/>
    <w:multiLevelType w:val="multilevel"/>
    <w:tmpl w:val="07113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09E18B0F"/>
    <w:multiLevelType w:val="singleLevel"/>
    <w:tmpl w:val="09E18B0F"/>
    <w:lvl w:ilvl="0" w:tentative="0">
      <w:start w:val="1"/>
      <w:numFmt w:val="bullet"/>
      <w:lvlText w:val=""/>
      <w:lvlJc w:val="left"/>
      <w:pPr>
        <w:tabs>
          <w:tab w:val="left" w:pos="420"/>
        </w:tabs>
        <w:ind w:left="840" w:hanging="420"/>
      </w:pPr>
      <w:rPr>
        <w:rFonts w:hint="default" w:ascii="Wingdings" w:hAnsi="Wingdings"/>
      </w:rPr>
    </w:lvl>
  </w:abstractNum>
  <w:abstractNum w:abstractNumId="33">
    <w:nsid w:val="0A1B506F"/>
    <w:multiLevelType w:val="singleLevel"/>
    <w:tmpl w:val="0A1B506F"/>
    <w:lvl w:ilvl="0" w:tentative="0">
      <w:start w:val="1"/>
      <w:numFmt w:val="bullet"/>
      <w:lvlText w:val=""/>
      <w:lvlJc w:val="left"/>
      <w:pPr>
        <w:tabs>
          <w:tab w:val="left" w:pos="420"/>
        </w:tabs>
        <w:ind w:left="840" w:hanging="420"/>
      </w:pPr>
      <w:rPr>
        <w:rFonts w:hint="default" w:ascii="Wingdings" w:hAnsi="Wingdings"/>
      </w:rPr>
    </w:lvl>
  </w:abstractNum>
  <w:abstractNum w:abstractNumId="34">
    <w:nsid w:val="0AD48DDB"/>
    <w:multiLevelType w:val="multilevel"/>
    <w:tmpl w:val="0AD48D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5">
    <w:nsid w:val="0DC44D21"/>
    <w:multiLevelType w:val="multilevel"/>
    <w:tmpl w:val="0DC44D21"/>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36">
    <w:nsid w:val="0DD39EBA"/>
    <w:multiLevelType w:val="singleLevel"/>
    <w:tmpl w:val="0DD39EBA"/>
    <w:lvl w:ilvl="0" w:tentative="0">
      <w:start w:val="1"/>
      <w:numFmt w:val="bullet"/>
      <w:lvlText w:val=""/>
      <w:lvlJc w:val="left"/>
      <w:pPr>
        <w:ind w:left="420" w:hanging="420"/>
      </w:pPr>
      <w:rPr>
        <w:rFonts w:hint="default" w:ascii="Wingdings" w:hAnsi="Wingdings"/>
      </w:rPr>
    </w:lvl>
  </w:abstractNum>
  <w:abstractNum w:abstractNumId="37">
    <w:nsid w:val="0E18B16F"/>
    <w:multiLevelType w:val="multilevel"/>
    <w:tmpl w:val="0E18B1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12B37E6E"/>
    <w:multiLevelType w:val="multilevel"/>
    <w:tmpl w:val="12B37E6E"/>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39">
    <w:nsid w:val="144E2FC9"/>
    <w:multiLevelType w:val="multilevel"/>
    <w:tmpl w:val="144E2F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15A472DA"/>
    <w:multiLevelType w:val="multilevel"/>
    <w:tmpl w:val="15A472DA"/>
    <w:lvl w:ilvl="0" w:tentative="0">
      <w:start w:val="1"/>
      <w:numFmt w:val="lowerRoman"/>
      <w:lvlText w:val="%1."/>
      <w:lvlJc w:val="righ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pStyle w:val="7"/>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1A177022"/>
    <w:multiLevelType w:val="multilevel"/>
    <w:tmpl w:val="1A17702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2">
    <w:nsid w:val="1AFC66B1"/>
    <w:multiLevelType w:val="multilevel"/>
    <w:tmpl w:val="1AFC66B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1B8A27E2"/>
    <w:multiLevelType w:val="multilevel"/>
    <w:tmpl w:val="1B8A27E2"/>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44">
    <w:nsid w:val="1E8D4FFE"/>
    <w:multiLevelType w:val="multilevel"/>
    <w:tmpl w:val="1E8D4FFE"/>
    <w:lvl w:ilvl="0" w:tentative="0">
      <w:start w:val="1"/>
      <w:numFmt w:val="decimal"/>
      <w:pStyle w:val="3"/>
      <w:lvlText w:val="%1."/>
      <w:lvlJc w:val="left"/>
      <w:pPr>
        <w:ind w:left="420" w:hanging="420"/>
      </w:pPr>
    </w:lvl>
    <w:lvl w:ilvl="1" w:tentative="0">
      <w:start w:val="1"/>
      <w:numFmt w:val="lowerLetter"/>
      <w:lvlText w:val="%2)"/>
      <w:lvlJc w:val="left"/>
      <w:pPr>
        <w:ind w:left="840" w:hanging="420"/>
      </w:pPr>
    </w:lvl>
    <w:lvl w:ilvl="2" w:tentative="0">
      <w:start w:val="1"/>
      <w:numFmt w:val="lowerRoman"/>
      <w:pStyle w:val="6"/>
      <w:lvlText w:val="%3."/>
      <w:lvlJc w:val="right"/>
      <w:pPr>
        <w:ind w:left="1260" w:hanging="420"/>
      </w:pPr>
    </w:lvl>
    <w:lvl w:ilvl="3" w:tentative="0">
      <w:start w:val="1"/>
      <w:numFmt w:val="bullet"/>
      <w:lvlText w:val=""/>
      <w:lvlJc w:val="left"/>
      <w:pPr>
        <w:ind w:left="1680" w:hanging="420"/>
      </w:pPr>
      <w:rPr>
        <w:rFonts w:hint="default" w:ascii="Wingdings" w:hAnsi="Wingdings"/>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27135064"/>
    <w:multiLevelType w:val="multilevel"/>
    <w:tmpl w:val="2713506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6">
    <w:nsid w:val="30DC3756"/>
    <w:multiLevelType w:val="multilevel"/>
    <w:tmpl w:val="30DC375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35460F2C"/>
    <w:multiLevelType w:val="multilevel"/>
    <w:tmpl w:val="35460F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36A63499"/>
    <w:multiLevelType w:val="multilevel"/>
    <w:tmpl w:val="36A6349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9">
    <w:nsid w:val="376A276F"/>
    <w:multiLevelType w:val="multilevel"/>
    <w:tmpl w:val="376A27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37A4A437"/>
    <w:multiLevelType w:val="singleLevel"/>
    <w:tmpl w:val="37A4A437"/>
    <w:lvl w:ilvl="0" w:tentative="0">
      <w:start w:val="1"/>
      <w:numFmt w:val="bullet"/>
      <w:lvlText w:val=""/>
      <w:lvlJc w:val="left"/>
      <w:pPr>
        <w:ind w:left="420" w:hanging="420"/>
      </w:pPr>
      <w:rPr>
        <w:rFonts w:hint="default" w:ascii="Wingdings" w:hAnsi="Wingdings"/>
      </w:rPr>
    </w:lvl>
  </w:abstractNum>
  <w:abstractNum w:abstractNumId="51">
    <w:nsid w:val="37E87CD1"/>
    <w:multiLevelType w:val="multilevel"/>
    <w:tmpl w:val="37E87CD1"/>
    <w:lvl w:ilvl="0" w:tentative="0">
      <w:start w:val="1"/>
      <w:numFmt w:val="lowerLetter"/>
      <w:pStyle w:val="5"/>
      <w:lvlText w:val="%1)"/>
      <w:lvlJc w:val="left"/>
      <w:pPr>
        <w:ind w:left="420" w:hanging="420"/>
      </w:pPr>
      <w:rPr>
        <w:rFonts w:ascii="Times New Roman" w:hAnsi="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1" w:tentative="0">
      <w:start w:val="1"/>
      <w:numFmt w:val="bullet"/>
      <w:lvlText w:val=""/>
      <w:lvlJc w:val="left"/>
      <w:pPr>
        <w:ind w:left="840" w:hanging="420"/>
      </w:pPr>
      <w:rPr>
        <w:rFonts w:hint="default" w:ascii="Wingdings" w:hAnsi="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38F30204"/>
    <w:multiLevelType w:val="multilevel"/>
    <w:tmpl w:val="38F30204"/>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53">
    <w:nsid w:val="39133CA9"/>
    <w:multiLevelType w:val="multilevel"/>
    <w:tmpl w:val="39133CA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3BF917C4"/>
    <w:multiLevelType w:val="singleLevel"/>
    <w:tmpl w:val="3BF917C4"/>
    <w:lvl w:ilvl="0" w:tentative="0">
      <w:start w:val="1"/>
      <w:numFmt w:val="bullet"/>
      <w:lvlText w:val=""/>
      <w:lvlJc w:val="left"/>
      <w:pPr>
        <w:tabs>
          <w:tab w:val="left" w:pos="420"/>
        </w:tabs>
        <w:ind w:left="840" w:hanging="420"/>
      </w:pPr>
      <w:rPr>
        <w:rFonts w:hint="default" w:ascii="Wingdings" w:hAnsi="Wingdings"/>
      </w:rPr>
    </w:lvl>
  </w:abstractNum>
  <w:abstractNum w:abstractNumId="55">
    <w:nsid w:val="3CC5159D"/>
    <w:multiLevelType w:val="multilevel"/>
    <w:tmpl w:val="3CC5159D"/>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hanging="420"/>
      </w:pPr>
      <w:rPr>
        <w:rFonts w:hint="default" w:ascii="Wingdings" w:hAnsi="Wingdings"/>
      </w:rPr>
    </w:lvl>
    <w:lvl w:ilvl="2" w:tentative="0">
      <w:start w:val="1"/>
      <w:numFmt w:val="bullet"/>
      <w:lvlText w:val=""/>
      <w:lvlJc w:val="left"/>
      <w:pPr>
        <w:tabs>
          <w:tab w:val="left" w:pos="1260"/>
        </w:tabs>
        <w:ind w:left="1680" w:hanging="420"/>
      </w:pPr>
      <w:rPr>
        <w:rFonts w:hint="default" w:ascii="Wingdings" w:hAnsi="Wingdings"/>
      </w:rPr>
    </w:lvl>
    <w:lvl w:ilvl="3" w:tentative="0">
      <w:start w:val="1"/>
      <w:numFmt w:val="bullet"/>
      <w:lvlText w:val=""/>
      <w:lvlJc w:val="left"/>
      <w:pPr>
        <w:tabs>
          <w:tab w:val="left" w:pos="1680"/>
        </w:tabs>
        <w:ind w:left="2100" w:hanging="420"/>
      </w:pPr>
      <w:rPr>
        <w:rFonts w:hint="default" w:ascii="Wingdings" w:hAnsi="Wingdings"/>
      </w:rPr>
    </w:lvl>
    <w:lvl w:ilvl="4" w:tentative="0">
      <w:start w:val="1"/>
      <w:numFmt w:val="bullet"/>
      <w:lvlText w:val=""/>
      <w:lvlJc w:val="left"/>
      <w:pPr>
        <w:tabs>
          <w:tab w:val="left" w:pos="2100"/>
        </w:tabs>
        <w:ind w:left="2520" w:hanging="420"/>
      </w:pPr>
      <w:rPr>
        <w:rFonts w:hint="default" w:ascii="Wingdings" w:hAnsi="Wingdings"/>
      </w:rPr>
    </w:lvl>
    <w:lvl w:ilvl="5" w:tentative="0">
      <w:start w:val="1"/>
      <w:numFmt w:val="bullet"/>
      <w:lvlText w:val=""/>
      <w:lvlJc w:val="left"/>
      <w:pPr>
        <w:tabs>
          <w:tab w:val="left" w:pos="2520"/>
        </w:tabs>
        <w:ind w:left="2940" w:hanging="420"/>
      </w:pPr>
      <w:rPr>
        <w:rFonts w:hint="default" w:ascii="Wingdings" w:hAnsi="Wingdings"/>
      </w:rPr>
    </w:lvl>
    <w:lvl w:ilvl="6" w:tentative="0">
      <w:start w:val="1"/>
      <w:numFmt w:val="bullet"/>
      <w:lvlText w:val=""/>
      <w:lvlJc w:val="left"/>
      <w:pPr>
        <w:tabs>
          <w:tab w:val="left" w:pos="2940"/>
        </w:tabs>
        <w:ind w:left="3360" w:hanging="420"/>
      </w:pPr>
      <w:rPr>
        <w:rFonts w:hint="default" w:ascii="Wingdings" w:hAnsi="Wingdings"/>
      </w:rPr>
    </w:lvl>
    <w:lvl w:ilvl="7" w:tentative="0">
      <w:start w:val="1"/>
      <w:numFmt w:val="bullet"/>
      <w:lvlText w:val=""/>
      <w:lvlJc w:val="left"/>
      <w:pPr>
        <w:tabs>
          <w:tab w:val="left" w:pos="3360"/>
        </w:tabs>
        <w:ind w:left="3780" w:hanging="420"/>
      </w:pPr>
      <w:rPr>
        <w:rFonts w:hint="default" w:ascii="Wingdings" w:hAnsi="Wingdings"/>
      </w:rPr>
    </w:lvl>
    <w:lvl w:ilvl="8" w:tentative="0">
      <w:start w:val="1"/>
      <w:numFmt w:val="bullet"/>
      <w:lvlText w:val=""/>
      <w:lvlJc w:val="left"/>
      <w:pPr>
        <w:tabs>
          <w:tab w:val="left" w:pos="3780"/>
        </w:tabs>
        <w:ind w:left="4200" w:hanging="420"/>
      </w:pPr>
      <w:rPr>
        <w:rFonts w:hint="default" w:ascii="Wingdings" w:hAnsi="Wingdings"/>
      </w:rPr>
    </w:lvl>
  </w:abstractNum>
  <w:abstractNum w:abstractNumId="56">
    <w:nsid w:val="40F0FA4D"/>
    <w:multiLevelType w:val="singleLevel"/>
    <w:tmpl w:val="40F0FA4D"/>
    <w:lvl w:ilvl="0" w:tentative="0">
      <w:start w:val="1"/>
      <w:numFmt w:val="bullet"/>
      <w:lvlText w:val=""/>
      <w:lvlJc w:val="left"/>
      <w:pPr>
        <w:tabs>
          <w:tab w:val="left" w:pos="420"/>
        </w:tabs>
        <w:ind w:left="840" w:hanging="420"/>
      </w:pPr>
      <w:rPr>
        <w:rFonts w:hint="default" w:ascii="Wingdings" w:hAnsi="Wingdings"/>
      </w:rPr>
    </w:lvl>
  </w:abstractNum>
  <w:abstractNum w:abstractNumId="57">
    <w:nsid w:val="40FC380F"/>
    <w:multiLevelType w:val="singleLevel"/>
    <w:tmpl w:val="40FC380F"/>
    <w:lvl w:ilvl="0" w:tentative="0">
      <w:start w:val="1"/>
      <w:numFmt w:val="bullet"/>
      <w:lvlText w:val=""/>
      <w:lvlJc w:val="left"/>
      <w:pPr>
        <w:ind w:left="420" w:hanging="420"/>
      </w:pPr>
      <w:rPr>
        <w:rFonts w:hint="default" w:ascii="Wingdings" w:hAnsi="Wingdings"/>
      </w:rPr>
    </w:lvl>
  </w:abstractNum>
  <w:abstractNum w:abstractNumId="58">
    <w:nsid w:val="41D83737"/>
    <w:multiLevelType w:val="singleLevel"/>
    <w:tmpl w:val="41D83737"/>
    <w:lvl w:ilvl="0" w:tentative="0">
      <w:start w:val="1"/>
      <w:numFmt w:val="bullet"/>
      <w:lvlText w:val=""/>
      <w:lvlJc w:val="left"/>
      <w:pPr>
        <w:ind w:left="420" w:hanging="420"/>
      </w:pPr>
      <w:rPr>
        <w:rFonts w:hint="default" w:ascii="Wingdings" w:hAnsi="Wingdings"/>
      </w:rPr>
    </w:lvl>
  </w:abstractNum>
  <w:abstractNum w:abstractNumId="59">
    <w:nsid w:val="47695163"/>
    <w:multiLevelType w:val="singleLevel"/>
    <w:tmpl w:val="47695163"/>
    <w:lvl w:ilvl="0" w:tentative="0">
      <w:start w:val="1"/>
      <w:numFmt w:val="bullet"/>
      <w:lvlText w:val=""/>
      <w:lvlJc w:val="left"/>
      <w:pPr>
        <w:ind w:left="420" w:hanging="420"/>
      </w:pPr>
      <w:rPr>
        <w:rFonts w:hint="default" w:ascii="Wingdings" w:hAnsi="Wingdings"/>
      </w:rPr>
    </w:lvl>
  </w:abstractNum>
  <w:abstractNum w:abstractNumId="60">
    <w:nsid w:val="495F7D18"/>
    <w:multiLevelType w:val="multilevel"/>
    <w:tmpl w:val="495F7D1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1">
    <w:nsid w:val="4A0B39C5"/>
    <w:multiLevelType w:val="multilevel"/>
    <w:tmpl w:val="4A0B39C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2">
    <w:nsid w:val="4C6C3EE1"/>
    <w:multiLevelType w:val="multilevel"/>
    <w:tmpl w:val="4C6C3E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3">
    <w:nsid w:val="4E6E1AF7"/>
    <w:multiLevelType w:val="multilevel"/>
    <w:tmpl w:val="4E6E1AF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4">
    <w:nsid w:val="4EF78762"/>
    <w:multiLevelType w:val="singleLevel"/>
    <w:tmpl w:val="4EF78762"/>
    <w:lvl w:ilvl="0" w:tentative="0">
      <w:start w:val="1"/>
      <w:numFmt w:val="bullet"/>
      <w:lvlText w:val=""/>
      <w:lvlJc w:val="left"/>
      <w:pPr>
        <w:tabs>
          <w:tab w:val="left" w:pos="420"/>
        </w:tabs>
        <w:ind w:left="840" w:hanging="420"/>
      </w:pPr>
      <w:rPr>
        <w:rFonts w:hint="default" w:ascii="Wingdings" w:hAnsi="Wingdings"/>
      </w:rPr>
    </w:lvl>
  </w:abstractNum>
  <w:abstractNum w:abstractNumId="65">
    <w:nsid w:val="526A6909"/>
    <w:multiLevelType w:val="multilevel"/>
    <w:tmpl w:val="526A6909"/>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6">
    <w:nsid w:val="539E2B67"/>
    <w:multiLevelType w:val="multilevel"/>
    <w:tmpl w:val="539E2B67"/>
    <w:lvl w:ilvl="0" w:tentative="0">
      <w:start w:val="1"/>
      <w:numFmt w:val="bullet"/>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67">
    <w:nsid w:val="5B117574"/>
    <w:multiLevelType w:val="multilevel"/>
    <w:tmpl w:val="5B11757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8">
    <w:nsid w:val="5BB36075"/>
    <w:multiLevelType w:val="multilevel"/>
    <w:tmpl w:val="5BB360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5E42EF0B"/>
    <w:multiLevelType w:val="multilevel"/>
    <w:tmpl w:val="5E42EF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0">
    <w:nsid w:val="61DE5109"/>
    <w:multiLevelType w:val="multilevel"/>
    <w:tmpl w:val="61DE51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1">
    <w:nsid w:val="647899BF"/>
    <w:multiLevelType w:val="singleLevel"/>
    <w:tmpl w:val="647899BF"/>
    <w:lvl w:ilvl="0" w:tentative="0">
      <w:start w:val="1"/>
      <w:numFmt w:val="bullet"/>
      <w:lvlText w:val=""/>
      <w:lvlJc w:val="left"/>
      <w:pPr>
        <w:tabs>
          <w:tab w:val="left" w:pos="420"/>
        </w:tabs>
        <w:ind w:left="840" w:hanging="420"/>
      </w:pPr>
      <w:rPr>
        <w:rFonts w:hint="default" w:ascii="Wingdings" w:hAnsi="Wingdings"/>
      </w:rPr>
    </w:lvl>
  </w:abstractNum>
  <w:abstractNum w:abstractNumId="72">
    <w:nsid w:val="64ABD60C"/>
    <w:multiLevelType w:val="multilevel"/>
    <w:tmpl w:val="64ABD6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3">
    <w:nsid w:val="65DE5C77"/>
    <w:multiLevelType w:val="singleLevel"/>
    <w:tmpl w:val="65DE5C77"/>
    <w:lvl w:ilvl="0" w:tentative="0">
      <w:start w:val="1"/>
      <w:numFmt w:val="bullet"/>
      <w:lvlText w:val=""/>
      <w:lvlJc w:val="left"/>
      <w:pPr>
        <w:ind w:left="420" w:hanging="420"/>
      </w:pPr>
      <w:rPr>
        <w:rFonts w:hint="default" w:ascii="Wingdings" w:hAnsi="Wingdings"/>
      </w:rPr>
    </w:lvl>
  </w:abstractNum>
  <w:abstractNum w:abstractNumId="74">
    <w:nsid w:val="65E122B5"/>
    <w:multiLevelType w:val="multilevel"/>
    <w:tmpl w:val="65E122B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5">
    <w:nsid w:val="6703A66D"/>
    <w:multiLevelType w:val="multilevel"/>
    <w:tmpl w:val="6703A6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6">
    <w:nsid w:val="6A3BA5A1"/>
    <w:multiLevelType w:val="singleLevel"/>
    <w:tmpl w:val="6A3BA5A1"/>
    <w:lvl w:ilvl="0" w:tentative="0">
      <w:start w:val="1"/>
      <w:numFmt w:val="bullet"/>
      <w:lvlText w:val=""/>
      <w:lvlJc w:val="left"/>
      <w:pPr>
        <w:tabs>
          <w:tab w:val="left" w:pos="420"/>
        </w:tabs>
        <w:ind w:left="840" w:hanging="420"/>
      </w:pPr>
      <w:rPr>
        <w:rFonts w:hint="default" w:ascii="Wingdings" w:hAnsi="Wingdings"/>
      </w:rPr>
    </w:lvl>
  </w:abstractNum>
  <w:abstractNum w:abstractNumId="77">
    <w:nsid w:val="6A980581"/>
    <w:multiLevelType w:val="multilevel"/>
    <w:tmpl w:val="6A98058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8">
    <w:nsid w:val="6B230678"/>
    <w:multiLevelType w:val="multilevel"/>
    <w:tmpl w:val="6B2306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9">
    <w:nsid w:val="7155299D"/>
    <w:multiLevelType w:val="multilevel"/>
    <w:tmpl w:val="715529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0">
    <w:nsid w:val="72090AE8"/>
    <w:multiLevelType w:val="multilevel"/>
    <w:tmpl w:val="72090A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1">
    <w:nsid w:val="756C08FC"/>
    <w:multiLevelType w:val="multilevel"/>
    <w:tmpl w:val="756C08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2">
    <w:nsid w:val="7A41D15A"/>
    <w:multiLevelType w:val="multilevel"/>
    <w:tmpl w:val="7A41D15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3">
    <w:nsid w:val="7A4632A3"/>
    <w:multiLevelType w:val="multilevel"/>
    <w:tmpl w:val="7A4632A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4">
    <w:nsid w:val="7B356E17"/>
    <w:multiLevelType w:val="multilevel"/>
    <w:tmpl w:val="7B356E1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5">
    <w:nsid w:val="7B7F82FF"/>
    <w:multiLevelType w:val="multilevel"/>
    <w:tmpl w:val="7B7F82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6">
    <w:nsid w:val="7CA46BEC"/>
    <w:multiLevelType w:val="multilevel"/>
    <w:tmpl w:val="7CA46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7">
    <w:nsid w:val="7D3065B8"/>
    <w:multiLevelType w:val="multilevel"/>
    <w:tmpl w:val="7D3065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8">
    <w:nsid w:val="7D5D1A06"/>
    <w:multiLevelType w:val="multilevel"/>
    <w:tmpl w:val="7D5D1A0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9">
    <w:nsid w:val="7E0C5D04"/>
    <w:multiLevelType w:val="multilevel"/>
    <w:tmpl w:val="7E0C5D04"/>
    <w:lvl w:ilvl="0" w:tentative="0">
      <w:start w:val="1"/>
      <w:numFmt w:val="bullet"/>
      <w:lvlText w:val=""/>
      <w:lvlJc w:val="left"/>
      <w:pPr>
        <w:ind w:left="643" w:hanging="420"/>
      </w:pPr>
      <w:rPr>
        <w:rFonts w:hint="default" w:ascii="Wingdings" w:hAnsi="Wingdings"/>
      </w:rPr>
    </w:lvl>
    <w:lvl w:ilvl="1" w:tentative="0">
      <w:start w:val="1"/>
      <w:numFmt w:val="bullet"/>
      <w:lvlText w:val=""/>
      <w:lvlJc w:val="left"/>
      <w:pPr>
        <w:ind w:left="1063" w:hanging="420"/>
      </w:pPr>
      <w:rPr>
        <w:rFonts w:hint="default" w:ascii="Wingdings" w:hAnsi="Wingdings"/>
      </w:rPr>
    </w:lvl>
    <w:lvl w:ilvl="2" w:tentative="0">
      <w:start w:val="1"/>
      <w:numFmt w:val="bullet"/>
      <w:lvlText w:val=""/>
      <w:lvlJc w:val="left"/>
      <w:pPr>
        <w:ind w:left="1483" w:hanging="420"/>
      </w:pPr>
      <w:rPr>
        <w:rFonts w:hint="default" w:ascii="Wingdings" w:hAnsi="Wingdings"/>
      </w:rPr>
    </w:lvl>
    <w:lvl w:ilvl="3" w:tentative="0">
      <w:start w:val="1"/>
      <w:numFmt w:val="bullet"/>
      <w:lvlText w:val=""/>
      <w:lvlJc w:val="left"/>
      <w:pPr>
        <w:ind w:left="1903" w:hanging="420"/>
      </w:pPr>
      <w:rPr>
        <w:rFonts w:hint="default" w:ascii="Wingdings" w:hAnsi="Wingdings"/>
      </w:rPr>
    </w:lvl>
    <w:lvl w:ilvl="4" w:tentative="0">
      <w:start w:val="1"/>
      <w:numFmt w:val="bullet"/>
      <w:lvlText w:val=""/>
      <w:lvlJc w:val="left"/>
      <w:pPr>
        <w:ind w:left="2323" w:hanging="420"/>
      </w:pPr>
      <w:rPr>
        <w:rFonts w:hint="default" w:ascii="Wingdings" w:hAnsi="Wingdings"/>
      </w:rPr>
    </w:lvl>
    <w:lvl w:ilvl="5" w:tentative="0">
      <w:start w:val="1"/>
      <w:numFmt w:val="bullet"/>
      <w:lvlText w:val=""/>
      <w:lvlJc w:val="left"/>
      <w:pPr>
        <w:ind w:left="2743" w:hanging="420"/>
      </w:pPr>
      <w:rPr>
        <w:rFonts w:hint="default" w:ascii="Wingdings" w:hAnsi="Wingdings"/>
      </w:rPr>
    </w:lvl>
    <w:lvl w:ilvl="6" w:tentative="0">
      <w:start w:val="1"/>
      <w:numFmt w:val="bullet"/>
      <w:lvlText w:val=""/>
      <w:lvlJc w:val="left"/>
      <w:pPr>
        <w:ind w:left="3163" w:hanging="420"/>
      </w:pPr>
      <w:rPr>
        <w:rFonts w:hint="default" w:ascii="Wingdings" w:hAnsi="Wingdings"/>
      </w:rPr>
    </w:lvl>
    <w:lvl w:ilvl="7" w:tentative="0">
      <w:start w:val="1"/>
      <w:numFmt w:val="bullet"/>
      <w:lvlText w:val=""/>
      <w:lvlJc w:val="left"/>
      <w:pPr>
        <w:ind w:left="3583" w:hanging="420"/>
      </w:pPr>
      <w:rPr>
        <w:rFonts w:hint="default" w:ascii="Wingdings" w:hAnsi="Wingdings"/>
      </w:rPr>
    </w:lvl>
    <w:lvl w:ilvl="8" w:tentative="0">
      <w:start w:val="1"/>
      <w:numFmt w:val="bullet"/>
      <w:lvlText w:val=""/>
      <w:lvlJc w:val="left"/>
      <w:pPr>
        <w:ind w:left="4003" w:hanging="420"/>
      </w:pPr>
      <w:rPr>
        <w:rFonts w:hint="default" w:ascii="Wingdings" w:hAnsi="Wingdings"/>
      </w:rPr>
    </w:lvl>
  </w:abstractNum>
  <w:abstractNum w:abstractNumId="90">
    <w:nsid w:val="7FB51F3F"/>
    <w:multiLevelType w:val="multilevel"/>
    <w:tmpl w:val="7FB51F3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4"/>
  </w:num>
  <w:num w:numId="2">
    <w:abstractNumId w:val="51"/>
  </w:num>
  <w:num w:numId="3">
    <w:abstractNumId w:val="40"/>
  </w:num>
  <w:num w:numId="4">
    <w:abstractNumId w:val="26"/>
  </w:num>
  <w:num w:numId="5">
    <w:abstractNumId w:val="23"/>
  </w:num>
  <w:num w:numId="6">
    <w:abstractNumId w:val="27"/>
  </w:num>
  <w:num w:numId="7">
    <w:abstractNumId w:val="32"/>
  </w:num>
  <w:num w:numId="8">
    <w:abstractNumId w:val="62"/>
  </w:num>
  <w:num w:numId="9">
    <w:abstractNumId w:val="72"/>
  </w:num>
  <w:num w:numId="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76"/>
  </w:num>
  <w:num w:numId="13">
    <w:abstractNumId w:val="12"/>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1"/>
  </w:num>
  <w:num w:numId="17">
    <w:abstractNumId w:val="25"/>
  </w:num>
  <w:num w:numId="18">
    <w:abstractNumId w:val="73"/>
  </w:num>
  <w:num w:numId="19">
    <w:abstractNumId w:val="17"/>
  </w:num>
  <w:num w:numId="20">
    <w:abstractNumId w:val="19"/>
  </w:num>
  <w:num w:numId="21">
    <w:abstractNumId w:val="3"/>
  </w:num>
  <w:num w:numId="22">
    <w:abstractNumId w:val="22"/>
  </w:num>
  <w:num w:numId="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num>
  <w:num w:numId="25">
    <w:abstractNumId w:val="8"/>
  </w:num>
  <w:num w:numId="26">
    <w:abstractNumId w:val="58"/>
  </w:num>
  <w:num w:numId="27">
    <w:abstractNumId w:val="75"/>
  </w:num>
  <w:num w:numId="28">
    <w:abstractNumId w:val="20"/>
  </w:num>
  <w:num w:numId="29">
    <w:abstractNumId w:val="78"/>
  </w:num>
  <w:num w:numId="30">
    <w:abstractNumId w:val="50"/>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10"/>
  </w:num>
  <w:num w:numId="34">
    <w:abstractNumId w:val="54"/>
  </w:num>
  <w:num w:numId="35">
    <w:abstractNumId w:val="14"/>
  </w:num>
  <w:num w:numId="3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57"/>
  </w:num>
  <w:num w:numId="39">
    <w:abstractNumId w:val="55"/>
  </w:num>
  <w:num w:numId="40">
    <w:abstractNumId w:val="33"/>
  </w:num>
  <w:num w:numId="41">
    <w:abstractNumId w:val="21"/>
  </w:num>
  <w:num w:numId="4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num>
  <w:num w:numId="44">
    <w:abstractNumId w:val="5"/>
  </w:num>
  <w:num w:numId="45">
    <w:abstractNumId w:val="4"/>
  </w:num>
  <w:num w:numId="46">
    <w:abstractNumId w:val="68"/>
  </w:num>
  <w:num w:numId="47">
    <w:abstractNumId w:val="71"/>
  </w:num>
  <w:num w:numId="48">
    <w:abstractNumId w:val="37"/>
  </w:num>
  <w:num w:numId="49">
    <w:abstractNumId w:val="36"/>
  </w:num>
  <w:num w:numId="50">
    <w:abstractNumId w:val="9"/>
  </w:num>
  <w:num w:numId="51">
    <w:abstractNumId w:val="2"/>
  </w:num>
  <w:num w:numId="52">
    <w:abstractNumId w:val="34"/>
  </w:num>
  <w:num w:numId="53">
    <w:abstractNumId w:val="82"/>
  </w:num>
  <w:num w:numId="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89"/>
  </w:num>
  <w:num w:numId="56">
    <w:abstractNumId w:val="39"/>
  </w:num>
  <w:num w:numId="57">
    <w:abstractNumId w:val="70"/>
  </w:num>
  <w:num w:numId="5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3"/>
  </w:num>
  <w:num w:numId="60">
    <w:abstractNumId w:val="47"/>
  </w:num>
  <w:num w:numId="6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60"/>
  </w:num>
  <w:num w:numId="64">
    <w:abstractNumId w:val="42"/>
  </w:num>
  <w:num w:numId="6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77"/>
  </w:num>
  <w:num w:numId="67">
    <w:abstractNumId w:val="86"/>
  </w:num>
  <w:num w:numId="68">
    <w:abstractNumId w:val="67"/>
  </w:num>
  <w:num w:numId="69">
    <w:abstractNumId w:val="79"/>
  </w:num>
  <w:num w:numId="70">
    <w:abstractNumId w:val="74"/>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1"/>
  </w:num>
  <w:num w:numId="74">
    <w:abstractNumId w:val="87"/>
  </w:num>
  <w:num w:numId="75">
    <w:abstractNumId w:val="84"/>
  </w:num>
  <w:num w:numId="76">
    <w:abstractNumId w:val="29"/>
  </w:num>
  <w:num w:numId="7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2"/>
  </w:num>
  <w:num w:numId="79">
    <w:abstractNumId w:val="35"/>
  </w:num>
  <w:num w:numId="80">
    <w:abstractNumId w:val="38"/>
  </w:num>
  <w:num w:numId="81">
    <w:abstractNumId w:val="66"/>
  </w:num>
  <w:num w:numId="8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9"/>
  </w:num>
  <w:num w:numId="84">
    <w:abstractNumId w:val="6"/>
  </w:num>
  <w:num w:numId="85">
    <w:abstractNumId w:val="61"/>
  </w:num>
  <w:num w:numId="8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9"/>
  </w:num>
  <w:num w:numId="88">
    <w:abstractNumId w:val="31"/>
  </w:num>
  <w:num w:numId="89">
    <w:abstractNumId w:val="43"/>
  </w:num>
  <w:num w:numId="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69"/>
  </w:num>
  <w:num w:numId="92">
    <w:abstractNumId w:val="1"/>
  </w:num>
  <w:num w:numId="93">
    <w:abstractNumId w:val="85"/>
  </w:num>
  <w:num w:numId="9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6"/>
  </w:num>
  <w:num w:numId="96">
    <w:abstractNumId w:val="24"/>
  </w:num>
  <w:num w:numId="9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0"/>
  </w:num>
  <w:num w:numId="99">
    <w:abstractNumId w:val="88"/>
  </w:num>
  <w:num w:numId="100">
    <w:abstractNumId w:val="30"/>
  </w:num>
  <w:num w:numId="101">
    <w:abstractNumId w:val="46"/>
  </w:num>
  <w:num w:numId="102">
    <w:abstractNumId w:val="64"/>
  </w:num>
  <w:num w:numId="10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45"/>
  </w:num>
  <w:num w:numId="105">
    <w:abstractNumId w:val="18"/>
  </w:num>
  <w:num w:numId="106">
    <w:abstractNumId w:val="83"/>
  </w:num>
  <w:num w:numId="107">
    <w:abstractNumId w:val="65"/>
  </w:num>
  <w:num w:numId="108">
    <w:abstractNumId w:val="90"/>
  </w:num>
  <w:num w:numId="10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cxZTc3NzhmMTdlYmVhZjMzOGM3YmFkOTY0YmYyMmQifQ=="/>
  </w:docVars>
  <w:rsids>
    <w:rsidRoot w:val="00671932"/>
    <w:rsid w:val="00000A94"/>
    <w:rsid w:val="00007DE6"/>
    <w:rsid w:val="000126C5"/>
    <w:rsid w:val="00015B0C"/>
    <w:rsid w:val="00022CCD"/>
    <w:rsid w:val="00033C0F"/>
    <w:rsid w:val="000347FC"/>
    <w:rsid w:val="00036DEE"/>
    <w:rsid w:val="00041AB8"/>
    <w:rsid w:val="00045F73"/>
    <w:rsid w:val="00050127"/>
    <w:rsid w:val="00055E2B"/>
    <w:rsid w:val="00056716"/>
    <w:rsid w:val="00061208"/>
    <w:rsid w:val="00062BE9"/>
    <w:rsid w:val="00072484"/>
    <w:rsid w:val="0007606A"/>
    <w:rsid w:val="000763DD"/>
    <w:rsid w:val="00085769"/>
    <w:rsid w:val="00085BBD"/>
    <w:rsid w:val="00090B2A"/>
    <w:rsid w:val="0009127E"/>
    <w:rsid w:val="000921DF"/>
    <w:rsid w:val="00097116"/>
    <w:rsid w:val="000A3DBB"/>
    <w:rsid w:val="000A598A"/>
    <w:rsid w:val="000A65D6"/>
    <w:rsid w:val="000B3D64"/>
    <w:rsid w:val="000C1E9C"/>
    <w:rsid w:val="000C698F"/>
    <w:rsid w:val="000C6CE8"/>
    <w:rsid w:val="000D0B65"/>
    <w:rsid w:val="000D43FB"/>
    <w:rsid w:val="000E0A9A"/>
    <w:rsid w:val="000E15A7"/>
    <w:rsid w:val="000E332B"/>
    <w:rsid w:val="000E434D"/>
    <w:rsid w:val="000E5AB3"/>
    <w:rsid w:val="00101742"/>
    <w:rsid w:val="00101FE8"/>
    <w:rsid w:val="0010781A"/>
    <w:rsid w:val="00112C5D"/>
    <w:rsid w:val="001344E8"/>
    <w:rsid w:val="00144CDA"/>
    <w:rsid w:val="001464E0"/>
    <w:rsid w:val="00151FD4"/>
    <w:rsid w:val="0015272C"/>
    <w:rsid w:val="00152DC8"/>
    <w:rsid w:val="00153185"/>
    <w:rsid w:val="00156FD3"/>
    <w:rsid w:val="00166D37"/>
    <w:rsid w:val="00174500"/>
    <w:rsid w:val="001809A4"/>
    <w:rsid w:val="001824D7"/>
    <w:rsid w:val="00183D54"/>
    <w:rsid w:val="00192BF4"/>
    <w:rsid w:val="00194B28"/>
    <w:rsid w:val="001963BB"/>
    <w:rsid w:val="00196666"/>
    <w:rsid w:val="001A2156"/>
    <w:rsid w:val="001B4E91"/>
    <w:rsid w:val="001B6629"/>
    <w:rsid w:val="001C759E"/>
    <w:rsid w:val="001C7BB3"/>
    <w:rsid w:val="001D14BE"/>
    <w:rsid w:val="001E2A66"/>
    <w:rsid w:val="001E7984"/>
    <w:rsid w:val="001F5146"/>
    <w:rsid w:val="00202401"/>
    <w:rsid w:val="002110BC"/>
    <w:rsid w:val="00211135"/>
    <w:rsid w:val="002157EE"/>
    <w:rsid w:val="00223258"/>
    <w:rsid w:val="002346D5"/>
    <w:rsid w:val="002440EB"/>
    <w:rsid w:val="00254449"/>
    <w:rsid w:val="00254AA7"/>
    <w:rsid w:val="00257864"/>
    <w:rsid w:val="0026138E"/>
    <w:rsid w:val="00264032"/>
    <w:rsid w:val="0026475C"/>
    <w:rsid w:val="00271962"/>
    <w:rsid w:val="00272B1E"/>
    <w:rsid w:val="0027549C"/>
    <w:rsid w:val="00275703"/>
    <w:rsid w:val="0028059B"/>
    <w:rsid w:val="00280A29"/>
    <w:rsid w:val="00281F01"/>
    <w:rsid w:val="0028673F"/>
    <w:rsid w:val="00291F6F"/>
    <w:rsid w:val="00294ED7"/>
    <w:rsid w:val="00297766"/>
    <w:rsid w:val="002A3AEF"/>
    <w:rsid w:val="002A4AD2"/>
    <w:rsid w:val="002A7FE3"/>
    <w:rsid w:val="002B21DA"/>
    <w:rsid w:val="002B483D"/>
    <w:rsid w:val="002B7030"/>
    <w:rsid w:val="002C15AA"/>
    <w:rsid w:val="002C21EB"/>
    <w:rsid w:val="002C299E"/>
    <w:rsid w:val="002C3554"/>
    <w:rsid w:val="002C76B5"/>
    <w:rsid w:val="002D0270"/>
    <w:rsid w:val="002D1AA9"/>
    <w:rsid w:val="002D3EC4"/>
    <w:rsid w:val="002E254C"/>
    <w:rsid w:val="002E280F"/>
    <w:rsid w:val="002E2C2D"/>
    <w:rsid w:val="002E36F6"/>
    <w:rsid w:val="002E6776"/>
    <w:rsid w:val="002F46FD"/>
    <w:rsid w:val="002F5051"/>
    <w:rsid w:val="002F59C0"/>
    <w:rsid w:val="00310A69"/>
    <w:rsid w:val="00321A66"/>
    <w:rsid w:val="003242F6"/>
    <w:rsid w:val="003259CF"/>
    <w:rsid w:val="00326012"/>
    <w:rsid w:val="00340333"/>
    <w:rsid w:val="003403B6"/>
    <w:rsid w:val="00341B23"/>
    <w:rsid w:val="00343C3C"/>
    <w:rsid w:val="003466CA"/>
    <w:rsid w:val="00355637"/>
    <w:rsid w:val="003571FD"/>
    <w:rsid w:val="00357615"/>
    <w:rsid w:val="0036108E"/>
    <w:rsid w:val="003643D2"/>
    <w:rsid w:val="00365D76"/>
    <w:rsid w:val="00365FA5"/>
    <w:rsid w:val="00372BEA"/>
    <w:rsid w:val="003737EF"/>
    <w:rsid w:val="003752BE"/>
    <w:rsid w:val="00381D6D"/>
    <w:rsid w:val="0038728E"/>
    <w:rsid w:val="00392618"/>
    <w:rsid w:val="00392CFB"/>
    <w:rsid w:val="00397031"/>
    <w:rsid w:val="003A02F3"/>
    <w:rsid w:val="003A1867"/>
    <w:rsid w:val="003A4F4B"/>
    <w:rsid w:val="003B13A7"/>
    <w:rsid w:val="003B4DAE"/>
    <w:rsid w:val="003B6925"/>
    <w:rsid w:val="003B7A90"/>
    <w:rsid w:val="003C06AA"/>
    <w:rsid w:val="003C2C94"/>
    <w:rsid w:val="003C513E"/>
    <w:rsid w:val="003D184F"/>
    <w:rsid w:val="003D2276"/>
    <w:rsid w:val="003D47BA"/>
    <w:rsid w:val="003D65C2"/>
    <w:rsid w:val="003D68F2"/>
    <w:rsid w:val="003E2E14"/>
    <w:rsid w:val="003F0340"/>
    <w:rsid w:val="003F0DA8"/>
    <w:rsid w:val="003F11D4"/>
    <w:rsid w:val="003F145B"/>
    <w:rsid w:val="003F18F7"/>
    <w:rsid w:val="003F3C46"/>
    <w:rsid w:val="003F4E01"/>
    <w:rsid w:val="0040157B"/>
    <w:rsid w:val="00412FAF"/>
    <w:rsid w:val="004162D3"/>
    <w:rsid w:val="004333CF"/>
    <w:rsid w:val="00433876"/>
    <w:rsid w:val="00442363"/>
    <w:rsid w:val="00443E19"/>
    <w:rsid w:val="004629AB"/>
    <w:rsid w:val="004637F9"/>
    <w:rsid w:val="00463F8B"/>
    <w:rsid w:val="0046746D"/>
    <w:rsid w:val="0047589F"/>
    <w:rsid w:val="004764E5"/>
    <w:rsid w:val="00492851"/>
    <w:rsid w:val="00494120"/>
    <w:rsid w:val="00495D05"/>
    <w:rsid w:val="004A2270"/>
    <w:rsid w:val="004A292C"/>
    <w:rsid w:val="004B3D68"/>
    <w:rsid w:val="004C34D9"/>
    <w:rsid w:val="004C49AD"/>
    <w:rsid w:val="004C5248"/>
    <w:rsid w:val="004D63E0"/>
    <w:rsid w:val="004E022C"/>
    <w:rsid w:val="004E0685"/>
    <w:rsid w:val="004E2A6A"/>
    <w:rsid w:val="004E7554"/>
    <w:rsid w:val="004E7B25"/>
    <w:rsid w:val="004F0B48"/>
    <w:rsid w:val="004F281B"/>
    <w:rsid w:val="004F589C"/>
    <w:rsid w:val="00507E88"/>
    <w:rsid w:val="00517932"/>
    <w:rsid w:val="00523A9E"/>
    <w:rsid w:val="00527E04"/>
    <w:rsid w:val="00530D4C"/>
    <w:rsid w:val="00532713"/>
    <w:rsid w:val="00546EAD"/>
    <w:rsid w:val="00560719"/>
    <w:rsid w:val="00576303"/>
    <w:rsid w:val="00577B70"/>
    <w:rsid w:val="00581191"/>
    <w:rsid w:val="00586B6D"/>
    <w:rsid w:val="005876BF"/>
    <w:rsid w:val="0059298D"/>
    <w:rsid w:val="00592D98"/>
    <w:rsid w:val="005A2E9B"/>
    <w:rsid w:val="005A36C3"/>
    <w:rsid w:val="005A37CC"/>
    <w:rsid w:val="005A76D8"/>
    <w:rsid w:val="005B6713"/>
    <w:rsid w:val="005C1967"/>
    <w:rsid w:val="005C29E1"/>
    <w:rsid w:val="005C2DCE"/>
    <w:rsid w:val="005C3A36"/>
    <w:rsid w:val="005C6D16"/>
    <w:rsid w:val="005D3A31"/>
    <w:rsid w:val="005E24EC"/>
    <w:rsid w:val="005E3D78"/>
    <w:rsid w:val="005E4DAB"/>
    <w:rsid w:val="005F3D69"/>
    <w:rsid w:val="005F4CAB"/>
    <w:rsid w:val="005F4EDE"/>
    <w:rsid w:val="00601BB0"/>
    <w:rsid w:val="0060587C"/>
    <w:rsid w:val="00627608"/>
    <w:rsid w:val="00631135"/>
    <w:rsid w:val="0063136A"/>
    <w:rsid w:val="00644666"/>
    <w:rsid w:val="006457AD"/>
    <w:rsid w:val="00650228"/>
    <w:rsid w:val="00652535"/>
    <w:rsid w:val="00657AD3"/>
    <w:rsid w:val="00664136"/>
    <w:rsid w:val="00665B5B"/>
    <w:rsid w:val="00671932"/>
    <w:rsid w:val="0067218C"/>
    <w:rsid w:val="006863EF"/>
    <w:rsid w:val="0068721D"/>
    <w:rsid w:val="006912B0"/>
    <w:rsid w:val="006950A1"/>
    <w:rsid w:val="00696F25"/>
    <w:rsid w:val="006A0965"/>
    <w:rsid w:val="006A1D19"/>
    <w:rsid w:val="006A4894"/>
    <w:rsid w:val="006A524F"/>
    <w:rsid w:val="006B162C"/>
    <w:rsid w:val="006B515B"/>
    <w:rsid w:val="006B726F"/>
    <w:rsid w:val="006C2035"/>
    <w:rsid w:val="006D0F17"/>
    <w:rsid w:val="006D2AC9"/>
    <w:rsid w:val="006D5248"/>
    <w:rsid w:val="006D59C9"/>
    <w:rsid w:val="006D7679"/>
    <w:rsid w:val="006E4FF1"/>
    <w:rsid w:val="006E70AE"/>
    <w:rsid w:val="006F06FA"/>
    <w:rsid w:val="006F276F"/>
    <w:rsid w:val="006F415C"/>
    <w:rsid w:val="006F51C4"/>
    <w:rsid w:val="006F69B5"/>
    <w:rsid w:val="006F7FCF"/>
    <w:rsid w:val="007010E9"/>
    <w:rsid w:val="00703467"/>
    <w:rsid w:val="00704F06"/>
    <w:rsid w:val="00707474"/>
    <w:rsid w:val="007147D0"/>
    <w:rsid w:val="0072085E"/>
    <w:rsid w:val="00735118"/>
    <w:rsid w:val="00741C61"/>
    <w:rsid w:val="00743F32"/>
    <w:rsid w:val="007453F4"/>
    <w:rsid w:val="007518F7"/>
    <w:rsid w:val="00752AB3"/>
    <w:rsid w:val="00757550"/>
    <w:rsid w:val="007611B5"/>
    <w:rsid w:val="007626DC"/>
    <w:rsid w:val="00762C8B"/>
    <w:rsid w:val="007648EB"/>
    <w:rsid w:val="00765DF7"/>
    <w:rsid w:val="00781D31"/>
    <w:rsid w:val="007833BA"/>
    <w:rsid w:val="007877CE"/>
    <w:rsid w:val="007A71A9"/>
    <w:rsid w:val="007B09C6"/>
    <w:rsid w:val="007B38FC"/>
    <w:rsid w:val="007B64DD"/>
    <w:rsid w:val="007C1EF5"/>
    <w:rsid w:val="007C2C43"/>
    <w:rsid w:val="007C2DF6"/>
    <w:rsid w:val="007D02D4"/>
    <w:rsid w:val="007D2442"/>
    <w:rsid w:val="007D7986"/>
    <w:rsid w:val="007E1785"/>
    <w:rsid w:val="007F1F2A"/>
    <w:rsid w:val="007F25F5"/>
    <w:rsid w:val="007F5FC9"/>
    <w:rsid w:val="007F6399"/>
    <w:rsid w:val="00806680"/>
    <w:rsid w:val="00807E32"/>
    <w:rsid w:val="00813BE5"/>
    <w:rsid w:val="008248FF"/>
    <w:rsid w:val="00826D26"/>
    <w:rsid w:val="008304DE"/>
    <w:rsid w:val="00830D47"/>
    <w:rsid w:val="00836885"/>
    <w:rsid w:val="0084242E"/>
    <w:rsid w:val="00861D15"/>
    <w:rsid w:val="00862723"/>
    <w:rsid w:val="008637B1"/>
    <w:rsid w:val="00866B4C"/>
    <w:rsid w:val="008715CA"/>
    <w:rsid w:val="008850FC"/>
    <w:rsid w:val="00887A0F"/>
    <w:rsid w:val="00890D81"/>
    <w:rsid w:val="00891AA6"/>
    <w:rsid w:val="008920D2"/>
    <w:rsid w:val="00892D60"/>
    <w:rsid w:val="008B2A21"/>
    <w:rsid w:val="008B78E2"/>
    <w:rsid w:val="008C0932"/>
    <w:rsid w:val="008D6C3F"/>
    <w:rsid w:val="008E319A"/>
    <w:rsid w:val="008E4641"/>
    <w:rsid w:val="008F0F64"/>
    <w:rsid w:val="00906144"/>
    <w:rsid w:val="009112CB"/>
    <w:rsid w:val="00912764"/>
    <w:rsid w:val="00915C2C"/>
    <w:rsid w:val="00916614"/>
    <w:rsid w:val="00925A98"/>
    <w:rsid w:val="0094506E"/>
    <w:rsid w:val="00950927"/>
    <w:rsid w:val="00950AA3"/>
    <w:rsid w:val="00950BC0"/>
    <w:rsid w:val="009539B6"/>
    <w:rsid w:val="00956D33"/>
    <w:rsid w:val="0095709A"/>
    <w:rsid w:val="009573DE"/>
    <w:rsid w:val="00957B36"/>
    <w:rsid w:val="009662CB"/>
    <w:rsid w:val="00971E64"/>
    <w:rsid w:val="009739AD"/>
    <w:rsid w:val="00980A57"/>
    <w:rsid w:val="00980C7B"/>
    <w:rsid w:val="00985814"/>
    <w:rsid w:val="0098748A"/>
    <w:rsid w:val="0099151A"/>
    <w:rsid w:val="00997EC0"/>
    <w:rsid w:val="009A2BFD"/>
    <w:rsid w:val="009B21EF"/>
    <w:rsid w:val="009B67DA"/>
    <w:rsid w:val="009B7858"/>
    <w:rsid w:val="009C5379"/>
    <w:rsid w:val="009C687D"/>
    <w:rsid w:val="009D1DBC"/>
    <w:rsid w:val="009D4295"/>
    <w:rsid w:val="009E5428"/>
    <w:rsid w:val="009E5E48"/>
    <w:rsid w:val="009E6992"/>
    <w:rsid w:val="009F03C0"/>
    <w:rsid w:val="009F2800"/>
    <w:rsid w:val="009F2898"/>
    <w:rsid w:val="009F6831"/>
    <w:rsid w:val="00A010B9"/>
    <w:rsid w:val="00A0305D"/>
    <w:rsid w:val="00A04295"/>
    <w:rsid w:val="00A1646B"/>
    <w:rsid w:val="00A20220"/>
    <w:rsid w:val="00A26859"/>
    <w:rsid w:val="00A36BFB"/>
    <w:rsid w:val="00A44B01"/>
    <w:rsid w:val="00A454AD"/>
    <w:rsid w:val="00A47D48"/>
    <w:rsid w:val="00A53EF7"/>
    <w:rsid w:val="00A57628"/>
    <w:rsid w:val="00A747F6"/>
    <w:rsid w:val="00A80F3B"/>
    <w:rsid w:val="00A823C8"/>
    <w:rsid w:val="00A87920"/>
    <w:rsid w:val="00AA1898"/>
    <w:rsid w:val="00AA287E"/>
    <w:rsid w:val="00AA4BB7"/>
    <w:rsid w:val="00AB2268"/>
    <w:rsid w:val="00AC02EF"/>
    <w:rsid w:val="00AC3031"/>
    <w:rsid w:val="00AC3D8E"/>
    <w:rsid w:val="00AC5C56"/>
    <w:rsid w:val="00AD143C"/>
    <w:rsid w:val="00AD4F4A"/>
    <w:rsid w:val="00AE04B7"/>
    <w:rsid w:val="00AE195F"/>
    <w:rsid w:val="00AE3297"/>
    <w:rsid w:val="00AE3CC6"/>
    <w:rsid w:val="00AE7998"/>
    <w:rsid w:val="00AF1AEF"/>
    <w:rsid w:val="00B1701E"/>
    <w:rsid w:val="00B212D6"/>
    <w:rsid w:val="00B236F6"/>
    <w:rsid w:val="00B2396B"/>
    <w:rsid w:val="00B27EEF"/>
    <w:rsid w:val="00B31AB1"/>
    <w:rsid w:val="00B4066D"/>
    <w:rsid w:val="00B44536"/>
    <w:rsid w:val="00B4516B"/>
    <w:rsid w:val="00B501A7"/>
    <w:rsid w:val="00B63486"/>
    <w:rsid w:val="00B6666E"/>
    <w:rsid w:val="00B67DC1"/>
    <w:rsid w:val="00B76207"/>
    <w:rsid w:val="00B77898"/>
    <w:rsid w:val="00B836A8"/>
    <w:rsid w:val="00B83B62"/>
    <w:rsid w:val="00B8521C"/>
    <w:rsid w:val="00B92C20"/>
    <w:rsid w:val="00B92EB6"/>
    <w:rsid w:val="00B92F24"/>
    <w:rsid w:val="00B939F7"/>
    <w:rsid w:val="00B948EA"/>
    <w:rsid w:val="00B9681F"/>
    <w:rsid w:val="00BA03AA"/>
    <w:rsid w:val="00BC3FE9"/>
    <w:rsid w:val="00BC4E0F"/>
    <w:rsid w:val="00BC5F2B"/>
    <w:rsid w:val="00BD62DD"/>
    <w:rsid w:val="00BD726B"/>
    <w:rsid w:val="00BE0EC2"/>
    <w:rsid w:val="00BF20BB"/>
    <w:rsid w:val="00C01CAC"/>
    <w:rsid w:val="00C03E54"/>
    <w:rsid w:val="00C12E0A"/>
    <w:rsid w:val="00C12E6F"/>
    <w:rsid w:val="00C20C74"/>
    <w:rsid w:val="00C233DB"/>
    <w:rsid w:val="00C306B5"/>
    <w:rsid w:val="00C314CA"/>
    <w:rsid w:val="00C325F5"/>
    <w:rsid w:val="00C401D8"/>
    <w:rsid w:val="00C4110B"/>
    <w:rsid w:val="00C4293B"/>
    <w:rsid w:val="00C44850"/>
    <w:rsid w:val="00C46726"/>
    <w:rsid w:val="00C5124A"/>
    <w:rsid w:val="00C619D5"/>
    <w:rsid w:val="00C62642"/>
    <w:rsid w:val="00C75809"/>
    <w:rsid w:val="00C7782A"/>
    <w:rsid w:val="00C8179E"/>
    <w:rsid w:val="00C8386D"/>
    <w:rsid w:val="00C85B78"/>
    <w:rsid w:val="00C86460"/>
    <w:rsid w:val="00C90031"/>
    <w:rsid w:val="00C94D92"/>
    <w:rsid w:val="00CA5967"/>
    <w:rsid w:val="00CB0347"/>
    <w:rsid w:val="00CB32FA"/>
    <w:rsid w:val="00CB4551"/>
    <w:rsid w:val="00CC0C24"/>
    <w:rsid w:val="00CC28C4"/>
    <w:rsid w:val="00CC628E"/>
    <w:rsid w:val="00CD165B"/>
    <w:rsid w:val="00CE27C6"/>
    <w:rsid w:val="00CE5DBB"/>
    <w:rsid w:val="00CF4021"/>
    <w:rsid w:val="00CF5B62"/>
    <w:rsid w:val="00CF5CEC"/>
    <w:rsid w:val="00CF5E9B"/>
    <w:rsid w:val="00D02CBA"/>
    <w:rsid w:val="00D03A61"/>
    <w:rsid w:val="00D06806"/>
    <w:rsid w:val="00D11C72"/>
    <w:rsid w:val="00D31C2D"/>
    <w:rsid w:val="00D37FA2"/>
    <w:rsid w:val="00D40FE1"/>
    <w:rsid w:val="00D46E1C"/>
    <w:rsid w:val="00D51115"/>
    <w:rsid w:val="00D56654"/>
    <w:rsid w:val="00D57FCA"/>
    <w:rsid w:val="00D62803"/>
    <w:rsid w:val="00D70EB1"/>
    <w:rsid w:val="00D71636"/>
    <w:rsid w:val="00D81B58"/>
    <w:rsid w:val="00D93980"/>
    <w:rsid w:val="00D95F30"/>
    <w:rsid w:val="00D97546"/>
    <w:rsid w:val="00DA236F"/>
    <w:rsid w:val="00DA3119"/>
    <w:rsid w:val="00DA67D8"/>
    <w:rsid w:val="00DA6AD5"/>
    <w:rsid w:val="00DB32AF"/>
    <w:rsid w:val="00DC0688"/>
    <w:rsid w:val="00DC390E"/>
    <w:rsid w:val="00DE594F"/>
    <w:rsid w:val="00DF5EB7"/>
    <w:rsid w:val="00E071F2"/>
    <w:rsid w:val="00E1335E"/>
    <w:rsid w:val="00E208F4"/>
    <w:rsid w:val="00E2203F"/>
    <w:rsid w:val="00E30A72"/>
    <w:rsid w:val="00E31C2A"/>
    <w:rsid w:val="00E32F46"/>
    <w:rsid w:val="00E358C9"/>
    <w:rsid w:val="00E412DC"/>
    <w:rsid w:val="00E45DC3"/>
    <w:rsid w:val="00E52C89"/>
    <w:rsid w:val="00E60641"/>
    <w:rsid w:val="00E62F83"/>
    <w:rsid w:val="00E67A2F"/>
    <w:rsid w:val="00E750B6"/>
    <w:rsid w:val="00E818F7"/>
    <w:rsid w:val="00E81CE7"/>
    <w:rsid w:val="00E910AE"/>
    <w:rsid w:val="00E91179"/>
    <w:rsid w:val="00E91EBF"/>
    <w:rsid w:val="00E97D11"/>
    <w:rsid w:val="00EA4823"/>
    <w:rsid w:val="00EA566C"/>
    <w:rsid w:val="00EB19D9"/>
    <w:rsid w:val="00EB2B62"/>
    <w:rsid w:val="00EB6463"/>
    <w:rsid w:val="00EC1AAA"/>
    <w:rsid w:val="00ED177A"/>
    <w:rsid w:val="00ED3AEF"/>
    <w:rsid w:val="00ED51E6"/>
    <w:rsid w:val="00EE20F2"/>
    <w:rsid w:val="00EE463C"/>
    <w:rsid w:val="00EE52F1"/>
    <w:rsid w:val="00EE7AFE"/>
    <w:rsid w:val="00EF635D"/>
    <w:rsid w:val="00F03486"/>
    <w:rsid w:val="00F06BB9"/>
    <w:rsid w:val="00F0761F"/>
    <w:rsid w:val="00F15913"/>
    <w:rsid w:val="00F23EEF"/>
    <w:rsid w:val="00F307B9"/>
    <w:rsid w:val="00F3287E"/>
    <w:rsid w:val="00F34D80"/>
    <w:rsid w:val="00F34EA0"/>
    <w:rsid w:val="00F444FD"/>
    <w:rsid w:val="00F52C45"/>
    <w:rsid w:val="00F5746F"/>
    <w:rsid w:val="00F64A59"/>
    <w:rsid w:val="00F70340"/>
    <w:rsid w:val="00F72A3B"/>
    <w:rsid w:val="00F77090"/>
    <w:rsid w:val="00F94948"/>
    <w:rsid w:val="00F94E61"/>
    <w:rsid w:val="00FA05D2"/>
    <w:rsid w:val="00FA3073"/>
    <w:rsid w:val="00FA3F6A"/>
    <w:rsid w:val="00FB25E0"/>
    <w:rsid w:val="00FB55BE"/>
    <w:rsid w:val="00FC0599"/>
    <w:rsid w:val="00FC286A"/>
    <w:rsid w:val="00FD11AA"/>
    <w:rsid w:val="00FD1A88"/>
    <w:rsid w:val="00FD6800"/>
    <w:rsid w:val="00FD71E7"/>
    <w:rsid w:val="00FE1398"/>
    <w:rsid w:val="00FE39A4"/>
    <w:rsid w:val="00FE5178"/>
    <w:rsid w:val="00FE67B4"/>
    <w:rsid w:val="00FF0115"/>
    <w:rsid w:val="00FF0F3F"/>
    <w:rsid w:val="00FF68EF"/>
    <w:rsid w:val="01F83D45"/>
    <w:rsid w:val="04732A83"/>
    <w:rsid w:val="05D37841"/>
    <w:rsid w:val="06C5097E"/>
    <w:rsid w:val="08BB5A72"/>
    <w:rsid w:val="09EC5A33"/>
    <w:rsid w:val="0AC92FC0"/>
    <w:rsid w:val="0D3654A5"/>
    <w:rsid w:val="0D5116CB"/>
    <w:rsid w:val="0FCC0844"/>
    <w:rsid w:val="101822F4"/>
    <w:rsid w:val="104A0076"/>
    <w:rsid w:val="11C67294"/>
    <w:rsid w:val="13384A4A"/>
    <w:rsid w:val="14086988"/>
    <w:rsid w:val="16E11692"/>
    <w:rsid w:val="17460E8C"/>
    <w:rsid w:val="1A265449"/>
    <w:rsid w:val="1A7776DF"/>
    <w:rsid w:val="1AF937F8"/>
    <w:rsid w:val="1C70672A"/>
    <w:rsid w:val="1C7C3852"/>
    <w:rsid w:val="1D446686"/>
    <w:rsid w:val="1DF423BD"/>
    <w:rsid w:val="1F4F7A86"/>
    <w:rsid w:val="1FA14CE6"/>
    <w:rsid w:val="230321AC"/>
    <w:rsid w:val="23A911A2"/>
    <w:rsid w:val="23D36806"/>
    <w:rsid w:val="2420158B"/>
    <w:rsid w:val="25B3532C"/>
    <w:rsid w:val="26293773"/>
    <w:rsid w:val="274321EE"/>
    <w:rsid w:val="27E47B43"/>
    <w:rsid w:val="287B76E9"/>
    <w:rsid w:val="29393220"/>
    <w:rsid w:val="29D86705"/>
    <w:rsid w:val="2A587987"/>
    <w:rsid w:val="2AE66CEC"/>
    <w:rsid w:val="2C477D91"/>
    <w:rsid w:val="2C550700"/>
    <w:rsid w:val="2D2B35DD"/>
    <w:rsid w:val="2E597370"/>
    <w:rsid w:val="2FA81C9E"/>
    <w:rsid w:val="3033513E"/>
    <w:rsid w:val="30E64237"/>
    <w:rsid w:val="31241D7B"/>
    <w:rsid w:val="328765D1"/>
    <w:rsid w:val="32A9093B"/>
    <w:rsid w:val="33394A1D"/>
    <w:rsid w:val="33E76802"/>
    <w:rsid w:val="35203CC3"/>
    <w:rsid w:val="357519E8"/>
    <w:rsid w:val="37194261"/>
    <w:rsid w:val="374635A0"/>
    <w:rsid w:val="3B2A72F5"/>
    <w:rsid w:val="3B2C7069"/>
    <w:rsid w:val="3C334EBF"/>
    <w:rsid w:val="3D0D3FC4"/>
    <w:rsid w:val="3D367FA3"/>
    <w:rsid w:val="3DDF0170"/>
    <w:rsid w:val="3E3768A7"/>
    <w:rsid w:val="3ECC7B64"/>
    <w:rsid w:val="3FB649AB"/>
    <w:rsid w:val="40E243D7"/>
    <w:rsid w:val="41221688"/>
    <w:rsid w:val="42EE3B9B"/>
    <w:rsid w:val="45123F28"/>
    <w:rsid w:val="455860FD"/>
    <w:rsid w:val="47963CA7"/>
    <w:rsid w:val="47B91FDC"/>
    <w:rsid w:val="487F52F4"/>
    <w:rsid w:val="4911338F"/>
    <w:rsid w:val="49372EB1"/>
    <w:rsid w:val="49F12568"/>
    <w:rsid w:val="4AEB7C5E"/>
    <w:rsid w:val="4C6B2812"/>
    <w:rsid w:val="4C8524E4"/>
    <w:rsid w:val="4CE4208F"/>
    <w:rsid w:val="4D737244"/>
    <w:rsid w:val="4F435735"/>
    <w:rsid w:val="501A0647"/>
    <w:rsid w:val="501E0C85"/>
    <w:rsid w:val="50533E75"/>
    <w:rsid w:val="50577033"/>
    <w:rsid w:val="50844BD5"/>
    <w:rsid w:val="508733C3"/>
    <w:rsid w:val="52856423"/>
    <w:rsid w:val="52D25ACE"/>
    <w:rsid w:val="52EE3333"/>
    <w:rsid w:val="54C63777"/>
    <w:rsid w:val="5587107B"/>
    <w:rsid w:val="56762A94"/>
    <w:rsid w:val="5A36665B"/>
    <w:rsid w:val="5A6558AF"/>
    <w:rsid w:val="5A6F4FBE"/>
    <w:rsid w:val="5B137E78"/>
    <w:rsid w:val="5CF26E42"/>
    <w:rsid w:val="5D1E0517"/>
    <w:rsid w:val="5E1C7C8F"/>
    <w:rsid w:val="5E825682"/>
    <w:rsid w:val="5F36478F"/>
    <w:rsid w:val="627A29F9"/>
    <w:rsid w:val="62FC7BE4"/>
    <w:rsid w:val="64B569A1"/>
    <w:rsid w:val="6549634D"/>
    <w:rsid w:val="669C5E8B"/>
    <w:rsid w:val="689E4147"/>
    <w:rsid w:val="6DE52928"/>
    <w:rsid w:val="71144A65"/>
    <w:rsid w:val="73043513"/>
    <w:rsid w:val="74AA36CE"/>
    <w:rsid w:val="753121E1"/>
    <w:rsid w:val="754107AC"/>
    <w:rsid w:val="76697120"/>
    <w:rsid w:val="76E45BC4"/>
    <w:rsid w:val="780768CF"/>
    <w:rsid w:val="79027215"/>
    <w:rsid w:val="79977E87"/>
    <w:rsid w:val="7AA439B0"/>
    <w:rsid w:val="7E3C56FD"/>
    <w:rsid w:val="7EC01017"/>
    <w:rsid w:val="7FC52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等线" w:cstheme="minorBidi"/>
      <w:kern w:val="2"/>
      <w:sz w:val="21"/>
      <w:szCs w:val="22"/>
      <w:lang w:val="en-US" w:eastAsia="zh-CN" w:bidi="ar-SA"/>
    </w:rPr>
  </w:style>
  <w:style w:type="paragraph" w:styleId="2">
    <w:name w:val="heading 1"/>
    <w:basedOn w:val="1"/>
    <w:next w:val="1"/>
    <w:link w:val="20"/>
    <w:autoRedefine/>
    <w:qFormat/>
    <w:uiPriority w:val="9"/>
    <w:pPr>
      <w:spacing w:before="30" w:beforeLines="30" w:after="30" w:afterLines="30"/>
      <w:outlineLvl w:val="0"/>
    </w:pPr>
    <w:rPr>
      <w:b/>
    </w:rPr>
  </w:style>
  <w:style w:type="paragraph" w:styleId="3">
    <w:name w:val="heading 2"/>
    <w:basedOn w:val="4"/>
    <w:next w:val="1"/>
    <w:link w:val="21"/>
    <w:autoRedefine/>
    <w:unhideWhenUsed/>
    <w:qFormat/>
    <w:uiPriority w:val="9"/>
    <w:pPr>
      <w:numPr>
        <w:ilvl w:val="0"/>
        <w:numId w:val="1"/>
      </w:numPr>
      <w:spacing w:before="46" w:beforeLines="15" w:after="46" w:afterLines="15"/>
      <w:ind w:left="0" w:firstLine="0" w:firstLineChars="0"/>
      <w:outlineLvl w:val="1"/>
    </w:pPr>
    <w:rPr>
      <w:b/>
    </w:rPr>
  </w:style>
  <w:style w:type="paragraph" w:styleId="5">
    <w:name w:val="heading 3"/>
    <w:basedOn w:val="3"/>
    <w:next w:val="1"/>
    <w:link w:val="18"/>
    <w:autoRedefine/>
    <w:unhideWhenUsed/>
    <w:qFormat/>
    <w:uiPriority w:val="9"/>
    <w:pPr>
      <w:numPr>
        <w:numId w:val="2"/>
      </w:numPr>
      <w:outlineLvl w:val="2"/>
    </w:pPr>
  </w:style>
  <w:style w:type="paragraph" w:styleId="6">
    <w:name w:val="heading 4"/>
    <w:basedOn w:val="3"/>
    <w:next w:val="1"/>
    <w:link w:val="19"/>
    <w:autoRedefine/>
    <w:unhideWhenUsed/>
    <w:qFormat/>
    <w:uiPriority w:val="9"/>
    <w:pPr>
      <w:numPr>
        <w:ilvl w:val="2"/>
      </w:numPr>
      <w:spacing w:before="0" w:beforeLines="0" w:after="0" w:afterLines="0"/>
      <w:ind w:left="284" w:firstLine="0"/>
      <w:outlineLvl w:val="3"/>
    </w:pPr>
  </w:style>
  <w:style w:type="paragraph" w:styleId="7">
    <w:name w:val="heading 5"/>
    <w:basedOn w:val="6"/>
    <w:next w:val="1"/>
    <w:link w:val="26"/>
    <w:autoRedefine/>
    <w:unhideWhenUsed/>
    <w:qFormat/>
    <w:uiPriority w:val="9"/>
    <w:pPr>
      <w:numPr>
        <w:ilvl w:val="3"/>
        <w:numId w:val="3"/>
      </w:numPr>
      <w:outlineLvl w:val="4"/>
    </w:pPr>
  </w:style>
  <w:style w:type="paragraph" w:styleId="8">
    <w:name w:val="heading 6"/>
    <w:basedOn w:val="1"/>
    <w:next w:val="1"/>
    <w:autoRedefine/>
    <w:unhideWhenUsed/>
    <w:qFormat/>
    <w:uiPriority w:val="9"/>
    <w:pPr>
      <w:keepNext/>
      <w:keepLines/>
      <w:spacing w:before="240" w:after="64" w:line="317" w:lineRule="auto"/>
      <w:outlineLvl w:val="5"/>
    </w:pPr>
    <w:rPr>
      <w:rFonts w:ascii="Arial" w:hAnsi="Arial" w:eastAsia="黑体"/>
      <w:b/>
      <w:sz w:val="24"/>
    </w:rPr>
  </w:style>
  <w:style w:type="character" w:default="1" w:styleId="15">
    <w:name w:val="Default Paragraph Font"/>
    <w:autoRedefine/>
    <w:semiHidden/>
    <w:unhideWhenUsed/>
    <w:qFormat/>
    <w:uiPriority w:val="1"/>
  </w:style>
  <w:style w:type="table" w:default="1" w:styleId="13">
    <w:name w:val="Normal Table"/>
    <w:autoRedefine/>
    <w:semiHidden/>
    <w:unhideWhenUsed/>
    <w:qFormat/>
    <w:uiPriority w:val="99"/>
    <w:tblPr>
      <w:tblCellMar>
        <w:top w:w="0" w:type="dxa"/>
        <w:left w:w="108" w:type="dxa"/>
        <w:bottom w:w="0" w:type="dxa"/>
        <w:right w:w="108" w:type="dxa"/>
      </w:tblCellMar>
    </w:tblPr>
  </w:style>
  <w:style w:type="paragraph" w:styleId="4">
    <w:name w:val="List Paragraph"/>
    <w:basedOn w:val="1"/>
    <w:autoRedefine/>
    <w:qFormat/>
    <w:uiPriority w:val="34"/>
    <w:pPr>
      <w:ind w:firstLine="420" w:firstLineChars="200"/>
    </w:pPr>
  </w:style>
  <w:style w:type="paragraph" w:styleId="9">
    <w:name w:val="Balloon Text"/>
    <w:basedOn w:val="1"/>
    <w:link w:val="24"/>
    <w:autoRedefine/>
    <w:semiHidden/>
    <w:unhideWhenUsed/>
    <w:qFormat/>
    <w:uiPriority w:val="99"/>
    <w:rPr>
      <w:sz w:val="18"/>
      <w:szCs w:val="18"/>
    </w:rPr>
  </w:style>
  <w:style w:type="paragraph" w:styleId="10">
    <w:name w:val="footer"/>
    <w:basedOn w:val="1"/>
    <w:link w:val="23"/>
    <w:autoRedefine/>
    <w:unhideWhenUsed/>
    <w:qFormat/>
    <w:uiPriority w:val="99"/>
    <w:pPr>
      <w:tabs>
        <w:tab w:val="center" w:pos="4153"/>
        <w:tab w:val="right" w:pos="8306"/>
      </w:tabs>
      <w:snapToGrid w:val="0"/>
      <w:jc w:val="left"/>
    </w:pPr>
    <w:rPr>
      <w:sz w:val="18"/>
      <w:szCs w:val="18"/>
    </w:rPr>
  </w:style>
  <w:style w:type="paragraph" w:styleId="11">
    <w:name w:val="header"/>
    <w:basedOn w:val="1"/>
    <w:link w:val="22"/>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Normal (Web)"/>
    <w:basedOn w:val="1"/>
    <w:autoRedefine/>
    <w:semiHidden/>
    <w:unhideWhenUsed/>
    <w:qFormat/>
    <w:uiPriority w:val="99"/>
    <w:pPr>
      <w:spacing w:beforeAutospacing="1" w:afterAutospacing="1"/>
      <w:jc w:val="left"/>
    </w:pPr>
    <w:rPr>
      <w:rFonts w:cs="Times New Roman"/>
      <w:kern w:val="0"/>
      <w:sz w:val="24"/>
    </w:rPr>
  </w:style>
  <w:style w:type="table" w:styleId="14">
    <w:name w:val="Table Grid"/>
    <w:basedOn w:val="1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autoRedefine/>
    <w:semiHidden/>
    <w:unhideWhenUsed/>
    <w:qFormat/>
    <w:uiPriority w:val="99"/>
    <w:rPr>
      <w:color w:val="954F72" w:themeColor="followedHyperlink"/>
      <w:u w:val="single"/>
      <w14:textFill>
        <w14:solidFill>
          <w14:schemeClr w14:val="folHlink"/>
        </w14:solidFill>
      </w14:textFill>
    </w:rPr>
  </w:style>
  <w:style w:type="character" w:styleId="17">
    <w:name w:val="Hyperlink"/>
    <w:basedOn w:val="15"/>
    <w:autoRedefine/>
    <w:unhideWhenUsed/>
    <w:qFormat/>
    <w:uiPriority w:val="99"/>
    <w:rPr>
      <w:color w:val="0563C1" w:themeColor="hyperlink"/>
      <w:u w:val="single"/>
      <w14:textFill>
        <w14:solidFill>
          <w14:schemeClr w14:val="hlink"/>
        </w14:solidFill>
      </w14:textFill>
    </w:rPr>
  </w:style>
  <w:style w:type="character" w:customStyle="1" w:styleId="18">
    <w:name w:val="标题 3 字符"/>
    <w:basedOn w:val="15"/>
    <w:link w:val="5"/>
    <w:autoRedefine/>
    <w:qFormat/>
    <w:uiPriority w:val="9"/>
    <w:rPr>
      <w:rFonts w:eastAsia="等线" w:cstheme="minorBidi"/>
      <w:b/>
      <w:kern w:val="2"/>
      <w:sz w:val="21"/>
      <w:szCs w:val="22"/>
    </w:rPr>
  </w:style>
  <w:style w:type="character" w:customStyle="1" w:styleId="19">
    <w:name w:val="标题 4 字符"/>
    <w:basedOn w:val="15"/>
    <w:link w:val="6"/>
    <w:autoRedefine/>
    <w:qFormat/>
    <w:uiPriority w:val="9"/>
    <w:rPr>
      <w:rFonts w:eastAsia="等线" w:cstheme="minorBidi"/>
      <w:b/>
      <w:kern w:val="2"/>
      <w:sz w:val="21"/>
      <w:szCs w:val="22"/>
    </w:rPr>
  </w:style>
  <w:style w:type="character" w:customStyle="1" w:styleId="20">
    <w:name w:val="标题 1 字符"/>
    <w:basedOn w:val="15"/>
    <w:link w:val="2"/>
    <w:autoRedefine/>
    <w:qFormat/>
    <w:uiPriority w:val="9"/>
    <w:rPr>
      <w:b/>
    </w:rPr>
  </w:style>
  <w:style w:type="character" w:customStyle="1" w:styleId="21">
    <w:name w:val="标题 2 字符"/>
    <w:basedOn w:val="15"/>
    <w:link w:val="3"/>
    <w:autoRedefine/>
    <w:qFormat/>
    <w:uiPriority w:val="9"/>
    <w:rPr>
      <w:rFonts w:eastAsia="等线" w:cstheme="minorBidi"/>
      <w:b/>
      <w:kern w:val="2"/>
      <w:sz w:val="21"/>
      <w:szCs w:val="22"/>
    </w:rPr>
  </w:style>
  <w:style w:type="character" w:customStyle="1" w:styleId="22">
    <w:name w:val="页眉 字符"/>
    <w:basedOn w:val="15"/>
    <w:link w:val="11"/>
    <w:autoRedefine/>
    <w:qFormat/>
    <w:uiPriority w:val="99"/>
    <w:rPr>
      <w:sz w:val="18"/>
      <w:szCs w:val="18"/>
    </w:rPr>
  </w:style>
  <w:style w:type="character" w:customStyle="1" w:styleId="23">
    <w:name w:val="页脚 字符"/>
    <w:basedOn w:val="15"/>
    <w:link w:val="10"/>
    <w:autoRedefine/>
    <w:qFormat/>
    <w:uiPriority w:val="99"/>
    <w:rPr>
      <w:sz w:val="18"/>
      <w:szCs w:val="18"/>
    </w:rPr>
  </w:style>
  <w:style w:type="character" w:customStyle="1" w:styleId="24">
    <w:name w:val="批注框文本 字符"/>
    <w:basedOn w:val="15"/>
    <w:link w:val="9"/>
    <w:autoRedefine/>
    <w:semiHidden/>
    <w:qFormat/>
    <w:uiPriority w:val="99"/>
    <w:rPr>
      <w:sz w:val="18"/>
      <w:szCs w:val="18"/>
    </w:rPr>
  </w:style>
  <w:style w:type="character" w:styleId="25">
    <w:name w:val="Placeholder Text"/>
    <w:basedOn w:val="15"/>
    <w:autoRedefine/>
    <w:semiHidden/>
    <w:qFormat/>
    <w:uiPriority w:val="99"/>
    <w:rPr>
      <w:color w:val="808080"/>
    </w:rPr>
  </w:style>
  <w:style w:type="character" w:customStyle="1" w:styleId="26">
    <w:name w:val="标题 5 字符"/>
    <w:basedOn w:val="15"/>
    <w:link w:val="7"/>
    <w:autoRedefine/>
    <w:qFormat/>
    <w:uiPriority w:val="9"/>
    <w:rPr>
      <w:rFonts w:eastAsia="等线" w:cstheme="minorBidi"/>
      <w:b/>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491DF-5806-45AC-9BC1-47C52D68582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2098</Words>
  <Characters>11959</Characters>
  <Lines>99</Lines>
  <Paragraphs>28</Paragraphs>
  <TotalTime>2</TotalTime>
  <ScaleCrop>false</ScaleCrop>
  <LinksUpToDate>false</LinksUpToDate>
  <CharactersWithSpaces>14029</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2022-12-16T21:21:00Z</dcterms:created>
  <dc:creator>WPS_1490681403</dc:creator>
  <cp:lastModifiedBy>WPS_1490681403</cp:lastModifiedBy>
  <dcterms:modified xsi:type="dcterms:W3CDTF">2024-01-15T08:18:07Z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0F207603004143C9A6E43C7B69A7D7B4_13</vt:lpwstr>
  </property>
</Properties>
</file>