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B9C" w:rsidRDefault="00DA5F26" w:rsidP="00F33B9C">
      <w:pPr>
        <w:jc w:val="both"/>
        <w:rPr>
          <w:rFonts w:ascii="Palatino Linotype" w:hAnsi="Palatino Linotype"/>
          <w:b/>
          <w:sz w:val="20"/>
          <w:szCs w:val="20"/>
          <w:lang w:val="de-DE"/>
        </w:rPr>
      </w:pPr>
      <w:proofErr w:type="spellStart"/>
      <w:r w:rsidRPr="00F33B9C">
        <w:rPr>
          <w:rFonts w:ascii="Palatino Linotype" w:hAnsi="Palatino Linotype"/>
          <w:b/>
          <w:sz w:val="20"/>
          <w:szCs w:val="20"/>
          <w:lang w:val="de-DE"/>
        </w:rPr>
        <w:t>Supplementary</w:t>
      </w:r>
      <w:proofErr w:type="spellEnd"/>
      <w:r w:rsidRPr="00F33B9C">
        <w:rPr>
          <w:rFonts w:ascii="Palatino Linotype" w:hAnsi="Palatino Linotype"/>
          <w:b/>
          <w:sz w:val="20"/>
          <w:szCs w:val="20"/>
          <w:lang w:val="de-DE"/>
        </w:rPr>
        <w:t xml:space="preserve"> </w:t>
      </w:r>
      <w:proofErr w:type="spellStart"/>
      <w:r w:rsidRPr="00F33B9C">
        <w:rPr>
          <w:rFonts w:ascii="Palatino Linotype" w:hAnsi="Palatino Linotype"/>
          <w:b/>
          <w:sz w:val="20"/>
          <w:szCs w:val="20"/>
          <w:lang w:val="de-DE"/>
        </w:rPr>
        <w:t>Figures</w:t>
      </w:r>
      <w:proofErr w:type="spellEnd"/>
    </w:p>
    <w:p w:rsidR="00DA5F26" w:rsidRDefault="004C288D" w:rsidP="00F33B9C">
      <w:pPr>
        <w:jc w:val="both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>
            <wp:extent cx="6644641" cy="3008376"/>
            <wp:effectExtent l="0" t="0" r="381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0328_VLX-Paper_S1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26" w:rsidRPr="00F33B9C" w:rsidRDefault="00DA5F26" w:rsidP="00F33B9C">
      <w:pPr>
        <w:jc w:val="both"/>
        <w:rPr>
          <w:rFonts w:ascii="Palatino Linotype" w:hAnsi="Palatino Linotype"/>
          <w:sz w:val="18"/>
          <w:szCs w:val="18"/>
        </w:rPr>
      </w:pPr>
      <w:r w:rsidRPr="00F33B9C">
        <w:rPr>
          <w:rFonts w:ascii="Palatino Linotype" w:hAnsi="Palatino Linotype"/>
          <w:b/>
          <w:sz w:val="18"/>
          <w:szCs w:val="18"/>
        </w:rPr>
        <w:t>Figure S1 Determination of oxygen consumption and ATP levels after VLX600 treatment in U-251 cells. A)</w:t>
      </w:r>
      <w:r w:rsidRPr="00F33B9C">
        <w:rPr>
          <w:rFonts w:ascii="Palatino Linotype" w:hAnsi="Palatino Linotype"/>
          <w:sz w:val="18"/>
          <w:szCs w:val="18"/>
        </w:rPr>
        <w:t xml:space="preserve"> U-251 cells were treated with </w:t>
      </w:r>
      <w:proofErr w:type="gramStart"/>
      <w:r w:rsidRPr="00F33B9C">
        <w:rPr>
          <w:rFonts w:ascii="Palatino Linotype" w:hAnsi="Palatino Linotype"/>
          <w:sz w:val="18"/>
          <w:szCs w:val="18"/>
        </w:rPr>
        <w:t>5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 µM VLX600 for 24 h and the oxygen consumption was measured over the whole time period. Data represents the mean + SEM normalized to t0 of three independent experiments with three replicates. Data represents the oxygen consumption change over the whole </w:t>
      </w:r>
      <w:proofErr w:type="gramStart"/>
      <w:r w:rsidRPr="00F33B9C">
        <w:rPr>
          <w:rFonts w:ascii="Palatino Linotype" w:hAnsi="Palatino Linotype"/>
          <w:sz w:val="18"/>
          <w:szCs w:val="18"/>
        </w:rPr>
        <w:t>time period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. Statistical significance </w:t>
      </w:r>
      <w:proofErr w:type="gramStart"/>
      <w:r w:rsidRPr="00F33B9C">
        <w:rPr>
          <w:rFonts w:ascii="Palatino Linotype" w:hAnsi="Palatino Linotype"/>
          <w:sz w:val="18"/>
          <w:szCs w:val="18"/>
        </w:rPr>
        <w:t>was measured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 with a 2way ANOVA. </w:t>
      </w:r>
      <w:r w:rsidRPr="00F33B9C">
        <w:rPr>
          <w:rFonts w:ascii="Palatino Linotype" w:hAnsi="Palatino Linotype"/>
          <w:b/>
          <w:sz w:val="18"/>
          <w:szCs w:val="18"/>
        </w:rPr>
        <w:t>B)</w:t>
      </w:r>
      <w:r w:rsidRPr="00F33B9C">
        <w:rPr>
          <w:rFonts w:ascii="Palatino Linotype" w:hAnsi="Palatino Linotype"/>
          <w:sz w:val="18"/>
          <w:szCs w:val="18"/>
        </w:rPr>
        <w:t xml:space="preserve"> Measurement of ATP levels using the </w:t>
      </w:r>
      <w:proofErr w:type="spellStart"/>
      <w:r w:rsidRPr="00F33B9C">
        <w:rPr>
          <w:rFonts w:ascii="Palatino Linotype" w:hAnsi="Palatino Linotype"/>
          <w:sz w:val="18"/>
          <w:szCs w:val="18"/>
        </w:rPr>
        <w:t>BioTracker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 ATP dye and subsequent flow cytometry of U-251 cells after 1 and 5 µM VLX600 treatment for the indicated time periods (6 h, 16 h, 24 h) or with the withdrawal of glucose (without (w/o) glucose). Data represents mean + SEM of three experiments with one to three replicates. Statistical significance </w:t>
      </w:r>
      <w:proofErr w:type="gramStart"/>
      <w:r w:rsidRPr="00F33B9C">
        <w:rPr>
          <w:rFonts w:ascii="Palatino Linotype" w:hAnsi="Palatino Linotype"/>
          <w:sz w:val="18"/>
          <w:szCs w:val="18"/>
        </w:rPr>
        <w:t>was measured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 with a 2way ANOVA.</w:t>
      </w:r>
    </w:p>
    <w:p w:rsidR="00F33B9C" w:rsidRPr="00F33B9C" w:rsidRDefault="00F33B9C" w:rsidP="00F33B9C">
      <w:pPr>
        <w:jc w:val="both"/>
        <w:rPr>
          <w:rFonts w:ascii="Palatino Linotype" w:hAnsi="Palatino Linotype"/>
          <w:sz w:val="18"/>
          <w:szCs w:val="18"/>
        </w:rPr>
      </w:pPr>
    </w:p>
    <w:p w:rsidR="00DA5F26" w:rsidRPr="00F33B9C" w:rsidRDefault="00122832" w:rsidP="00F33B9C">
      <w:pPr>
        <w:jc w:val="both"/>
        <w:rPr>
          <w:rFonts w:ascii="Palatino Linotype" w:hAnsi="Palatino Linotype"/>
          <w:sz w:val="18"/>
          <w:szCs w:val="18"/>
          <w:lang w:val="de-DE"/>
        </w:rPr>
      </w:pPr>
      <w:r>
        <w:rPr>
          <w:rFonts w:ascii="Palatino Linotype" w:hAnsi="Palatino Linotype"/>
          <w:noProof/>
          <w:sz w:val="18"/>
          <w:szCs w:val="18"/>
          <w:lang w:val="de-DE" w:eastAsia="de-DE"/>
        </w:rPr>
        <w:drawing>
          <wp:inline distT="0" distB="0" distL="0" distR="0">
            <wp:extent cx="6645910" cy="4476115"/>
            <wp:effectExtent l="0" t="0" r="254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0405_VLX-Paper_S2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9C" w:rsidRDefault="00DA5F26" w:rsidP="00F33B9C">
      <w:pPr>
        <w:jc w:val="both"/>
        <w:rPr>
          <w:rFonts w:ascii="Palatino Linotype" w:hAnsi="Palatino Linotype"/>
          <w:sz w:val="18"/>
          <w:szCs w:val="18"/>
        </w:rPr>
      </w:pPr>
      <w:r w:rsidRPr="00F33B9C">
        <w:rPr>
          <w:rFonts w:ascii="Palatino Linotype" w:hAnsi="Palatino Linotype"/>
          <w:b/>
          <w:sz w:val="18"/>
          <w:szCs w:val="18"/>
        </w:rPr>
        <w:lastRenderedPageBreak/>
        <w:t>Figure S2 Evaluation of mitochondrial proteins after VLX600 treatment in NCH644 glioma stem-like cells. A)</w:t>
      </w:r>
      <w:r w:rsidRPr="00F33B9C">
        <w:rPr>
          <w:rFonts w:ascii="Palatino Linotype" w:hAnsi="Palatino Linotype"/>
          <w:sz w:val="18"/>
          <w:szCs w:val="18"/>
        </w:rPr>
        <w:t xml:space="preserve"> Immunoblot analysis of the mitochondrial protein COX4I1 after 1 and 2 µM VLX600 treatment for 6 h, 24 h and 48 h in NCH644 </w:t>
      </w:r>
      <w:proofErr w:type="spellStart"/>
      <w:r w:rsidRPr="00F33B9C">
        <w:rPr>
          <w:rFonts w:ascii="Palatino Linotype" w:hAnsi="Palatino Linotype"/>
          <w:sz w:val="18"/>
          <w:szCs w:val="18"/>
        </w:rPr>
        <w:t>wt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 cells (left) or for 24 h in NCH644 non-target (control), </w:t>
      </w:r>
      <w:r w:rsidRPr="00F33B9C">
        <w:rPr>
          <w:rFonts w:ascii="Palatino Linotype" w:hAnsi="Palatino Linotype"/>
          <w:i/>
          <w:sz w:val="18"/>
          <w:szCs w:val="18"/>
        </w:rPr>
        <w:t>ATG5</w:t>
      </w:r>
      <w:r w:rsidRPr="00F33B9C">
        <w:rPr>
          <w:rFonts w:ascii="Palatino Linotype" w:hAnsi="Palatino Linotype"/>
          <w:sz w:val="18"/>
          <w:szCs w:val="18"/>
        </w:rPr>
        <w:t xml:space="preserve"> and </w:t>
      </w:r>
      <w:r w:rsidRPr="00F33B9C">
        <w:rPr>
          <w:rFonts w:ascii="Palatino Linotype" w:hAnsi="Palatino Linotype"/>
          <w:i/>
          <w:sz w:val="18"/>
          <w:szCs w:val="18"/>
        </w:rPr>
        <w:t>ATG7</w:t>
      </w:r>
      <w:r w:rsidRPr="00F33B9C">
        <w:rPr>
          <w:rFonts w:ascii="Palatino Linotype" w:hAnsi="Palatino Linotype"/>
          <w:sz w:val="18"/>
          <w:szCs w:val="18"/>
        </w:rPr>
        <w:t xml:space="preserve"> KD cells (right). GAPDH </w:t>
      </w:r>
      <w:proofErr w:type="gramStart"/>
      <w:r w:rsidRPr="00F33B9C">
        <w:rPr>
          <w:rFonts w:ascii="Palatino Linotype" w:hAnsi="Palatino Linotype"/>
          <w:sz w:val="18"/>
          <w:szCs w:val="18"/>
        </w:rPr>
        <w:t>was used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 as a loading control and the experiment was repeated at least three times. </w:t>
      </w:r>
      <w:r w:rsidRPr="00F33B9C">
        <w:rPr>
          <w:rFonts w:ascii="Palatino Linotype" w:hAnsi="Palatino Linotype"/>
          <w:b/>
          <w:sz w:val="18"/>
          <w:szCs w:val="18"/>
        </w:rPr>
        <w:t>B</w:t>
      </w:r>
      <w:r w:rsidR="00122832">
        <w:rPr>
          <w:rFonts w:ascii="Palatino Linotype" w:hAnsi="Palatino Linotype"/>
          <w:b/>
          <w:sz w:val="18"/>
          <w:szCs w:val="18"/>
        </w:rPr>
        <w:t>, C</w:t>
      </w:r>
      <w:r w:rsidRPr="00F33B9C">
        <w:rPr>
          <w:rFonts w:ascii="Palatino Linotype" w:hAnsi="Palatino Linotype"/>
          <w:b/>
          <w:sz w:val="18"/>
          <w:szCs w:val="18"/>
        </w:rPr>
        <w:t>)</w:t>
      </w:r>
      <w:r w:rsidRPr="00F33B9C">
        <w:rPr>
          <w:rFonts w:ascii="Palatino Linotype" w:hAnsi="Palatino Linotype"/>
          <w:sz w:val="18"/>
          <w:szCs w:val="18"/>
        </w:rPr>
        <w:t xml:space="preserve"> Quantification of the protein expression of the western blots shown in </w:t>
      </w:r>
      <w:r w:rsidRPr="00BC195B">
        <w:rPr>
          <w:rFonts w:ascii="Palatino Linotype" w:hAnsi="Palatino Linotype"/>
          <w:b/>
          <w:sz w:val="18"/>
          <w:szCs w:val="18"/>
        </w:rPr>
        <w:t>(A)</w:t>
      </w:r>
      <w:r w:rsidRPr="00F33B9C">
        <w:rPr>
          <w:rFonts w:ascii="Palatino Linotype" w:hAnsi="Palatino Linotype"/>
          <w:sz w:val="18"/>
          <w:szCs w:val="18"/>
        </w:rPr>
        <w:t xml:space="preserve">. Data represents mean + SEM of at least </w:t>
      </w:r>
      <w:r w:rsidR="008C707C">
        <w:rPr>
          <w:rFonts w:ascii="Palatino Linotype" w:hAnsi="Palatino Linotype"/>
          <w:sz w:val="18"/>
          <w:szCs w:val="18"/>
        </w:rPr>
        <w:t>four</w:t>
      </w:r>
      <w:r w:rsidR="008C707C" w:rsidRPr="00F33B9C">
        <w:rPr>
          <w:rFonts w:ascii="Palatino Linotype" w:hAnsi="Palatino Linotype"/>
          <w:sz w:val="18"/>
          <w:szCs w:val="18"/>
        </w:rPr>
        <w:t xml:space="preserve"> </w:t>
      </w:r>
      <w:r w:rsidRPr="00F33B9C">
        <w:rPr>
          <w:rFonts w:ascii="Palatino Linotype" w:hAnsi="Palatino Linotype"/>
          <w:sz w:val="18"/>
          <w:szCs w:val="18"/>
        </w:rPr>
        <w:t xml:space="preserve">independent experiments. Statistical significance </w:t>
      </w:r>
      <w:proofErr w:type="gramStart"/>
      <w:r w:rsidRPr="00F33B9C">
        <w:rPr>
          <w:rFonts w:ascii="Palatino Linotype" w:hAnsi="Palatino Linotype"/>
          <w:sz w:val="18"/>
          <w:szCs w:val="18"/>
        </w:rPr>
        <w:t>was calculated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 with a one-way </w:t>
      </w:r>
      <w:r w:rsidRPr="00BC195B">
        <w:rPr>
          <w:rFonts w:ascii="Palatino Linotype" w:hAnsi="Palatino Linotype"/>
          <w:b/>
          <w:sz w:val="18"/>
          <w:szCs w:val="18"/>
        </w:rPr>
        <w:t>(</w:t>
      </w:r>
      <w:r w:rsidR="00122832" w:rsidRPr="00BC195B">
        <w:rPr>
          <w:rFonts w:ascii="Palatino Linotype" w:hAnsi="Palatino Linotype"/>
          <w:b/>
          <w:sz w:val="18"/>
          <w:szCs w:val="18"/>
        </w:rPr>
        <w:t>B</w:t>
      </w:r>
      <w:r w:rsidRPr="00BC195B">
        <w:rPr>
          <w:rFonts w:ascii="Palatino Linotype" w:hAnsi="Palatino Linotype"/>
          <w:b/>
          <w:sz w:val="18"/>
          <w:szCs w:val="18"/>
        </w:rPr>
        <w:t>)</w:t>
      </w:r>
      <w:r w:rsidRPr="00F33B9C">
        <w:rPr>
          <w:rFonts w:ascii="Palatino Linotype" w:hAnsi="Palatino Linotype"/>
          <w:sz w:val="18"/>
          <w:szCs w:val="18"/>
        </w:rPr>
        <w:t xml:space="preserve"> or 2way ANOVA </w:t>
      </w:r>
      <w:r w:rsidRPr="00BC195B">
        <w:rPr>
          <w:rFonts w:ascii="Palatino Linotype" w:hAnsi="Palatino Linotype"/>
          <w:b/>
          <w:sz w:val="18"/>
          <w:szCs w:val="18"/>
        </w:rPr>
        <w:t>(</w:t>
      </w:r>
      <w:r w:rsidR="00122832" w:rsidRPr="00BC195B">
        <w:rPr>
          <w:rFonts w:ascii="Palatino Linotype" w:hAnsi="Palatino Linotype"/>
          <w:b/>
          <w:sz w:val="18"/>
          <w:szCs w:val="18"/>
        </w:rPr>
        <w:t>C</w:t>
      </w:r>
      <w:r w:rsidRPr="00BC195B">
        <w:rPr>
          <w:rFonts w:ascii="Palatino Linotype" w:hAnsi="Palatino Linotype"/>
          <w:b/>
          <w:sz w:val="18"/>
          <w:szCs w:val="18"/>
        </w:rPr>
        <w:t>)</w:t>
      </w:r>
      <w:r w:rsidRPr="00F33B9C">
        <w:rPr>
          <w:rFonts w:ascii="Palatino Linotype" w:hAnsi="Palatino Linotype"/>
          <w:sz w:val="18"/>
          <w:szCs w:val="18"/>
        </w:rPr>
        <w:t>.</w:t>
      </w:r>
      <w:r w:rsidR="00122832">
        <w:rPr>
          <w:rFonts w:ascii="Palatino Linotype" w:hAnsi="Palatino Linotype"/>
          <w:sz w:val="18"/>
          <w:szCs w:val="18"/>
        </w:rPr>
        <w:t xml:space="preserve"> Dashed line represent vehicle (DMSO) treated condition</w:t>
      </w:r>
    </w:p>
    <w:p w:rsidR="004C288D" w:rsidRDefault="004C288D" w:rsidP="00F33B9C">
      <w:pPr>
        <w:jc w:val="both"/>
        <w:rPr>
          <w:rFonts w:ascii="Palatino Linotype" w:hAnsi="Palatino Linotype"/>
          <w:sz w:val="18"/>
          <w:szCs w:val="18"/>
        </w:rPr>
        <w:sectPr w:rsidR="004C288D" w:rsidSect="004C288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bookmarkStart w:id="0" w:name="_GoBack"/>
      <w:bookmarkEnd w:id="0"/>
    </w:p>
    <w:p w:rsidR="00DA5F26" w:rsidRPr="00F33B9C" w:rsidRDefault="009C5449" w:rsidP="00F33B9C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noProof/>
          <w:sz w:val="18"/>
          <w:szCs w:val="18"/>
          <w:lang w:val="de-DE" w:eastAsia="de-DE"/>
        </w:rPr>
        <w:lastRenderedPageBreak/>
        <w:drawing>
          <wp:inline distT="0" distB="0" distL="0" distR="0">
            <wp:extent cx="6200775" cy="6645910"/>
            <wp:effectExtent l="0" t="0" r="9525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0405_VLX-Paper_S3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8D" w:rsidRDefault="00DA5F26" w:rsidP="00F33B9C">
      <w:pPr>
        <w:jc w:val="both"/>
        <w:rPr>
          <w:rFonts w:ascii="Palatino Linotype" w:hAnsi="Palatino Linotype"/>
          <w:sz w:val="18"/>
          <w:szCs w:val="18"/>
        </w:rPr>
        <w:sectPr w:rsidR="004C288D" w:rsidSect="00BC195B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F33B9C">
        <w:rPr>
          <w:rFonts w:ascii="Palatino Linotype" w:hAnsi="Palatino Linotype"/>
          <w:b/>
          <w:sz w:val="18"/>
          <w:szCs w:val="18"/>
        </w:rPr>
        <w:t xml:space="preserve">Figure S3 Analysis of VLX600-induced cell death and mitophagy after </w:t>
      </w:r>
      <w:r w:rsidRPr="00F33B9C">
        <w:rPr>
          <w:rFonts w:ascii="Palatino Linotype" w:hAnsi="Palatino Linotype"/>
          <w:b/>
          <w:i/>
          <w:sz w:val="18"/>
          <w:szCs w:val="18"/>
        </w:rPr>
        <w:t>BNIP3</w:t>
      </w:r>
      <w:r w:rsidRPr="00F33B9C">
        <w:rPr>
          <w:rFonts w:ascii="Palatino Linotype" w:hAnsi="Palatino Linotype"/>
          <w:b/>
          <w:sz w:val="18"/>
          <w:szCs w:val="18"/>
        </w:rPr>
        <w:t xml:space="preserve"> and </w:t>
      </w:r>
      <w:r w:rsidRPr="00F33B9C">
        <w:rPr>
          <w:rFonts w:ascii="Palatino Linotype" w:hAnsi="Palatino Linotype"/>
          <w:b/>
          <w:i/>
          <w:sz w:val="18"/>
          <w:szCs w:val="18"/>
        </w:rPr>
        <w:t>BNIP3L</w:t>
      </w:r>
      <w:r w:rsidRPr="00F33B9C">
        <w:rPr>
          <w:rFonts w:ascii="Palatino Linotype" w:hAnsi="Palatino Linotype"/>
          <w:b/>
          <w:sz w:val="18"/>
          <w:szCs w:val="18"/>
        </w:rPr>
        <w:t xml:space="preserve"> knockdown</w:t>
      </w:r>
      <w:r w:rsidRPr="00F33B9C">
        <w:rPr>
          <w:rFonts w:ascii="Palatino Linotype" w:hAnsi="Palatino Linotype"/>
          <w:sz w:val="18"/>
          <w:szCs w:val="18"/>
        </w:rPr>
        <w:t xml:space="preserve">. </w:t>
      </w:r>
      <w:r w:rsidRPr="00F33B9C">
        <w:rPr>
          <w:rFonts w:ascii="Palatino Linotype" w:hAnsi="Palatino Linotype"/>
          <w:b/>
          <w:sz w:val="18"/>
          <w:szCs w:val="18"/>
        </w:rPr>
        <w:t>A, B)</w:t>
      </w:r>
      <w:r w:rsidRPr="00F33B9C">
        <w:rPr>
          <w:rFonts w:ascii="Palatino Linotype" w:hAnsi="Palatino Linotype"/>
          <w:sz w:val="18"/>
          <w:szCs w:val="18"/>
        </w:rPr>
        <w:t xml:space="preserve"> U-251 cells were treated with 1 </w:t>
      </w:r>
      <w:proofErr w:type="spellStart"/>
      <w:r w:rsidRPr="00F33B9C">
        <w:rPr>
          <w:rFonts w:ascii="Palatino Linotype" w:hAnsi="Palatino Linotype"/>
          <w:sz w:val="18"/>
          <w:szCs w:val="18"/>
        </w:rPr>
        <w:t>nM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 siRNA against BNIP3 and BNIP3L for 16 h following 5 µM VLX600 treatment for 48 h. Afterwards, immunoblot analysis (A) or an </w:t>
      </w:r>
      <w:proofErr w:type="spellStart"/>
      <w:r w:rsidRPr="00F33B9C">
        <w:rPr>
          <w:rFonts w:ascii="Palatino Linotype" w:hAnsi="Palatino Linotype"/>
          <w:sz w:val="18"/>
          <w:szCs w:val="18"/>
        </w:rPr>
        <w:t>annexin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/PI staining with subsequent flow </w:t>
      </w:r>
      <w:proofErr w:type="spellStart"/>
      <w:r w:rsidRPr="00F33B9C">
        <w:rPr>
          <w:rFonts w:ascii="Palatino Linotype" w:hAnsi="Palatino Linotype"/>
          <w:sz w:val="18"/>
          <w:szCs w:val="18"/>
        </w:rPr>
        <w:t>cytometric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 analysis (B) was performed. Mock served as a control for the transfection substances and the siRNA Universal Negative Control (</w:t>
      </w:r>
      <w:proofErr w:type="spellStart"/>
      <w:r w:rsidRPr="00F33B9C">
        <w:rPr>
          <w:rFonts w:ascii="Palatino Linotype" w:hAnsi="Palatino Linotype"/>
          <w:sz w:val="18"/>
          <w:szCs w:val="18"/>
        </w:rPr>
        <w:t>siCon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) as a control for the siRNA. DMSO served as vehicle control. </w:t>
      </w:r>
      <w:r w:rsidRPr="00F33B9C">
        <w:rPr>
          <w:rFonts w:ascii="Palatino Linotype" w:hAnsi="Palatino Linotype"/>
          <w:b/>
          <w:sz w:val="18"/>
          <w:szCs w:val="18"/>
        </w:rPr>
        <w:t>A)</w:t>
      </w:r>
      <w:r w:rsidRPr="00F33B9C">
        <w:rPr>
          <w:rFonts w:ascii="Palatino Linotype" w:hAnsi="Palatino Linotype"/>
          <w:sz w:val="18"/>
          <w:szCs w:val="18"/>
        </w:rPr>
        <w:t xml:space="preserve"> Immunoblot analysis of BNIP3 and BNIP3L after siRNA and VLX600 treatment. Representative blots of four independent experiments. </w:t>
      </w:r>
      <w:r w:rsidRPr="00F33B9C">
        <w:rPr>
          <w:rFonts w:ascii="Palatino Linotype" w:hAnsi="Palatino Linotype"/>
          <w:b/>
          <w:sz w:val="18"/>
          <w:szCs w:val="18"/>
        </w:rPr>
        <w:t>B)</w:t>
      </w:r>
      <w:r w:rsidRPr="00F33B9C">
        <w:rPr>
          <w:rFonts w:ascii="Palatino Linotype" w:hAnsi="Palatino Linotype"/>
          <w:sz w:val="18"/>
          <w:szCs w:val="18"/>
        </w:rPr>
        <w:t xml:space="preserve"> Cell death analysis after siRNA and VLX600 treatment (B = BNIP3, N = BNIP3L/NIX). Displayed is the total cell death consisting of </w:t>
      </w:r>
      <w:proofErr w:type="spellStart"/>
      <w:r w:rsidRPr="00F33B9C">
        <w:rPr>
          <w:rFonts w:ascii="Palatino Linotype" w:hAnsi="Palatino Linotype"/>
          <w:sz w:val="18"/>
          <w:szCs w:val="18"/>
        </w:rPr>
        <w:t>annexin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 V </w:t>
      </w:r>
      <w:proofErr w:type="gramStart"/>
      <w:r w:rsidRPr="00F33B9C">
        <w:rPr>
          <w:rFonts w:ascii="Palatino Linotype" w:hAnsi="Palatino Linotype"/>
          <w:sz w:val="18"/>
          <w:szCs w:val="18"/>
        </w:rPr>
        <w:t>only-positive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, PI only-positive and double-positive cells. Data represents mean + SEM of two experiments with three replicates and 5,000 – 10,000 cells measured in each sample. </w:t>
      </w:r>
      <w:r w:rsidRPr="00F33B9C">
        <w:rPr>
          <w:rFonts w:ascii="Palatino Linotype" w:hAnsi="Palatino Linotype"/>
          <w:b/>
          <w:sz w:val="18"/>
          <w:szCs w:val="18"/>
        </w:rPr>
        <w:t>C)</w:t>
      </w:r>
      <w:r w:rsidRPr="00F33B9C">
        <w:rPr>
          <w:rFonts w:ascii="Palatino Linotype" w:hAnsi="Palatino Linotype"/>
          <w:sz w:val="18"/>
          <w:szCs w:val="18"/>
        </w:rPr>
        <w:t xml:space="preserve"> Immunoblot analysis of the mitochondrial proteins COX4I1 and TOMM20 after siRNA treatment (5 </w:t>
      </w:r>
      <w:proofErr w:type="spellStart"/>
      <w:r w:rsidRPr="00F33B9C">
        <w:rPr>
          <w:rFonts w:ascii="Palatino Linotype" w:hAnsi="Palatino Linotype"/>
          <w:sz w:val="18"/>
          <w:szCs w:val="18"/>
        </w:rPr>
        <w:t>nM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 each) against BNIP3 (B) and BNIP3L (N) and 24 h 1 µM VLX600 treatment. Two different siRNAs (1 and 2) </w:t>
      </w:r>
      <w:proofErr w:type="gramStart"/>
      <w:r w:rsidRPr="00F33B9C">
        <w:rPr>
          <w:rFonts w:ascii="Palatino Linotype" w:hAnsi="Palatino Linotype"/>
          <w:sz w:val="18"/>
          <w:szCs w:val="18"/>
        </w:rPr>
        <w:t>were used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 for each gene. GAPDH served as a housekeeper and the experiment </w:t>
      </w:r>
      <w:proofErr w:type="gramStart"/>
      <w:r w:rsidRPr="00F33B9C">
        <w:rPr>
          <w:rFonts w:ascii="Palatino Linotype" w:hAnsi="Palatino Linotype"/>
          <w:sz w:val="18"/>
          <w:szCs w:val="18"/>
        </w:rPr>
        <w:t>was repeated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 four times. </w:t>
      </w:r>
      <w:r w:rsidRPr="00F33B9C">
        <w:rPr>
          <w:rFonts w:ascii="Palatino Linotype" w:hAnsi="Palatino Linotype"/>
          <w:b/>
          <w:sz w:val="18"/>
          <w:szCs w:val="18"/>
        </w:rPr>
        <w:t>D</w:t>
      </w:r>
      <w:r w:rsidR="009C5449">
        <w:rPr>
          <w:rFonts w:ascii="Palatino Linotype" w:hAnsi="Palatino Linotype"/>
          <w:b/>
          <w:sz w:val="18"/>
          <w:szCs w:val="18"/>
        </w:rPr>
        <w:t>, E</w:t>
      </w:r>
      <w:r w:rsidRPr="00F33B9C">
        <w:rPr>
          <w:rFonts w:ascii="Palatino Linotype" w:hAnsi="Palatino Linotype"/>
          <w:b/>
          <w:sz w:val="18"/>
          <w:szCs w:val="18"/>
        </w:rPr>
        <w:t>)</w:t>
      </w:r>
      <w:r w:rsidRPr="00F33B9C">
        <w:rPr>
          <w:rFonts w:ascii="Palatino Linotype" w:hAnsi="Palatino Linotype"/>
          <w:sz w:val="18"/>
          <w:szCs w:val="18"/>
        </w:rPr>
        <w:t xml:space="preserve"> Quantification of the COX4I1 and TOMM20 protein expression of the western blots shown in </w:t>
      </w:r>
      <w:r w:rsidRPr="00BC195B">
        <w:rPr>
          <w:rFonts w:ascii="Palatino Linotype" w:hAnsi="Palatino Linotype"/>
          <w:b/>
          <w:sz w:val="18"/>
          <w:szCs w:val="18"/>
        </w:rPr>
        <w:t>(C)</w:t>
      </w:r>
      <w:r w:rsidRPr="00F33B9C">
        <w:rPr>
          <w:rFonts w:ascii="Palatino Linotype" w:hAnsi="Palatino Linotype"/>
          <w:sz w:val="18"/>
          <w:szCs w:val="18"/>
        </w:rPr>
        <w:t>. Data represents mean + SEM of four independent experiments and was normalized to the solvent control. Dashed lines indicate the solvent control. Statistical significance was analysed with a 2way ANOVA.</w:t>
      </w:r>
    </w:p>
    <w:p w:rsidR="00DA5F26" w:rsidRPr="00F33B9C" w:rsidRDefault="009C5449" w:rsidP="00F33B9C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noProof/>
          <w:sz w:val="18"/>
          <w:szCs w:val="18"/>
          <w:lang w:val="de-DE" w:eastAsia="de-DE"/>
        </w:rPr>
        <w:lastRenderedPageBreak/>
        <w:drawing>
          <wp:inline distT="0" distB="0" distL="0" distR="0">
            <wp:extent cx="6645910" cy="283718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0405_VLX-Paper_S4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9C" w:rsidRPr="00F33B9C" w:rsidRDefault="00DA5F26" w:rsidP="00F33B9C">
      <w:pPr>
        <w:jc w:val="both"/>
        <w:rPr>
          <w:rFonts w:ascii="Palatino Linotype" w:hAnsi="Palatino Linotype"/>
          <w:sz w:val="18"/>
          <w:szCs w:val="18"/>
        </w:rPr>
      </w:pPr>
      <w:r w:rsidRPr="00F33B9C">
        <w:rPr>
          <w:rFonts w:ascii="Palatino Linotype" w:hAnsi="Palatino Linotype"/>
          <w:b/>
          <w:sz w:val="18"/>
          <w:szCs w:val="18"/>
        </w:rPr>
        <w:t xml:space="preserve">Figure S4 </w:t>
      </w:r>
      <w:r w:rsidRPr="00F33B9C">
        <w:rPr>
          <w:rFonts w:ascii="Palatino Linotype" w:hAnsi="Palatino Linotype"/>
          <w:b/>
          <w:i/>
          <w:sz w:val="18"/>
          <w:szCs w:val="18"/>
        </w:rPr>
        <w:t>Ex vivo</w:t>
      </w:r>
      <w:r w:rsidRPr="00F33B9C">
        <w:rPr>
          <w:rFonts w:ascii="Palatino Linotype" w:hAnsi="Palatino Linotype"/>
          <w:b/>
          <w:sz w:val="18"/>
          <w:szCs w:val="18"/>
        </w:rPr>
        <w:t xml:space="preserve"> analysis of VLX600’s tumor growth inhibiting ability.</w:t>
      </w:r>
      <w:r w:rsidRPr="00F33B9C">
        <w:rPr>
          <w:rFonts w:ascii="Palatino Linotype" w:hAnsi="Palatino Linotype"/>
          <w:sz w:val="18"/>
          <w:szCs w:val="18"/>
        </w:rPr>
        <w:t xml:space="preserve"> </w:t>
      </w:r>
      <w:r w:rsidR="00F33B9C" w:rsidRPr="00F33B9C">
        <w:rPr>
          <w:rFonts w:ascii="Palatino Linotype" w:hAnsi="Palatino Linotype"/>
          <w:b/>
          <w:sz w:val="18"/>
          <w:szCs w:val="18"/>
        </w:rPr>
        <w:t>A</w:t>
      </w:r>
      <w:r w:rsidR="009C5449">
        <w:rPr>
          <w:rFonts w:ascii="Palatino Linotype" w:hAnsi="Palatino Linotype"/>
          <w:b/>
          <w:sz w:val="18"/>
          <w:szCs w:val="18"/>
        </w:rPr>
        <w:t>, B</w:t>
      </w:r>
      <w:r w:rsidR="00F33B9C" w:rsidRPr="00F33B9C">
        <w:rPr>
          <w:rFonts w:ascii="Palatino Linotype" w:hAnsi="Palatino Linotype"/>
          <w:b/>
          <w:sz w:val="18"/>
          <w:szCs w:val="18"/>
        </w:rPr>
        <w:t>)</w:t>
      </w:r>
      <w:r w:rsidR="00F33B9C" w:rsidRPr="00F33B9C">
        <w:rPr>
          <w:rFonts w:ascii="Palatino Linotype" w:hAnsi="Palatino Linotype"/>
          <w:sz w:val="18"/>
          <w:szCs w:val="18"/>
        </w:rPr>
        <w:t xml:space="preserve"> </w:t>
      </w:r>
      <w:proofErr w:type="spellStart"/>
      <w:r w:rsidRPr="00F33B9C">
        <w:rPr>
          <w:rFonts w:ascii="Palatino Linotype" w:hAnsi="Palatino Linotype"/>
          <w:sz w:val="18"/>
          <w:szCs w:val="18"/>
        </w:rPr>
        <w:t>Organotypic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 brain slice culture (OTC) model using adult mice brains and tumor spheres consisting of glioma-stem like cells. GS-5 tumor spheres were treated with 1, 5 and 10 µM VLX600 for a total of 9 days. DMSO </w:t>
      </w:r>
      <w:proofErr w:type="gramStart"/>
      <w:r w:rsidRPr="00F33B9C">
        <w:rPr>
          <w:rFonts w:ascii="Palatino Linotype" w:hAnsi="Palatino Linotype"/>
          <w:sz w:val="18"/>
          <w:szCs w:val="18"/>
        </w:rPr>
        <w:t>was used</w:t>
      </w:r>
      <w:proofErr w:type="gramEnd"/>
      <w:r w:rsidRPr="00F33B9C">
        <w:rPr>
          <w:rFonts w:ascii="Palatino Linotype" w:hAnsi="Palatino Linotype"/>
          <w:sz w:val="18"/>
          <w:szCs w:val="18"/>
        </w:rPr>
        <w:t xml:space="preserve"> as a vehicle control. </w:t>
      </w:r>
      <w:r w:rsidR="00F33B9C" w:rsidRPr="00F33B9C">
        <w:rPr>
          <w:rFonts w:ascii="Palatino Linotype" w:hAnsi="Palatino Linotype"/>
          <w:sz w:val="18"/>
          <w:szCs w:val="18"/>
        </w:rPr>
        <w:t xml:space="preserve">Shown </w:t>
      </w:r>
      <w:proofErr w:type="gramStart"/>
      <w:r w:rsidR="00F33B9C" w:rsidRPr="00F33B9C">
        <w:rPr>
          <w:rFonts w:ascii="Palatino Linotype" w:hAnsi="Palatino Linotype"/>
          <w:sz w:val="18"/>
          <w:szCs w:val="18"/>
        </w:rPr>
        <w:t>is the quantification of the tumor area normalized</w:t>
      </w:r>
      <w:proofErr w:type="gramEnd"/>
      <w:r w:rsidR="00F33B9C" w:rsidRPr="00F33B9C">
        <w:rPr>
          <w:rFonts w:ascii="Palatino Linotype" w:hAnsi="Palatino Linotype"/>
          <w:sz w:val="18"/>
          <w:szCs w:val="18"/>
        </w:rPr>
        <w:t xml:space="preserve"> to day 0 </w:t>
      </w:r>
      <w:r w:rsidR="00F33B9C" w:rsidRPr="00BC195B">
        <w:rPr>
          <w:rFonts w:ascii="Palatino Linotype" w:hAnsi="Palatino Linotype"/>
          <w:b/>
          <w:sz w:val="18"/>
          <w:szCs w:val="18"/>
        </w:rPr>
        <w:t>(</w:t>
      </w:r>
      <w:r w:rsidR="009C5449" w:rsidRPr="00BC195B">
        <w:rPr>
          <w:rFonts w:ascii="Palatino Linotype" w:hAnsi="Palatino Linotype"/>
          <w:b/>
          <w:sz w:val="18"/>
          <w:szCs w:val="18"/>
        </w:rPr>
        <w:t>A</w:t>
      </w:r>
      <w:r w:rsidR="00F33B9C" w:rsidRPr="00BC195B">
        <w:rPr>
          <w:rFonts w:ascii="Palatino Linotype" w:hAnsi="Palatino Linotype"/>
          <w:b/>
          <w:sz w:val="18"/>
          <w:szCs w:val="18"/>
        </w:rPr>
        <w:t>)</w:t>
      </w:r>
      <w:r w:rsidR="00F33B9C" w:rsidRPr="00F33B9C">
        <w:rPr>
          <w:rFonts w:ascii="Palatino Linotype" w:hAnsi="Palatino Linotype"/>
          <w:sz w:val="18"/>
          <w:szCs w:val="18"/>
        </w:rPr>
        <w:t xml:space="preserve"> or to day 0 and the vehicle control </w:t>
      </w:r>
      <w:r w:rsidR="00F33B9C" w:rsidRPr="00BC195B">
        <w:rPr>
          <w:rFonts w:ascii="Palatino Linotype" w:hAnsi="Palatino Linotype"/>
          <w:b/>
          <w:sz w:val="18"/>
          <w:szCs w:val="18"/>
        </w:rPr>
        <w:t>(</w:t>
      </w:r>
      <w:r w:rsidR="009C5449" w:rsidRPr="00BC195B">
        <w:rPr>
          <w:rFonts w:ascii="Palatino Linotype" w:hAnsi="Palatino Linotype"/>
          <w:b/>
          <w:sz w:val="18"/>
          <w:szCs w:val="18"/>
        </w:rPr>
        <w:t>B</w:t>
      </w:r>
      <w:r w:rsidR="00F33B9C" w:rsidRPr="00BC195B">
        <w:rPr>
          <w:rFonts w:ascii="Palatino Linotype" w:hAnsi="Palatino Linotype"/>
          <w:b/>
          <w:sz w:val="18"/>
          <w:szCs w:val="18"/>
        </w:rPr>
        <w:t>)</w:t>
      </w:r>
      <w:r w:rsidR="00F33B9C" w:rsidRPr="00F33B9C">
        <w:rPr>
          <w:rFonts w:ascii="Palatino Linotype" w:hAnsi="Palatino Linotype"/>
          <w:sz w:val="18"/>
          <w:szCs w:val="18"/>
        </w:rPr>
        <w:t xml:space="preserve">. Data represents mean + SEM of 5 – 8 </w:t>
      </w:r>
      <w:proofErr w:type="spellStart"/>
      <w:r w:rsidR="00F33B9C" w:rsidRPr="00F33B9C">
        <w:rPr>
          <w:rFonts w:ascii="Palatino Linotype" w:hAnsi="Palatino Linotype"/>
          <w:sz w:val="18"/>
          <w:szCs w:val="18"/>
        </w:rPr>
        <w:t>tumors</w:t>
      </w:r>
      <w:proofErr w:type="spellEnd"/>
      <w:r w:rsidR="00F33B9C" w:rsidRPr="00F33B9C">
        <w:rPr>
          <w:rFonts w:ascii="Palatino Linotype" w:hAnsi="Palatino Linotype"/>
          <w:sz w:val="18"/>
          <w:szCs w:val="18"/>
        </w:rPr>
        <w:t xml:space="preserve">. Statistical significance </w:t>
      </w:r>
      <w:proofErr w:type="gramStart"/>
      <w:r w:rsidR="00F33B9C" w:rsidRPr="00F33B9C">
        <w:rPr>
          <w:rFonts w:ascii="Palatino Linotype" w:hAnsi="Palatino Linotype"/>
          <w:sz w:val="18"/>
          <w:szCs w:val="18"/>
        </w:rPr>
        <w:t>was measured</w:t>
      </w:r>
      <w:proofErr w:type="gramEnd"/>
      <w:r w:rsidR="00F33B9C" w:rsidRPr="00F33B9C">
        <w:rPr>
          <w:rFonts w:ascii="Palatino Linotype" w:hAnsi="Palatino Linotype"/>
          <w:sz w:val="18"/>
          <w:szCs w:val="18"/>
        </w:rPr>
        <w:t xml:space="preserve"> with a one-way ANOVA.</w:t>
      </w:r>
      <w:r w:rsidR="00F66558">
        <w:rPr>
          <w:rFonts w:ascii="Palatino Linotype" w:hAnsi="Palatino Linotype"/>
          <w:sz w:val="18"/>
          <w:szCs w:val="18"/>
        </w:rPr>
        <w:t xml:space="preserve"> The dashed line indicates the solvent control.</w:t>
      </w:r>
    </w:p>
    <w:p w:rsidR="00DA5F26" w:rsidRPr="00F33B9C" w:rsidRDefault="00DA5F26" w:rsidP="00F33B9C">
      <w:pPr>
        <w:jc w:val="both"/>
        <w:rPr>
          <w:rFonts w:ascii="Palatino Linotype" w:hAnsi="Palatino Linotype"/>
          <w:sz w:val="18"/>
          <w:szCs w:val="18"/>
        </w:rPr>
      </w:pPr>
    </w:p>
    <w:p w:rsidR="00132324" w:rsidRPr="00F33B9C" w:rsidRDefault="009C5449" w:rsidP="00F33B9C">
      <w:pPr>
        <w:jc w:val="both"/>
        <w:rPr>
          <w:rFonts w:ascii="Palatino Linotype" w:hAnsi="Palatino Linotype"/>
          <w:sz w:val="18"/>
          <w:szCs w:val="18"/>
        </w:rPr>
      </w:pPr>
      <w:r>
        <w:rPr>
          <w:rFonts w:ascii="Palatino Linotype" w:hAnsi="Palatino Linotype"/>
          <w:noProof/>
          <w:sz w:val="18"/>
          <w:szCs w:val="18"/>
          <w:lang w:val="de-DE" w:eastAsia="de-DE"/>
        </w:rPr>
        <w:drawing>
          <wp:inline distT="0" distB="0" distL="0" distR="0">
            <wp:extent cx="6644641" cy="2788920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30405_VLX-Paper_S5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1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26" w:rsidRPr="00F33B9C" w:rsidRDefault="00DA5F26" w:rsidP="00F33B9C">
      <w:pPr>
        <w:jc w:val="both"/>
        <w:rPr>
          <w:rFonts w:ascii="Palatino Linotype" w:hAnsi="Palatino Linotype"/>
          <w:sz w:val="18"/>
          <w:szCs w:val="18"/>
        </w:rPr>
      </w:pPr>
      <w:r w:rsidRPr="00F33B9C">
        <w:rPr>
          <w:rFonts w:ascii="Palatino Linotype" w:hAnsi="Palatino Linotype"/>
          <w:b/>
          <w:sz w:val="18"/>
          <w:szCs w:val="18"/>
        </w:rPr>
        <w:t>Figure S5 Extracellular addition of iron protects NCH644 cells from VLX600-induced cell death. A</w:t>
      </w:r>
      <w:r w:rsidR="009C5449">
        <w:rPr>
          <w:rFonts w:ascii="Palatino Linotype" w:hAnsi="Palatino Linotype"/>
          <w:b/>
          <w:sz w:val="18"/>
          <w:szCs w:val="18"/>
        </w:rPr>
        <w:t>, B</w:t>
      </w:r>
      <w:r w:rsidRPr="00F33B9C">
        <w:rPr>
          <w:rFonts w:ascii="Palatino Linotype" w:hAnsi="Palatino Linotype"/>
          <w:b/>
          <w:sz w:val="18"/>
          <w:szCs w:val="18"/>
        </w:rPr>
        <w:t>)</w:t>
      </w:r>
      <w:r w:rsidRPr="00F33B9C">
        <w:rPr>
          <w:rFonts w:ascii="Palatino Linotype" w:hAnsi="Palatino Linotype"/>
          <w:sz w:val="18"/>
          <w:szCs w:val="18"/>
        </w:rPr>
        <w:t xml:space="preserve"> Cell death analysis of GSC line NCH644 after 2 µM VLX600 treatment with the addition of different concentrations of FeCl</w:t>
      </w:r>
      <w:r w:rsidRPr="00F33B9C">
        <w:rPr>
          <w:rFonts w:ascii="Palatino Linotype" w:hAnsi="Palatino Linotype"/>
          <w:sz w:val="18"/>
          <w:szCs w:val="18"/>
          <w:vertAlign w:val="subscript"/>
        </w:rPr>
        <w:t>2</w:t>
      </w:r>
      <w:r w:rsidRPr="00F33B9C">
        <w:rPr>
          <w:rFonts w:ascii="Palatino Linotype" w:hAnsi="Palatino Linotype"/>
          <w:sz w:val="18"/>
          <w:szCs w:val="18"/>
        </w:rPr>
        <w:t xml:space="preserve"> </w:t>
      </w:r>
      <w:r w:rsidRPr="00BC195B">
        <w:rPr>
          <w:rFonts w:ascii="Palatino Linotype" w:hAnsi="Palatino Linotype"/>
          <w:b/>
          <w:sz w:val="18"/>
          <w:szCs w:val="18"/>
        </w:rPr>
        <w:t>(</w:t>
      </w:r>
      <w:r w:rsidR="009C5449" w:rsidRPr="00BC195B">
        <w:rPr>
          <w:rFonts w:ascii="Palatino Linotype" w:hAnsi="Palatino Linotype"/>
          <w:b/>
          <w:sz w:val="18"/>
          <w:szCs w:val="18"/>
        </w:rPr>
        <w:t>A</w:t>
      </w:r>
      <w:r w:rsidRPr="00BC195B">
        <w:rPr>
          <w:rFonts w:ascii="Palatino Linotype" w:hAnsi="Palatino Linotype"/>
          <w:b/>
          <w:sz w:val="18"/>
          <w:szCs w:val="18"/>
        </w:rPr>
        <w:t>)</w:t>
      </w:r>
      <w:r w:rsidRPr="00F33B9C">
        <w:rPr>
          <w:rFonts w:ascii="Palatino Linotype" w:hAnsi="Palatino Linotype"/>
          <w:sz w:val="18"/>
          <w:szCs w:val="18"/>
        </w:rPr>
        <w:t xml:space="preserve"> and FeCl</w:t>
      </w:r>
      <w:r w:rsidRPr="00F33B9C">
        <w:rPr>
          <w:rFonts w:ascii="Palatino Linotype" w:hAnsi="Palatino Linotype"/>
          <w:sz w:val="18"/>
          <w:szCs w:val="18"/>
          <w:vertAlign w:val="subscript"/>
        </w:rPr>
        <w:t>3</w:t>
      </w:r>
      <w:r w:rsidRPr="00F33B9C">
        <w:rPr>
          <w:rFonts w:ascii="Palatino Linotype" w:hAnsi="Palatino Linotype"/>
          <w:sz w:val="18"/>
          <w:szCs w:val="18"/>
        </w:rPr>
        <w:t xml:space="preserve"> </w:t>
      </w:r>
      <w:r w:rsidRPr="00BC195B">
        <w:rPr>
          <w:rFonts w:ascii="Palatino Linotype" w:hAnsi="Palatino Linotype"/>
          <w:b/>
          <w:sz w:val="18"/>
          <w:szCs w:val="18"/>
        </w:rPr>
        <w:t>(</w:t>
      </w:r>
      <w:r w:rsidR="009C5449" w:rsidRPr="00BC195B">
        <w:rPr>
          <w:rFonts w:ascii="Palatino Linotype" w:hAnsi="Palatino Linotype"/>
          <w:b/>
          <w:sz w:val="18"/>
          <w:szCs w:val="18"/>
        </w:rPr>
        <w:t>B</w:t>
      </w:r>
      <w:r w:rsidRPr="00BC195B">
        <w:rPr>
          <w:rFonts w:ascii="Palatino Linotype" w:hAnsi="Palatino Linotype"/>
          <w:b/>
          <w:sz w:val="18"/>
          <w:szCs w:val="18"/>
        </w:rPr>
        <w:t>)</w:t>
      </w:r>
      <w:r w:rsidRPr="00F33B9C">
        <w:rPr>
          <w:rFonts w:ascii="Palatino Linotype" w:hAnsi="Palatino Linotype"/>
          <w:sz w:val="18"/>
          <w:szCs w:val="18"/>
        </w:rPr>
        <w:t xml:space="preserve"> as indicated after 48 h. Total cell death includes only </w:t>
      </w:r>
      <w:proofErr w:type="spellStart"/>
      <w:r w:rsidRPr="00F33B9C">
        <w:rPr>
          <w:rFonts w:ascii="Palatino Linotype" w:hAnsi="Palatino Linotype"/>
          <w:sz w:val="18"/>
          <w:szCs w:val="18"/>
        </w:rPr>
        <w:t>annexin</w:t>
      </w:r>
      <w:proofErr w:type="spellEnd"/>
      <w:r w:rsidRPr="00F33B9C">
        <w:rPr>
          <w:rFonts w:ascii="Palatino Linotype" w:hAnsi="Palatino Linotype"/>
          <w:sz w:val="18"/>
          <w:szCs w:val="18"/>
        </w:rPr>
        <w:t xml:space="preserve"> V-positive, only PI-positive and double-positive cells. </w:t>
      </w:r>
      <w:r w:rsidRPr="00F33B9C">
        <w:rPr>
          <w:rFonts w:ascii="Palatino Linotype" w:hAnsi="Palatino Linotype" w:cstheme="minorHAnsi"/>
          <w:sz w:val="18"/>
          <w:szCs w:val="18"/>
        </w:rPr>
        <w:t xml:space="preserve">Data represents mean + SEM of at least two experiments with </w:t>
      </w:r>
      <w:proofErr w:type="gramStart"/>
      <w:r w:rsidRPr="00F33B9C">
        <w:rPr>
          <w:rFonts w:ascii="Palatino Linotype" w:hAnsi="Palatino Linotype" w:cstheme="minorHAnsi"/>
          <w:sz w:val="18"/>
          <w:szCs w:val="18"/>
        </w:rPr>
        <w:t>three</w:t>
      </w:r>
      <w:proofErr w:type="gramEnd"/>
      <w:r w:rsidRPr="00F33B9C">
        <w:rPr>
          <w:rFonts w:ascii="Palatino Linotype" w:hAnsi="Palatino Linotype" w:cstheme="minorHAnsi"/>
          <w:sz w:val="18"/>
          <w:szCs w:val="18"/>
        </w:rPr>
        <w:t xml:space="preserve"> replicates and 10,000 cells measured in each sample. Statistical significance </w:t>
      </w:r>
      <w:proofErr w:type="gramStart"/>
      <w:r w:rsidRPr="00F33B9C">
        <w:rPr>
          <w:rFonts w:ascii="Palatino Linotype" w:hAnsi="Palatino Linotype" w:cstheme="minorHAnsi"/>
          <w:sz w:val="18"/>
          <w:szCs w:val="18"/>
        </w:rPr>
        <w:t>was calculated</w:t>
      </w:r>
      <w:proofErr w:type="gramEnd"/>
      <w:r w:rsidRPr="00F33B9C">
        <w:rPr>
          <w:rFonts w:ascii="Palatino Linotype" w:hAnsi="Palatino Linotype" w:cstheme="minorHAnsi"/>
          <w:sz w:val="18"/>
          <w:szCs w:val="18"/>
        </w:rPr>
        <w:t xml:space="preserve"> with a 2way ANOVA.</w:t>
      </w:r>
      <w:r w:rsidR="00F66558">
        <w:rPr>
          <w:rFonts w:ascii="Palatino Linotype" w:hAnsi="Palatino Linotype" w:cstheme="minorHAnsi"/>
          <w:sz w:val="18"/>
          <w:szCs w:val="18"/>
        </w:rPr>
        <w:t xml:space="preserve"> Asterisks represent statistically difference to the VLX600 treatment without the addition of FeCl</w:t>
      </w:r>
      <w:r w:rsidR="00F66558" w:rsidRPr="00BC195B">
        <w:rPr>
          <w:rFonts w:ascii="Palatino Linotype" w:hAnsi="Palatino Linotype" w:cstheme="minorHAnsi"/>
          <w:sz w:val="18"/>
          <w:szCs w:val="18"/>
          <w:vertAlign w:val="subscript"/>
        </w:rPr>
        <w:t>2</w:t>
      </w:r>
      <w:r w:rsidR="00F66558">
        <w:rPr>
          <w:rFonts w:ascii="Palatino Linotype" w:hAnsi="Palatino Linotype" w:cstheme="minorHAnsi"/>
          <w:sz w:val="18"/>
          <w:szCs w:val="18"/>
        </w:rPr>
        <w:t xml:space="preserve"> or FeCl</w:t>
      </w:r>
      <w:r w:rsidR="00F66558" w:rsidRPr="00BC195B">
        <w:rPr>
          <w:rFonts w:ascii="Palatino Linotype" w:hAnsi="Palatino Linotype" w:cstheme="minorHAnsi"/>
          <w:sz w:val="18"/>
          <w:szCs w:val="18"/>
          <w:vertAlign w:val="subscript"/>
        </w:rPr>
        <w:t>3</w:t>
      </w:r>
      <w:r w:rsidR="00F66558">
        <w:rPr>
          <w:rFonts w:ascii="Palatino Linotype" w:hAnsi="Palatino Linotype" w:cstheme="minorHAnsi"/>
          <w:sz w:val="18"/>
          <w:szCs w:val="18"/>
        </w:rPr>
        <w:t>.</w:t>
      </w:r>
    </w:p>
    <w:p w:rsidR="00DA5F26" w:rsidRPr="00F33B9C" w:rsidRDefault="00DA5F26" w:rsidP="00F33B9C">
      <w:pPr>
        <w:jc w:val="both"/>
        <w:rPr>
          <w:rFonts w:ascii="Palatino Linotype" w:hAnsi="Palatino Linotype"/>
          <w:sz w:val="18"/>
          <w:szCs w:val="18"/>
        </w:rPr>
      </w:pPr>
    </w:p>
    <w:sectPr w:rsidR="00DA5F26" w:rsidRPr="00F33B9C" w:rsidSect="004C28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F26"/>
    <w:rsid w:val="00122832"/>
    <w:rsid w:val="00132324"/>
    <w:rsid w:val="004C288D"/>
    <w:rsid w:val="0085270B"/>
    <w:rsid w:val="008C707C"/>
    <w:rsid w:val="009C1F24"/>
    <w:rsid w:val="009C5449"/>
    <w:rsid w:val="00BC195B"/>
    <w:rsid w:val="00DA5F26"/>
    <w:rsid w:val="00F33B9C"/>
    <w:rsid w:val="00F6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D58998A-FC28-4E57-A4E0-A64EBBB1D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66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66558"/>
    <w:rPr>
      <w:rFonts w:ascii="Segoe UI" w:hAnsi="Segoe UI" w:cs="Segoe UI"/>
      <w:sz w:val="18"/>
      <w:szCs w:val="18"/>
      <w:lang w:val="en-GB"/>
    </w:rPr>
  </w:style>
  <w:style w:type="paragraph" w:styleId="berarbeitung">
    <w:name w:val="Revision"/>
    <w:hidden/>
    <w:uiPriority w:val="99"/>
    <w:semiHidden/>
    <w:rsid w:val="00BC195B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"/><Relationship Id="rId3" Type="http://schemas.openxmlformats.org/officeDocument/2006/relationships/webSettings" Target="webSettings.xml"/><Relationship Id="rId7" Type="http://schemas.openxmlformats.org/officeDocument/2006/relationships/image" Target="media/image4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"/><Relationship Id="rId10" Type="http://schemas.openxmlformats.org/officeDocument/2006/relationships/theme" Target="theme/theme1.xml"/><Relationship Id="rId4" Type="http://schemas.openxmlformats.org/officeDocument/2006/relationships/image" Target="media/image1.t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597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Reisbeck</dc:creator>
  <cp:keywords/>
  <dc:description/>
  <cp:lastModifiedBy>Lisa Reisbeck</cp:lastModifiedBy>
  <cp:revision>6</cp:revision>
  <dcterms:created xsi:type="dcterms:W3CDTF">2023-03-28T12:47:00Z</dcterms:created>
  <dcterms:modified xsi:type="dcterms:W3CDTF">2023-04-19T08:48:00Z</dcterms:modified>
</cp:coreProperties>
</file>