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EC32" w14:textId="77777777" w:rsidR="00C06FBC" w:rsidRPr="00C06FBC" w:rsidRDefault="00C06FBC" w:rsidP="00C06FBC">
      <w:r w:rsidRPr="00C06FBC">
        <w:t xml:space="preserve">Salve GPT, sto creando un applicativo per fornire elaborazioni statistiche sui </w:t>
      </w:r>
      <w:proofErr w:type="spellStart"/>
      <w:r w:rsidRPr="00C06FBC">
        <w:t>btp</w:t>
      </w:r>
      <w:proofErr w:type="spellEnd"/>
      <w:r w:rsidRPr="00C06FBC">
        <w:t>. Quali sono, secondo te, le elaborazioni più importanti per valutare un titolo?</w:t>
      </w:r>
    </w:p>
    <w:p w14:paraId="255E1222" w14:textId="77777777" w:rsidR="00C06FBC" w:rsidRPr="00C06FBC" w:rsidRDefault="00C06FBC" w:rsidP="00C06FBC">
      <w:pPr>
        <w:rPr>
          <w:b/>
          <w:bCs/>
        </w:rPr>
      </w:pPr>
      <w:r w:rsidRPr="00C06FBC">
        <w:rPr>
          <w:b/>
          <w:bCs/>
        </w:rPr>
        <w:t>ChatGPT ha detto:</w:t>
      </w:r>
    </w:p>
    <w:p w14:paraId="24EA5F45" w14:textId="77777777" w:rsidR="00C06FBC" w:rsidRPr="00C06FBC" w:rsidRDefault="00C06FBC" w:rsidP="00C06FBC">
      <w:r w:rsidRPr="00C06FBC">
        <w:t xml:space="preserve">Se vuoi valutare un BTP (o in generale un titolo obbligazionario di Stato) dal punto di vista statistico e quantitativo, le elaborazioni fondamentali — sia per un investitore retail che per un analista — ruotano attorno a tre blocchi principali: </w:t>
      </w:r>
      <w:r w:rsidRPr="00C06FBC">
        <w:rPr>
          <w:b/>
          <w:bCs/>
        </w:rPr>
        <w:t>redditività</w:t>
      </w:r>
      <w:r w:rsidRPr="00C06FBC">
        <w:t xml:space="preserve">, </w:t>
      </w:r>
      <w:r w:rsidRPr="00C06FBC">
        <w:rPr>
          <w:b/>
          <w:bCs/>
        </w:rPr>
        <w:t>rischio</w:t>
      </w:r>
      <w:r w:rsidRPr="00C06FBC">
        <w:t xml:space="preserve"> e </w:t>
      </w:r>
      <w:r w:rsidRPr="00C06FBC">
        <w:rPr>
          <w:b/>
          <w:bCs/>
        </w:rPr>
        <w:t>sensibilità ai tassi</w:t>
      </w:r>
      <w:r w:rsidRPr="00C06FBC">
        <w:t>.</w:t>
      </w:r>
    </w:p>
    <w:p w14:paraId="4E55A764" w14:textId="77777777" w:rsidR="00C06FBC" w:rsidRPr="00C06FBC" w:rsidRDefault="00C06FBC" w:rsidP="00C06FBC">
      <w:r w:rsidRPr="00C06FBC">
        <w:t>Ti propongo una lista ragionata, con accenni sul perché ciascun calcolo sia utile:</w:t>
      </w:r>
    </w:p>
    <w:p w14:paraId="4703928D" w14:textId="77777777" w:rsidR="00C06FBC" w:rsidRPr="00C06FBC" w:rsidRDefault="00C06FBC" w:rsidP="00C06FBC">
      <w:r w:rsidRPr="00C06FBC">
        <w:pict w14:anchorId="5BA3E8D5">
          <v:rect id="_x0000_i1025" style="width:0;height:1.5pt" o:hralign="center" o:hrstd="t" o:hr="t" fillcolor="#a0a0a0" stroked="f"/>
        </w:pict>
      </w:r>
    </w:p>
    <w:p w14:paraId="6F1A0249" w14:textId="77777777" w:rsidR="00C06FBC" w:rsidRPr="00C06FBC" w:rsidRDefault="00C06FBC" w:rsidP="00C06FBC">
      <w:pPr>
        <w:rPr>
          <w:b/>
          <w:bCs/>
        </w:rPr>
      </w:pPr>
      <w:r w:rsidRPr="00C06FBC">
        <w:rPr>
          <w:b/>
          <w:bCs/>
        </w:rPr>
        <w:t>1. Misure di rendimento</w:t>
      </w:r>
    </w:p>
    <w:p w14:paraId="53D6AD45" w14:textId="77777777" w:rsidR="00C06FBC" w:rsidRPr="00C06FBC" w:rsidRDefault="00C06FBC" w:rsidP="00C06FBC">
      <w:pPr>
        <w:numPr>
          <w:ilvl w:val="0"/>
          <w:numId w:val="1"/>
        </w:numPr>
      </w:pPr>
      <w:r w:rsidRPr="00C06FBC">
        <w:rPr>
          <w:b/>
          <w:bCs/>
        </w:rPr>
        <w:t xml:space="preserve">Yield to </w:t>
      </w:r>
      <w:proofErr w:type="spellStart"/>
      <w:r w:rsidRPr="00C06FBC">
        <w:rPr>
          <w:b/>
          <w:bCs/>
        </w:rPr>
        <w:t>Maturity</w:t>
      </w:r>
      <w:proofErr w:type="spellEnd"/>
      <w:r w:rsidRPr="00C06FBC">
        <w:rPr>
          <w:b/>
          <w:bCs/>
        </w:rPr>
        <w:t xml:space="preserve"> (YTM)</w:t>
      </w:r>
      <w:r w:rsidRPr="00C06FBC">
        <w:t xml:space="preserve"> — Tasso annuo effettivo che l’investitore ottiene mantenendo il titolo fino a scadenza.</w:t>
      </w:r>
    </w:p>
    <w:p w14:paraId="6DC2088E" w14:textId="77777777" w:rsidR="00C06FBC" w:rsidRPr="00C06FBC" w:rsidRDefault="00C06FBC" w:rsidP="00C06FBC">
      <w:pPr>
        <w:numPr>
          <w:ilvl w:val="0"/>
          <w:numId w:val="1"/>
        </w:numPr>
      </w:pPr>
      <w:proofErr w:type="spellStart"/>
      <w:r w:rsidRPr="00C06FBC">
        <w:rPr>
          <w:b/>
          <w:bCs/>
        </w:rPr>
        <w:t>Current</w:t>
      </w:r>
      <w:proofErr w:type="spellEnd"/>
      <w:r w:rsidRPr="00C06FBC">
        <w:rPr>
          <w:b/>
          <w:bCs/>
        </w:rPr>
        <w:t xml:space="preserve"> Yield</w:t>
      </w:r>
      <w:r w:rsidRPr="00C06FBC">
        <w:t xml:space="preserve"> — Cedola annuale divisa per il prezzo attuale, utile per confronti rapidi.</w:t>
      </w:r>
    </w:p>
    <w:p w14:paraId="47CF1D48" w14:textId="77777777" w:rsidR="00C06FBC" w:rsidRPr="00C06FBC" w:rsidRDefault="00C06FBC" w:rsidP="00C06FBC">
      <w:pPr>
        <w:numPr>
          <w:ilvl w:val="0"/>
          <w:numId w:val="1"/>
        </w:numPr>
      </w:pPr>
      <w:r w:rsidRPr="00C06FBC">
        <w:rPr>
          <w:b/>
          <w:bCs/>
        </w:rPr>
        <w:t>Rendimento netto post-imposte</w:t>
      </w:r>
      <w:r w:rsidRPr="00C06FBC">
        <w:t xml:space="preserve"> — Specialmente rilevante per titoli di Stato italiani (imposta al 12,5%).</w:t>
      </w:r>
    </w:p>
    <w:p w14:paraId="6FA329FF" w14:textId="77777777" w:rsidR="00C06FBC" w:rsidRPr="00C06FBC" w:rsidRDefault="00C06FBC" w:rsidP="00C06FBC">
      <w:pPr>
        <w:numPr>
          <w:ilvl w:val="0"/>
          <w:numId w:val="1"/>
        </w:numPr>
      </w:pPr>
      <w:r w:rsidRPr="00C06FBC">
        <w:rPr>
          <w:b/>
          <w:bCs/>
        </w:rPr>
        <w:t>Tasso di rendimento reale</w:t>
      </w:r>
      <w:r w:rsidRPr="00C06FBC">
        <w:t xml:space="preserve"> — YTM corretto per l’inflazione attesa, per capire il potere d’acquisto effettivo.</w:t>
      </w:r>
    </w:p>
    <w:p w14:paraId="618F097B" w14:textId="77777777" w:rsidR="00C06FBC" w:rsidRPr="00C06FBC" w:rsidRDefault="00C06FBC" w:rsidP="00C06FBC">
      <w:r w:rsidRPr="00C06FBC">
        <w:pict w14:anchorId="3A281982">
          <v:rect id="_x0000_i1026" style="width:0;height:1.5pt" o:hralign="center" o:hrstd="t" o:hr="t" fillcolor="#a0a0a0" stroked="f"/>
        </w:pict>
      </w:r>
    </w:p>
    <w:p w14:paraId="476B989D" w14:textId="77777777" w:rsidR="00C06FBC" w:rsidRPr="00C06FBC" w:rsidRDefault="00C06FBC" w:rsidP="00C06FBC">
      <w:pPr>
        <w:rPr>
          <w:b/>
          <w:bCs/>
        </w:rPr>
      </w:pPr>
      <w:r w:rsidRPr="00C06FBC">
        <w:rPr>
          <w:b/>
          <w:bCs/>
        </w:rPr>
        <w:t>2. Rischio e volatilità</w:t>
      </w:r>
    </w:p>
    <w:p w14:paraId="05CA8C37" w14:textId="77777777" w:rsidR="00C06FBC" w:rsidRPr="00C06FBC" w:rsidRDefault="00C06FBC" w:rsidP="00C06FBC">
      <w:pPr>
        <w:numPr>
          <w:ilvl w:val="0"/>
          <w:numId w:val="2"/>
        </w:numPr>
      </w:pPr>
      <w:r w:rsidRPr="00C06FBC">
        <w:rPr>
          <w:b/>
          <w:bCs/>
        </w:rPr>
        <w:t>Duration</w:t>
      </w:r>
    </w:p>
    <w:p w14:paraId="4671D0E7" w14:textId="77777777" w:rsidR="00C06FBC" w:rsidRPr="00C06FBC" w:rsidRDefault="00C06FBC" w:rsidP="00C06FBC">
      <w:pPr>
        <w:numPr>
          <w:ilvl w:val="1"/>
          <w:numId w:val="2"/>
        </w:numPr>
      </w:pPr>
      <w:r w:rsidRPr="00C06FBC">
        <w:rPr>
          <w:i/>
          <w:iCs/>
        </w:rPr>
        <w:t>Macaulay Duration</w:t>
      </w:r>
      <w:r w:rsidRPr="00C06FBC">
        <w:t>: media ponderata delle scadenze dei flussi di cassa.</w:t>
      </w:r>
    </w:p>
    <w:p w14:paraId="17680D3B" w14:textId="77777777" w:rsidR="00C06FBC" w:rsidRPr="00C06FBC" w:rsidRDefault="00C06FBC" w:rsidP="00C06FBC">
      <w:pPr>
        <w:numPr>
          <w:ilvl w:val="1"/>
          <w:numId w:val="2"/>
        </w:numPr>
      </w:pPr>
      <w:proofErr w:type="spellStart"/>
      <w:r w:rsidRPr="00C06FBC">
        <w:rPr>
          <w:i/>
          <w:iCs/>
        </w:rPr>
        <w:t>Modified</w:t>
      </w:r>
      <w:proofErr w:type="spellEnd"/>
      <w:r w:rsidRPr="00C06FBC">
        <w:rPr>
          <w:i/>
          <w:iCs/>
        </w:rPr>
        <w:t xml:space="preserve"> Duration</w:t>
      </w:r>
      <w:r w:rsidRPr="00C06FBC">
        <w:t>: sensibilità del prezzo alle variazioni dei tassi.</w:t>
      </w:r>
    </w:p>
    <w:p w14:paraId="0DD045B6" w14:textId="77777777" w:rsidR="00C06FBC" w:rsidRPr="00C06FBC" w:rsidRDefault="00C06FBC" w:rsidP="00C06FBC">
      <w:pPr>
        <w:numPr>
          <w:ilvl w:val="0"/>
          <w:numId w:val="2"/>
        </w:numPr>
      </w:pPr>
      <w:r w:rsidRPr="00C06FBC">
        <w:rPr>
          <w:b/>
          <w:bCs/>
        </w:rPr>
        <w:t>Convessità</w:t>
      </w:r>
      <w:r w:rsidRPr="00C06FBC">
        <w:t xml:space="preserve"> — Misura quanto la Duration cambia al variare dei tassi (importante per BTP lunghi).</w:t>
      </w:r>
    </w:p>
    <w:p w14:paraId="0A0F1037" w14:textId="77777777" w:rsidR="00C06FBC" w:rsidRPr="00C06FBC" w:rsidRDefault="00C06FBC" w:rsidP="00C06FBC">
      <w:pPr>
        <w:numPr>
          <w:ilvl w:val="0"/>
          <w:numId w:val="2"/>
        </w:numPr>
      </w:pPr>
      <w:r w:rsidRPr="00C06FBC">
        <w:rPr>
          <w:b/>
          <w:bCs/>
        </w:rPr>
        <w:t xml:space="preserve">Value </w:t>
      </w:r>
      <w:proofErr w:type="spellStart"/>
      <w:r w:rsidRPr="00C06FBC">
        <w:rPr>
          <w:b/>
          <w:bCs/>
        </w:rPr>
        <w:t>at</w:t>
      </w:r>
      <w:proofErr w:type="spellEnd"/>
      <w:r w:rsidRPr="00C06FBC">
        <w:rPr>
          <w:b/>
          <w:bCs/>
        </w:rPr>
        <w:t xml:space="preserve"> Risk (VaR)</w:t>
      </w:r>
      <w:r w:rsidRPr="00C06FBC">
        <w:t xml:space="preserve"> su base storica o parametrica — Stima della perdita massima probabile entro un certo intervallo di confidenza.</w:t>
      </w:r>
    </w:p>
    <w:p w14:paraId="7EEDD130" w14:textId="77777777" w:rsidR="00C06FBC" w:rsidRPr="00C06FBC" w:rsidRDefault="00C06FBC" w:rsidP="00C06FBC">
      <w:pPr>
        <w:numPr>
          <w:ilvl w:val="0"/>
          <w:numId w:val="2"/>
        </w:numPr>
      </w:pPr>
      <w:r w:rsidRPr="00C06FBC">
        <w:rPr>
          <w:b/>
          <w:bCs/>
        </w:rPr>
        <w:t>Volatilità storica dei prezzi</w:t>
      </w:r>
      <w:r w:rsidRPr="00C06FBC">
        <w:t xml:space="preserve"> — Utile per capire quanto il titolo oscilla nel tempo.</w:t>
      </w:r>
    </w:p>
    <w:p w14:paraId="047F1C05" w14:textId="77777777" w:rsidR="00C06FBC" w:rsidRPr="00C06FBC" w:rsidRDefault="00C06FBC" w:rsidP="00C06FBC">
      <w:r w:rsidRPr="00C06FBC">
        <w:pict w14:anchorId="2F6759CF">
          <v:rect id="_x0000_i1027" style="width:0;height:1.5pt" o:hralign="center" o:hrstd="t" o:hr="t" fillcolor="#a0a0a0" stroked="f"/>
        </w:pict>
      </w:r>
    </w:p>
    <w:p w14:paraId="1B62AFC7" w14:textId="77777777" w:rsidR="00C06FBC" w:rsidRPr="00C06FBC" w:rsidRDefault="00C06FBC" w:rsidP="00C06FBC">
      <w:pPr>
        <w:rPr>
          <w:b/>
          <w:bCs/>
        </w:rPr>
      </w:pPr>
      <w:r w:rsidRPr="00C06FBC">
        <w:rPr>
          <w:b/>
          <w:bCs/>
        </w:rPr>
        <w:t>3. Analisi di scenario e sensitività</w:t>
      </w:r>
    </w:p>
    <w:p w14:paraId="33FE3578" w14:textId="77777777" w:rsidR="00C06FBC" w:rsidRPr="00C06FBC" w:rsidRDefault="00C06FBC" w:rsidP="00C06FBC">
      <w:pPr>
        <w:numPr>
          <w:ilvl w:val="0"/>
          <w:numId w:val="3"/>
        </w:numPr>
      </w:pPr>
      <w:r w:rsidRPr="00C06FBC">
        <w:rPr>
          <w:b/>
          <w:bCs/>
        </w:rPr>
        <w:t>Analisi “</w:t>
      </w:r>
      <w:proofErr w:type="spellStart"/>
      <w:r w:rsidRPr="00C06FBC">
        <w:rPr>
          <w:b/>
          <w:bCs/>
        </w:rPr>
        <w:t>What-if</w:t>
      </w:r>
      <w:proofErr w:type="spellEnd"/>
      <w:r w:rsidRPr="00C06FBC">
        <w:rPr>
          <w:b/>
          <w:bCs/>
        </w:rPr>
        <w:t>” sui tassi</w:t>
      </w:r>
      <w:r w:rsidRPr="00C06FBC">
        <w:t xml:space="preserve"> — Simulare come cambia il prezzo del BTP con ±0,25%, ±0,50%, ±1% di variazione dei tassi.</w:t>
      </w:r>
    </w:p>
    <w:p w14:paraId="3A55FDB5" w14:textId="77777777" w:rsidR="00C06FBC" w:rsidRPr="00C06FBC" w:rsidRDefault="00C06FBC" w:rsidP="00C06FBC">
      <w:pPr>
        <w:numPr>
          <w:ilvl w:val="0"/>
          <w:numId w:val="3"/>
        </w:numPr>
      </w:pPr>
      <w:r w:rsidRPr="00C06FBC">
        <w:rPr>
          <w:b/>
          <w:bCs/>
        </w:rPr>
        <w:t xml:space="preserve">Break-even </w:t>
      </w:r>
      <w:proofErr w:type="spellStart"/>
      <w:r w:rsidRPr="00C06FBC">
        <w:rPr>
          <w:b/>
          <w:bCs/>
        </w:rPr>
        <w:t>inflation</w:t>
      </w:r>
      <w:proofErr w:type="spellEnd"/>
      <w:r w:rsidRPr="00C06FBC">
        <w:rPr>
          <w:b/>
          <w:bCs/>
        </w:rPr>
        <w:t xml:space="preserve"> rate</w:t>
      </w:r>
      <w:r w:rsidRPr="00C06FBC">
        <w:t xml:space="preserve"> (se confronti BTP nominali e BTP Italia indicizzati) — Inflazione attesa che rende indifferente l’investimento tra i due.</w:t>
      </w:r>
    </w:p>
    <w:p w14:paraId="0FF2DCAD" w14:textId="77777777" w:rsidR="00C06FBC" w:rsidRPr="00C06FBC" w:rsidRDefault="00C06FBC" w:rsidP="00C06FBC">
      <w:pPr>
        <w:numPr>
          <w:ilvl w:val="0"/>
          <w:numId w:val="3"/>
        </w:numPr>
      </w:pPr>
      <w:r w:rsidRPr="00C06FBC">
        <w:rPr>
          <w:b/>
          <w:bCs/>
        </w:rPr>
        <w:t>Scenario stress test</w:t>
      </w:r>
      <w:r w:rsidRPr="00C06FBC">
        <w:t xml:space="preserve"> — Effetto di shock sui tassi o spread BTP-Bund.</w:t>
      </w:r>
    </w:p>
    <w:p w14:paraId="73089D1B" w14:textId="77777777" w:rsidR="00C06FBC" w:rsidRPr="00C06FBC" w:rsidRDefault="00C06FBC" w:rsidP="00C06FBC">
      <w:r w:rsidRPr="00C06FBC">
        <w:pict w14:anchorId="2AED1BEA">
          <v:rect id="_x0000_i1028" style="width:0;height:1.5pt" o:hralign="center" o:hrstd="t" o:hr="t" fillcolor="#a0a0a0" stroked="f"/>
        </w:pict>
      </w:r>
    </w:p>
    <w:p w14:paraId="2C8000DB" w14:textId="77777777" w:rsidR="00C06FBC" w:rsidRPr="00C06FBC" w:rsidRDefault="00C06FBC" w:rsidP="00C06FBC">
      <w:pPr>
        <w:rPr>
          <w:b/>
          <w:bCs/>
        </w:rPr>
      </w:pPr>
      <w:r w:rsidRPr="00C06FBC">
        <w:rPr>
          <w:b/>
          <w:bCs/>
        </w:rPr>
        <w:t>4. Confronto e benchmark</w:t>
      </w:r>
    </w:p>
    <w:p w14:paraId="45ADA8B3" w14:textId="77777777" w:rsidR="00C06FBC" w:rsidRPr="00C06FBC" w:rsidRDefault="00C06FBC" w:rsidP="00C06FBC">
      <w:pPr>
        <w:numPr>
          <w:ilvl w:val="0"/>
          <w:numId w:val="4"/>
        </w:numPr>
      </w:pPr>
      <w:r w:rsidRPr="00C06FBC">
        <w:rPr>
          <w:b/>
          <w:bCs/>
        </w:rPr>
        <w:t>Spread con Bund tedesco</w:t>
      </w:r>
      <w:r w:rsidRPr="00C06FBC">
        <w:t xml:space="preserve"> — Indicatore di rischio paese.</w:t>
      </w:r>
    </w:p>
    <w:p w14:paraId="322DBE62" w14:textId="77777777" w:rsidR="00C06FBC" w:rsidRPr="00C06FBC" w:rsidRDefault="00C06FBC" w:rsidP="00C06FBC">
      <w:pPr>
        <w:numPr>
          <w:ilvl w:val="0"/>
          <w:numId w:val="4"/>
        </w:numPr>
      </w:pPr>
      <w:r w:rsidRPr="00C06FBC">
        <w:rPr>
          <w:b/>
          <w:bCs/>
        </w:rPr>
        <w:t>Confronto rendimento/duration</w:t>
      </w:r>
      <w:r w:rsidRPr="00C06FBC">
        <w:t xml:space="preserve"> con altri titoli di Stato o corporate bond di pari scadenza.</w:t>
      </w:r>
    </w:p>
    <w:p w14:paraId="1FED89E6" w14:textId="77777777" w:rsidR="00C06FBC" w:rsidRPr="00C06FBC" w:rsidRDefault="00C06FBC" w:rsidP="00C06FBC">
      <w:pPr>
        <w:numPr>
          <w:ilvl w:val="0"/>
          <w:numId w:val="4"/>
        </w:numPr>
      </w:pPr>
      <w:r w:rsidRPr="00C06FBC">
        <w:rPr>
          <w:b/>
          <w:bCs/>
        </w:rPr>
        <w:t>Sharpe ratio obbligazionario</w:t>
      </w:r>
      <w:r w:rsidRPr="00C06FBC">
        <w:t xml:space="preserve"> — Rendimento in eccesso rispetto al tasso privo di rischio, rapportato alla volatilità.</w:t>
      </w:r>
    </w:p>
    <w:p w14:paraId="76CFFD4A" w14:textId="77777777" w:rsidR="00C06FBC" w:rsidRPr="00C06FBC" w:rsidRDefault="00C06FBC" w:rsidP="00C06FBC">
      <w:r w:rsidRPr="00C06FBC">
        <w:pict w14:anchorId="65549EF2">
          <v:rect id="_x0000_i1029" style="width:0;height:1.5pt" o:hralign="center" o:hrstd="t" o:hr="t" fillcolor="#a0a0a0" stroked="f"/>
        </w:pict>
      </w:r>
    </w:p>
    <w:p w14:paraId="2434FDB0" w14:textId="77777777" w:rsidR="00C06FBC" w:rsidRPr="00C06FBC" w:rsidRDefault="00C06FBC" w:rsidP="00C06FBC">
      <w:pPr>
        <w:rPr>
          <w:b/>
          <w:bCs/>
        </w:rPr>
      </w:pPr>
      <w:r w:rsidRPr="00C06FBC">
        <w:rPr>
          <w:b/>
          <w:bCs/>
        </w:rPr>
        <w:t>5. Analisi sul ciclo di vita del titolo</w:t>
      </w:r>
    </w:p>
    <w:p w14:paraId="1FF521E1" w14:textId="77777777" w:rsidR="00C06FBC" w:rsidRPr="00C06FBC" w:rsidRDefault="00C06FBC" w:rsidP="00C06FBC">
      <w:pPr>
        <w:numPr>
          <w:ilvl w:val="0"/>
          <w:numId w:val="5"/>
        </w:numPr>
      </w:pPr>
      <w:proofErr w:type="spellStart"/>
      <w:r w:rsidRPr="00C06FBC">
        <w:rPr>
          <w:b/>
          <w:bCs/>
        </w:rPr>
        <w:t>Accrued</w:t>
      </w:r>
      <w:proofErr w:type="spellEnd"/>
      <w:r w:rsidRPr="00C06FBC">
        <w:rPr>
          <w:b/>
          <w:bCs/>
        </w:rPr>
        <w:t xml:space="preserve"> </w:t>
      </w:r>
      <w:proofErr w:type="spellStart"/>
      <w:r w:rsidRPr="00C06FBC">
        <w:rPr>
          <w:b/>
          <w:bCs/>
        </w:rPr>
        <w:t>interest</w:t>
      </w:r>
      <w:proofErr w:type="spellEnd"/>
      <w:r w:rsidRPr="00C06FBC">
        <w:t xml:space="preserve"> — Quota di cedola maturata ma non ancora pagata (per calcolare il “</w:t>
      </w:r>
      <w:proofErr w:type="spellStart"/>
      <w:r w:rsidRPr="00C06FBC">
        <w:t>dirty</w:t>
      </w:r>
      <w:proofErr w:type="spellEnd"/>
      <w:r w:rsidRPr="00C06FBC">
        <w:t xml:space="preserve"> price”).</w:t>
      </w:r>
    </w:p>
    <w:p w14:paraId="1A217F85" w14:textId="77777777" w:rsidR="00C06FBC" w:rsidRPr="00C06FBC" w:rsidRDefault="00C06FBC" w:rsidP="00C06FBC">
      <w:pPr>
        <w:numPr>
          <w:ilvl w:val="0"/>
          <w:numId w:val="5"/>
        </w:numPr>
      </w:pPr>
      <w:r w:rsidRPr="00C06FBC">
        <w:rPr>
          <w:b/>
          <w:bCs/>
        </w:rPr>
        <w:t>Flusso cedolare futuro e valore attuale netto</w:t>
      </w:r>
      <w:r w:rsidRPr="00C06FBC">
        <w:t xml:space="preserve"> — Per vedere il contributo cedole vs rimborso capitale.</w:t>
      </w:r>
    </w:p>
    <w:p w14:paraId="1225CF6F" w14:textId="77777777" w:rsidR="00C06FBC" w:rsidRPr="00C06FBC" w:rsidRDefault="00C06FBC" w:rsidP="00C06FBC">
      <w:pPr>
        <w:numPr>
          <w:ilvl w:val="0"/>
          <w:numId w:val="5"/>
        </w:numPr>
      </w:pPr>
      <w:r w:rsidRPr="00C06FBC">
        <w:rPr>
          <w:b/>
          <w:bCs/>
        </w:rPr>
        <w:t>Rendimento a scadenza residua</w:t>
      </w:r>
      <w:r w:rsidRPr="00C06FBC">
        <w:t xml:space="preserve"> — Per chi compra sul secondario, cambia sensibilmente rispetto all’emissione.</w:t>
      </w:r>
    </w:p>
    <w:p w14:paraId="4F939F0E" w14:textId="77777777" w:rsidR="00C06FBC" w:rsidRPr="00C06FBC" w:rsidRDefault="00C06FBC" w:rsidP="00C06FBC">
      <w:r w:rsidRPr="00C06FBC">
        <w:pict w14:anchorId="7A6299EE">
          <v:rect id="_x0000_i1030" style="width:0;height:1.5pt" o:hralign="center" o:hrstd="t" o:hr="t" fillcolor="#a0a0a0" stroked="f"/>
        </w:pict>
      </w:r>
    </w:p>
    <w:p w14:paraId="6D49ABBB" w14:textId="77777777" w:rsidR="00C06FBC" w:rsidRPr="00C06FBC" w:rsidRDefault="00C06FBC" w:rsidP="00C06FBC">
      <w:r w:rsidRPr="00C06FBC">
        <w:rPr>
          <w:rFonts w:ascii="Segoe UI Emoji" w:hAnsi="Segoe UI Emoji" w:cs="Segoe UI Emoji"/>
        </w:rPr>
        <w:t>💡</w:t>
      </w:r>
      <w:r w:rsidRPr="00C06FBC">
        <w:t xml:space="preserve"> Se vuoi, posso prepararti </w:t>
      </w:r>
      <w:r w:rsidRPr="00C06FBC">
        <w:rPr>
          <w:b/>
          <w:bCs/>
        </w:rPr>
        <w:t>uno schema di calcolo in Python</w:t>
      </w:r>
      <w:r w:rsidRPr="00C06FBC">
        <w:t xml:space="preserve"> che, dati ISIN, prezzo e data di acquisto, ti calcoli automaticamente </w:t>
      </w:r>
      <w:r w:rsidRPr="00C06FBC">
        <w:rPr>
          <w:b/>
          <w:bCs/>
        </w:rPr>
        <w:t>YTM, Duration, Convessità e scenari sui tassi</w:t>
      </w:r>
      <w:r w:rsidRPr="00C06FBC">
        <w:t xml:space="preserve"> — così il tuo applicativo avrebbe già un motore di analisi solido.</w:t>
      </w:r>
    </w:p>
    <w:p w14:paraId="3E4E285C" w14:textId="77777777" w:rsidR="00C06FBC" w:rsidRPr="00C06FBC" w:rsidRDefault="00C06FBC" w:rsidP="00C06FBC">
      <w:r w:rsidRPr="00C06FBC">
        <w:t>Vuoi che te lo prepari?</w:t>
      </w:r>
    </w:p>
    <w:p w14:paraId="576F1BF9" w14:textId="77777777" w:rsidR="00C06FBC" w:rsidRPr="00C06FBC" w:rsidRDefault="00C06FBC" w:rsidP="00C06FBC">
      <w:pPr>
        <w:rPr>
          <w:vanish/>
        </w:rPr>
      </w:pPr>
      <w:r w:rsidRPr="00C06FBC">
        <w:rPr>
          <w:vanish/>
        </w:rPr>
        <w:t>Inizio modulo</w:t>
      </w:r>
    </w:p>
    <w:p w14:paraId="5C911565" w14:textId="77777777" w:rsidR="00C06FBC" w:rsidRPr="00C06FBC" w:rsidRDefault="00C06FBC" w:rsidP="00C06FBC">
      <w:r w:rsidRPr="00C06FBC">
        <w:pict w14:anchorId="33B82E81"/>
      </w:r>
    </w:p>
    <w:p w14:paraId="44EE99C9" w14:textId="77777777" w:rsidR="00C06FBC" w:rsidRPr="00C06FBC" w:rsidRDefault="00C06FBC" w:rsidP="00C06FBC">
      <w:pPr>
        <w:rPr>
          <w:vanish/>
        </w:rPr>
      </w:pPr>
      <w:r w:rsidRPr="00C06FBC">
        <w:rPr>
          <w:vanish/>
        </w:rPr>
        <w:t>Fine modulo</w:t>
      </w:r>
    </w:p>
    <w:p w14:paraId="108E828C" w14:textId="77777777" w:rsidR="00C06FBC" w:rsidRPr="00C06FBC" w:rsidRDefault="00C06FBC" w:rsidP="00C06FBC">
      <w:r w:rsidRPr="00C06FBC">
        <w:t xml:space="preserve">ChatGPT può commettere errori. Assicurati di verificare le </w:t>
      </w:r>
      <w:proofErr w:type="spellStart"/>
      <w:r w:rsidRPr="00C06FBC">
        <w:t>infor</w:t>
      </w:r>
      <w:proofErr w:type="spellEnd"/>
    </w:p>
    <w:p w14:paraId="456A22AC" w14:textId="77777777" w:rsidR="00E146C9" w:rsidRDefault="00E146C9"/>
    <w:sectPr w:rsidR="00E146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B5BD3"/>
    <w:multiLevelType w:val="multilevel"/>
    <w:tmpl w:val="062E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36653"/>
    <w:multiLevelType w:val="multilevel"/>
    <w:tmpl w:val="7B98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B30F6"/>
    <w:multiLevelType w:val="multilevel"/>
    <w:tmpl w:val="BAB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C6483"/>
    <w:multiLevelType w:val="multilevel"/>
    <w:tmpl w:val="784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C348A"/>
    <w:multiLevelType w:val="multilevel"/>
    <w:tmpl w:val="7D9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850924">
    <w:abstractNumId w:val="2"/>
  </w:num>
  <w:num w:numId="2" w16cid:durableId="1878228942">
    <w:abstractNumId w:val="4"/>
  </w:num>
  <w:num w:numId="3" w16cid:durableId="849217820">
    <w:abstractNumId w:val="3"/>
  </w:num>
  <w:num w:numId="4" w16cid:durableId="126049286">
    <w:abstractNumId w:val="0"/>
  </w:num>
  <w:num w:numId="5" w16cid:durableId="942414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6C9"/>
    <w:rsid w:val="00524CE2"/>
    <w:rsid w:val="00C06FBC"/>
    <w:rsid w:val="00E1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A94C0D-7346-4163-BBA8-4ECB26B2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14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14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4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14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14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14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14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14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14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14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14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4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146C9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146C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146C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146C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146C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146C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14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14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14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14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14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146C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146C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146C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14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146C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14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Donatello Puliatti</dc:creator>
  <cp:keywords/>
  <dc:description/>
  <cp:lastModifiedBy>Donatello Puliatti</cp:lastModifiedBy>
  <cp:revision>9</cp:revision>
  <dcterms:created xsi:type="dcterms:W3CDTF">2025-08-13T16:39:00Z</dcterms:created>
  <dcterms:modified xsi:type="dcterms:W3CDTF">2025-08-13T16:39:00Z</dcterms:modified>
</cp:coreProperties>
</file>