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sz w:val="28"/>
          <w:szCs w:val="28"/>
        </w:rPr>
      </w:pPr>
      <w:r>
        <w:rPr>
          <w:rFonts w:ascii="宋体" w:hAnsi="宋体"/>
          <w:sz w:val="28"/>
          <w:szCs w:val="28"/>
        </w:rPr>
        <w:t>2023</w:t>
      </w:r>
      <w:r>
        <w:rPr>
          <w:rFonts w:ascii="宋体" w:hAnsi="宋体"/>
          <w:sz w:val="28"/>
          <w:szCs w:val="28"/>
        </w:rPr>
        <w:t>年中国研究生数学建模竞赛</w:t>
      </w:r>
      <w:r>
        <w:rPr>
          <w:rFonts w:ascii="宋体" w:hAnsi="宋体"/>
          <w:sz w:val="28"/>
          <w:szCs w:val="28"/>
        </w:rPr>
        <w:t>D</w:t>
      </w:r>
      <w:r>
        <w:rPr>
          <w:rFonts w:ascii="宋体" w:hAnsi="宋体"/>
          <w:sz w:val="28"/>
          <w:szCs w:val="28"/>
        </w:rPr>
        <w:t>题</w:t>
      </w:r>
    </w:p>
    <w:p>
      <w:pPr>
        <w:pStyle w:val="Normal"/>
        <w:spacing w:before="156" w:after="156"/>
        <w:jc w:val="center"/>
        <w:rPr>
          <w:rFonts w:ascii="宋体" w:hAnsi="宋体" w:eastAsia="宋体"/>
          <w:b/>
          <w:b/>
          <w:bCs/>
          <w:sz w:val="32"/>
          <w:szCs w:val="32"/>
        </w:rPr>
      </w:pPr>
      <w:r>
        <w:rPr>
          <w:rFonts w:ascii="宋体" w:hAnsi="宋体" w:eastAsia="宋体"/>
          <w:b/>
          <w:bCs/>
          <w:sz w:val="32"/>
          <w:szCs w:val="32"/>
        </w:rPr>
        <w:t>区域双碳目标与路径规划研究</w:t>
      </w:r>
    </w:p>
    <w:p>
      <w:pPr>
        <w:pStyle w:val="Normal"/>
        <w:spacing w:before="156" w:after="156"/>
        <w:rPr>
          <w:rFonts w:ascii="宋体" w:hAnsi="宋体" w:eastAsia="宋体"/>
          <w:b/>
          <w:b/>
          <w:bCs/>
          <w:sz w:val="24"/>
          <w:szCs w:val="24"/>
        </w:rPr>
      </w:pPr>
      <w:r>
        <w:rPr>
          <w:rFonts w:ascii="宋体" w:hAnsi="宋体" w:eastAsia="宋体"/>
          <w:b/>
          <w:bCs/>
          <w:sz w:val="24"/>
          <w:szCs w:val="24"/>
        </w:rPr>
        <w:t>一、背景介绍</w:t>
      </w:r>
    </w:p>
    <w:p>
      <w:pPr>
        <w:pStyle w:val="Normal"/>
        <w:ind w:firstLine="480"/>
        <w:rPr>
          <w:rFonts w:ascii="宋体" w:hAnsi="宋体" w:eastAsia="宋体"/>
          <w:sz w:val="24"/>
          <w:szCs w:val="24"/>
        </w:rPr>
      </w:pPr>
      <w:r>
        <w:rPr>
          <w:rFonts w:eastAsia="宋体" w:ascii="宋体" w:hAnsi="宋体"/>
          <w:sz w:val="24"/>
          <w:szCs w:val="24"/>
        </w:rPr>
        <w:t>2020</w:t>
      </w:r>
      <w:r>
        <w:rPr>
          <w:rFonts w:ascii="宋体" w:hAnsi="宋体" w:eastAsia="宋体"/>
          <w:sz w:val="24"/>
          <w:szCs w:val="24"/>
        </w:rPr>
        <w:t>年</w:t>
      </w:r>
      <w:r>
        <w:rPr>
          <w:rFonts w:eastAsia="宋体" w:ascii="宋体" w:hAnsi="宋体"/>
          <w:sz w:val="24"/>
          <w:szCs w:val="24"/>
        </w:rPr>
        <w:t>9</w:t>
      </w:r>
      <w:r>
        <w:rPr>
          <w:rFonts w:ascii="宋体" w:hAnsi="宋体" w:eastAsia="宋体"/>
          <w:sz w:val="24"/>
          <w:szCs w:val="24"/>
        </w:rPr>
        <w:t>月</w:t>
      </w:r>
      <w:r>
        <w:rPr>
          <w:rFonts w:eastAsia="宋体" w:ascii="宋体" w:hAnsi="宋体"/>
          <w:sz w:val="24"/>
          <w:szCs w:val="24"/>
        </w:rPr>
        <w:t>22</w:t>
      </w:r>
      <w:r>
        <w:rPr>
          <w:rFonts w:ascii="宋体" w:hAnsi="宋体" w:eastAsia="宋体"/>
          <w:sz w:val="24"/>
          <w:szCs w:val="24"/>
        </w:rPr>
        <w:t>日，习近平主席在第七十五届联合国大会一般性辩论上提出中国将提高国家自主贡献力度，采取更加有力的政策和措施，二氧化碳排放力争于</w:t>
      </w:r>
      <w:r>
        <w:rPr>
          <w:rFonts w:eastAsia="宋体" w:ascii="宋体" w:hAnsi="宋体"/>
          <w:sz w:val="24"/>
          <w:szCs w:val="24"/>
          <w:u w:val="single"/>
        </w:rPr>
        <w:t>2030</w:t>
      </w:r>
      <w:r>
        <w:rPr>
          <w:rFonts w:ascii="宋体" w:hAnsi="宋体" w:eastAsia="宋体"/>
          <w:sz w:val="24"/>
          <w:szCs w:val="24"/>
          <w:u w:val="single"/>
        </w:rPr>
        <w:t>年前达到峰值，努力争取</w:t>
      </w:r>
      <w:r>
        <w:rPr>
          <w:rFonts w:eastAsia="宋体" w:ascii="宋体" w:hAnsi="宋体"/>
          <w:sz w:val="24"/>
          <w:szCs w:val="24"/>
          <w:u w:val="single"/>
        </w:rPr>
        <w:t>2060</w:t>
      </w:r>
      <w:r>
        <w:rPr>
          <w:rFonts w:ascii="宋体" w:hAnsi="宋体" w:eastAsia="宋体"/>
          <w:sz w:val="24"/>
          <w:szCs w:val="24"/>
          <w:u w:val="single"/>
        </w:rPr>
        <w:t>年前实现碳中和</w:t>
      </w:r>
      <w:r>
        <w:rPr>
          <w:rFonts w:ascii="宋体" w:hAnsi="宋体" w:eastAsia="宋体"/>
          <w:sz w:val="24"/>
          <w:szCs w:val="24"/>
        </w:rPr>
        <w:t>。</w:t>
      </w:r>
    </w:p>
    <w:p>
      <w:pPr>
        <w:pStyle w:val="Normal"/>
        <w:ind w:firstLine="480"/>
        <w:rPr>
          <w:rFonts w:ascii="宋体" w:hAnsi="宋体" w:eastAsia="宋体"/>
          <w:sz w:val="24"/>
          <w:szCs w:val="24"/>
        </w:rPr>
      </w:pPr>
      <w:r>
        <w:rPr>
          <w:rFonts w:eastAsia="宋体" w:ascii="宋体" w:hAnsi="宋体"/>
          <w:sz w:val="24"/>
          <w:szCs w:val="24"/>
        </w:rPr>
        <w:t>2021</w:t>
      </w:r>
      <w:r>
        <w:rPr>
          <w:rFonts w:ascii="宋体" w:hAnsi="宋体" w:eastAsia="宋体"/>
          <w:sz w:val="24"/>
          <w:szCs w:val="24"/>
        </w:rPr>
        <w:t>年</w:t>
      </w:r>
      <w:r>
        <w:rPr>
          <w:rFonts w:eastAsia="宋体" w:ascii="宋体" w:hAnsi="宋体"/>
          <w:sz w:val="24"/>
          <w:szCs w:val="24"/>
        </w:rPr>
        <w:t>9</w:t>
      </w:r>
      <w:r>
        <w:rPr>
          <w:rFonts w:ascii="宋体" w:hAnsi="宋体" w:eastAsia="宋体"/>
          <w:sz w:val="24"/>
          <w:szCs w:val="24"/>
        </w:rPr>
        <w:t>月</w:t>
      </w:r>
      <w:r>
        <w:rPr>
          <w:rFonts w:eastAsia="宋体" w:ascii="宋体" w:hAnsi="宋体"/>
          <w:sz w:val="24"/>
          <w:szCs w:val="24"/>
        </w:rPr>
        <w:t>22</w:t>
      </w:r>
      <w:r>
        <w:rPr>
          <w:rFonts w:ascii="宋体" w:hAnsi="宋体" w:eastAsia="宋体"/>
          <w:sz w:val="24"/>
          <w:szCs w:val="24"/>
        </w:rPr>
        <w:t>日，中共中央国务院正式发布《关于完整准确全面贯彻新发展理念做好碳达峰碳中和工作的意见》（以下简称《意见》），明确了中国双碳行动的顶层设计。</w:t>
      </w:r>
    </w:p>
    <w:p>
      <w:pPr>
        <w:pStyle w:val="Normal"/>
        <w:ind w:firstLine="480"/>
        <w:rPr>
          <w:rFonts w:ascii="宋体" w:hAnsi="宋体" w:eastAsia="宋体"/>
          <w:sz w:val="24"/>
          <w:szCs w:val="24"/>
        </w:rPr>
      </w:pPr>
      <w:r>
        <w:rPr>
          <w:rFonts w:ascii="宋体" w:hAnsi="宋体" w:eastAsia="宋体"/>
          <w:sz w:val="24"/>
          <w:szCs w:val="24"/>
        </w:rPr>
        <w:t>我国是世界上最大的发展中国家，为实现中华民族伟大复兴，规划了在</w:t>
      </w:r>
      <w:r>
        <w:rPr>
          <w:rFonts w:eastAsia="宋体" w:ascii="宋体" w:hAnsi="宋体"/>
          <w:sz w:val="24"/>
          <w:szCs w:val="24"/>
        </w:rPr>
        <w:t>2035</w:t>
      </w:r>
      <w:r>
        <w:rPr>
          <w:rFonts w:ascii="宋体" w:hAnsi="宋体" w:eastAsia="宋体"/>
          <w:sz w:val="24"/>
          <w:szCs w:val="24"/>
        </w:rPr>
        <w:t>年基本实现现代化、在</w:t>
      </w:r>
      <w:r>
        <w:rPr>
          <w:rFonts w:eastAsia="宋体" w:ascii="宋体" w:hAnsi="宋体"/>
          <w:sz w:val="24"/>
          <w:szCs w:val="24"/>
        </w:rPr>
        <w:t>2050</w:t>
      </w:r>
      <w:r>
        <w:rPr>
          <w:rFonts w:ascii="宋体" w:hAnsi="宋体" w:eastAsia="宋体"/>
          <w:sz w:val="24"/>
          <w:szCs w:val="24"/>
        </w:rPr>
        <w:t>年实现中国式现代化的经济社会发展目标。因此，实现</w:t>
      </w:r>
      <w:r>
        <w:rPr>
          <w:rFonts w:eastAsia="宋体" w:ascii="宋体" w:hAnsi="宋体"/>
          <w:sz w:val="24"/>
          <w:szCs w:val="24"/>
        </w:rPr>
        <w:t>2060</w:t>
      </w:r>
      <w:r>
        <w:rPr>
          <w:rFonts w:ascii="宋体" w:hAnsi="宋体" w:eastAsia="宋体"/>
          <w:sz w:val="24"/>
          <w:szCs w:val="24"/>
        </w:rPr>
        <w:t>年碳中和的目标，必须破解发展与碳减排之间的矛盾。其中，推动经济社会高质量发展是矛盾的主要方面。</w:t>
      </w:r>
    </w:p>
    <w:p>
      <w:pPr>
        <w:pStyle w:val="Normal"/>
        <w:ind w:firstLine="480"/>
        <w:rPr>
          <w:rFonts w:ascii="宋体" w:hAnsi="宋体" w:eastAsia="宋体"/>
          <w:sz w:val="24"/>
          <w:szCs w:val="24"/>
        </w:rPr>
      </w:pPr>
      <w:r>
        <w:rPr>
          <w:rFonts w:ascii="宋体" w:hAnsi="宋体" w:eastAsia="宋体"/>
          <w:sz w:val="24"/>
          <w:szCs w:val="24"/>
        </w:rPr>
        <w:t>经济增长与能源消费量以及能源消费量与碳排放量之间存在关联关系，破解发展与减排的矛盾，只能寻求经济增长与碳排放量的负相关变化，必须从提高能源利用效率和提高非化石能源消费比重两个方面入手。</w:t>
      </w:r>
    </w:p>
    <w:p>
      <w:pPr>
        <w:pStyle w:val="Normal"/>
        <w:ind w:firstLine="480"/>
        <w:rPr>
          <w:rFonts w:ascii="宋体" w:hAnsi="宋体" w:eastAsia="宋体"/>
          <w:sz w:val="24"/>
          <w:szCs w:val="24"/>
        </w:rPr>
      </w:pPr>
      <w:r>
        <w:rPr>
          <w:rFonts w:ascii="宋体" w:hAnsi="宋体" w:eastAsia="宋体"/>
          <w:sz w:val="24"/>
          <w:szCs w:val="24"/>
          <w:highlight w:val="yellow"/>
        </w:rPr>
        <w:t>提高能源利用效率</w:t>
      </w:r>
      <w:r>
        <w:rPr>
          <w:rFonts w:ascii="宋体" w:hAnsi="宋体" w:eastAsia="宋体"/>
          <w:sz w:val="24"/>
          <w:szCs w:val="24"/>
        </w:rPr>
        <w:t>（即降低单位</w:t>
      </w:r>
      <w:r>
        <w:rPr>
          <w:rFonts w:eastAsia="宋体" w:ascii="宋体" w:hAnsi="宋体"/>
          <w:sz w:val="24"/>
          <w:szCs w:val="24"/>
        </w:rPr>
        <w:t>GDP</w:t>
      </w:r>
      <w:r>
        <w:rPr>
          <w:rFonts w:ascii="宋体" w:hAnsi="宋体" w:eastAsia="宋体"/>
          <w:sz w:val="24"/>
          <w:szCs w:val="24"/>
        </w:rPr>
        <w:t>能耗），可实现经济增长与能源消费量增长的负相关变化。</w:t>
      </w:r>
      <w:r>
        <w:rPr>
          <w:rFonts w:ascii="宋体" w:hAnsi="宋体" w:eastAsia="宋体"/>
          <w:sz w:val="24"/>
          <w:szCs w:val="24"/>
          <w:u w:val="single"/>
        </w:rPr>
        <w:t>提高能源利用效率的主要途径：一是开展管理节能、技术节能和结构节能等能效工程，降低单位产品与服务的能耗；二是开展以科技创新为基础的产业升级工程，增加单位产品与服务的科技附加值</w:t>
      </w:r>
      <w:r>
        <w:rPr>
          <w:rFonts w:ascii="宋体" w:hAnsi="宋体" w:eastAsia="宋体"/>
          <w:sz w:val="24"/>
          <w:szCs w:val="24"/>
        </w:rPr>
        <w:t>。</w:t>
      </w:r>
    </w:p>
    <w:p>
      <w:pPr>
        <w:pStyle w:val="Normal"/>
        <w:ind w:firstLine="480"/>
        <w:rPr>
          <w:rFonts w:ascii="宋体" w:hAnsi="宋体" w:eastAsia="宋体"/>
          <w:sz w:val="24"/>
          <w:szCs w:val="24"/>
        </w:rPr>
      </w:pPr>
      <w:r>
        <w:rPr>
          <w:rFonts w:ascii="宋体" w:hAnsi="宋体" w:eastAsia="宋体"/>
          <w:sz w:val="24"/>
          <w:szCs w:val="24"/>
          <w:highlight w:val="yellow"/>
        </w:rPr>
        <w:t>提高非化石能源消费比重</w:t>
      </w:r>
      <w:r>
        <w:rPr>
          <w:rFonts w:ascii="宋体" w:hAnsi="宋体" w:eastAsia="宋体"/>
          <w:sz w:val="24"/>
          <w:szCs w:val="24"/>
        </w:rPr>
        <w:t>（即降低单位能耗</w:t>
      </w:r>
      <w:bookmarkStart w:id="0" w:name="_GoBack"/>
      <w:bookmarkEnd w:id="0"/>
      <w:r>
        <w:rPr>
          <w:rFonts w:ascii="宋体" w:hAnsi="宋体" w:eastAsia="宋体"/>
          <w:sz w:val="24"/>
          <w:szCs w:val="24"/>
        </w:rPr>
        <w:t>碳排放），可实现能源消费量与碳排放量增长的负相关变化。提高非化石能源消费比重的主要途径有：</w:t>
      </w:r>
      <w:r>
        <w:rPr>
          <w:rFonts w:ascii="宋体" w:hAnsi="宋体" w:eastAsia="宋体"/>
          <w:sz w:val="24"/>
          <w:szCs w:val="24"/>
          <w:u w:val="single"/>
        </w:rPr>
        <w:t>一是开展新能源发电、火电脱碳与新型电网等能源脱碳工程，提升非化石能源发电占比；二是开展以电能替代化石能源为核心的能源消费电气化工程，提升电力消费比重</w:t>
      </w:r>
      <w:r>
        <w:rPr>
          <w:rFonts w:ascii="宋体" w:hAnsi="宋体" w:eastAsia="宋体"/>
          <w:sz w:val="24"/>
          <w:szCs w:val="24"/>
        </w:rPr>
        <w:t>。</w:t>
      </w:r>
    </w:p>
    <w:p>
      <w:pPr>
        <w:pStyle w:val="Normal"/>
        <w:ind w:firstLine="480"/>
        <w:rPr>
          <w:rFonts w:ascii="宋体" w:hAnsi="宋体" w:eastAsia="宋体"/>
          <w:sz w:val="24"/>
          <w:szCs w:val="24"/>
        </w:rPr>
      </w:pPr>
      <w:r>
        <w:rPr>
          <w:rFonts w:ascii="宋体" w:hAnsi="宋体" w:eastAsia="宋体"/>
          <w:sz w:val="24"/>
          <w:szCs w:val="24"/>
        </w:rPr>
        <w:t>可见，破解发展与减排的矛盾，需要从提高能源利用效率和提高非化石能源消费比重两个方面，实施能效提升、产业（产品）升级、能源脱碳和能源消费电气化等四大重点工程。</w:t>
      </w:r>
    </w:p>
    <w:p>
      <w:pPr>
        <w:pStyle w:val="Normal"/>
        <w:ind w:firstLine="480"/>
        <w:rPr>
          <w:rFonts w:ascii="宋体" w:hAnsi="宋体" w:eastAsia="宋体"/>
          <w:sz w:val="24"/>
          <w:szCs w:val="24"/>
        </w:rPr>
      </w:pPr>
      <w:r>
        <w:rPr>
          <w:rFonts w:ascii="宋体" w:hAnsi="宋体" w:eastAsia="宋体"/>
          <w:sz w:val="24"/>
          <w:szCs w:val="24"/>
        </w:rPr>
        <w:t>本赛题需要建立并运用数学模型，</w:t>
      </w:r>
      <w:r>
        <w:rPr>
          <w:rFonts w:ascii="宋体" w:hAnsi="宋体" w:eastAsia="宋体"/>
          <w:sz w:val="24"/>
          <w:szCs w:val="24"/>
          <w:u w:val="single"/>
        </w:rPr>
        <w:t>分析、评价和预测能效提升、产业（产品）升级、能源脱碳和能源消费电气化等重点工程对碳排放的影响</w:t>
      </w:r>
      <w:r>
        <w:rPr>
          <w:rFonts w:ascii="宋体" w:hAnsi="宋体" w:eastAsia="宋体"/>
          <w:sz w:val="24"/>
          <w:szCs w:val="24"/>
        </w:rPr>
        <w:t>。</w:t>
      </w:r>
    </w:p>
    <w:p>
      <w:pPr>
        <w:pStyle w:val="Normal"/>
        <w:spacing w:lineRule="exact" w:line="400" w:before="156" w:after="156"/>
        <w:rPr>
          <w:rFonts w:ascii="宋体" w:hAnsi="宋体" w:eastAsia="宋体"/>
          <w:b/>
          <w:b/>
          <w:bCs/>
          <w:color w:val="000000" w:themeColor="text1"/>
          <w:kern w:val="2"/>
          <w:sz w:val="24"/>
          <w:szCs w:val="24"/>
          <w14:textFill>
            <w14:solidFill>
              <w14:schemeClr w14:val="tx1"/>
            </w14:solidFill>
          </w14:textFill>
        </w:rPr>
      </w:pPr>
      <w:r>
        <w:rPr>
          <w:rFonts w:ascii="宋体" w:hAnsi="宋体" w:eastAsia="宋体"/>
          <w:b/>
          <w:bCs/>
          <w:color w:val="000000" w:themeColor="text1"/>
          <w:kern w:val="2"/>
          <w:sz w:val="24"/>
          <w:szCs w:val="24"/>
          <w14:textFill>
            <w14:solidFill>
              <w14:schemeClr w14:val="tx1"/>
            </w14:solidFill>
          </w14:textFill>
        </w:rPr>
        <w:t>二、需要解决的问题</w:t>
      </w:r>
    </w:p>
    <w:p>
      <w:pPr>
        <w:pStyle w:val="Normal"/>
        <w:ind w:firstLine="480"/>
        <w:rPr>
          <w:rFonts w:ascii="宋体" w:hAnsi="宋体" w:eastAsia="宋体"/>
          <w:kern w:val="2"/>
          <w:sz w:val="24"/>
          <w:szCs w:val="24"/>
        </w:rPr>
      </w:pPr>
      <w:r>
        <w:rPr>
          <w:rFonts w:ascii="宋体" w:hAnsi="宋体" w:eastAsia="宋体"/>
          <w:kern w:val="2"/>
          <w:sz w:val="24"/>
          <w:szCs w:val="24"/>
        </w:rPr>
        <w:t>请你们结合数学建模的方法解决如下几个问题：</w:t>
      </w:r>
    </w:p>
    <w:p>
      <w:pPr>
        <w:pStyle w:val="Annotationtext"/>
        <w:spacing w:before="156" w:after="156"/>
        <w:rPr>
          <w:b/>
          <w:b/>
        </w:rPr>
      </w:pPr>
      <w:r>
        <w:rPr>
          <w:rFonts w:ascii="宋体" w:hAnsi="宋体" w:eastAsia="宋体"/>
          <w:b/>
          <w:bCs/>
          <w:kern w:val="2"/>
          <w:sz w:val="24"/>
          <w:szCs w:val="24"/>
        </w:rPr>
        <w:t>问题一：区域碳排放量以及经济、人口、能源消费量的现状分析</w:t>
      </w:r>
    </w:p>
    <w:p>
      <w:pPr>
        <w:pStyle w:val="Normal"/>
        <w:rPr>
          <w:rFonts w:ascii="宋体" w:hAnsi="宋体" w:eastAsia="宋体"/>
          <w:color w:val="0000FF"/>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w:t>
      </w:r>
      <w:r>
        <w:rPr>
          <w:rFonts w:ascii="宋体" w:hAnsi="宋体" w:eastAsia="宋体"/>
          <w:color w:val="0000FF"/>
          <w:kern w:val="2"/>
          <w:sz w:val="24"/>
          <w:szCs w:val="24"/>
        </w:rPr>
        <w:t>建立指标与指标体系</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：指标能够描述某区域</w:t>
      </w:r>
      <w:r>
        <w:rPr>
          <w:rFonts w:ascii="宋体" w:hAnsi="宋体" w:eastAsia="宋体"/>
          <w:kern w:val="2"/>
          <w:sz w:val="24"/>
          <w:szCs w:val="24"/>
          <w:highlight w:val="yellow"/>
        </w:rPr>
        <w:t>经济、人口、能源消费量和碳排放量</w:t>
      </w:r>
      <w:r>
        <w:rPr>
          <w:rFonts w:ascii="宋体" w:hAnsi="宋体" w:eastAsia="宋体"/>
          <w:kern w:val="2"/>
          <w:sz w:val="24"/>
          <w:szCs w:val="24"/>
        </w:rPr>
        <w:t>的状况；</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：指标能够描述各部门（能源供应部门、工业消费部门、建筑消费部门、交通消费部门、居民生活消费、农林消费部门）</w:t>
      </w:r>
      <w:r>
        <w:rPr>
          <w:rFonts w:ascii="宋体" w:hAnsi="宋体" w:eastAsia="宋体"/>
          <w:kern w:val="2"/>
          <w:sz w:val="24"/>
          <w:szCs w:val="24"/>
          <w:highlight w:val="yellow"/>
        </w:rPr>
        <w:t>各部门的碳排放状况</w:t>
      </w:r>
      <w:r>
        <w:rPr>
          <w:rFonts w:ascii="宋体" w:hAnsi="宋体" w:eastAsia="宋体"/>
          <w:kern w:val="2"/>
          <w:sz w:val="24"/>
          <w:szCs w:val="24"/>
        </w:rPr>
        <w:t>；</w:t>
      </w:r>
    </w:p>
    <w:p>
      <w:pPr>
        <w:pStyle w:val="Normal"/>
        <w:ind w:firstLine="480"/>
        <w:rPr>
          <w:rFonts w:ascii="宋体" w:hAnsi="宋体" w:eastAsia="宋体"/>
          <w:color w:val="FF0000"/>
          <w:kern w:val="2"/>
          <w:sz w:val="24"/>
          <w:szCs w:val="24"/>
          <w:lang w:val="en-US" w:eastAsia="zh-CN"/>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：指标体系能够描述各</w:t>
      </w:r>
      <w:r>
        <w:rPr>
          <w:rFonts w:ascii="宋体" w:hAnsi="宋体" w:eastAsia="宋体"/>
          <w:kern w:val="2"/>
          <w:sz w:val="24"/>
          <w:szCs w:val="24"/>
          <w:highlight w:val="yellow"/>
        </w:rPr>
        <w:t>主要指标之间的相互关系</w:t>
      </w:r>
      <w:r>
        <w:rPr>
          <w:rFonts w:ascii="宋体" w:hAnsi="宋体" w:eastAsia="宋体"/>
          <w:kern w:val="2"/>
          <w:sz w:val="24"/>
          <w:szCs w:val="24"/>
        </w:rPr>
        <w:t>；</w:t>
      </w:r>
      <w:r>
        <w:rPr>
          <w:rFonts w:ascii="宋体" w:hAnsi="宋体" w:eastAsia="宋体"/>
          <w:color w:val="FF0000"/>
          <w:kern w:val="2"/>
          <w:sz w:val="24"/>
          <w:szCs w:val="24"/>
          <w:lang w:val="en-US" w:eastAsia="zh-CN"/>
        </w:rPr>
        <w:t>协方差</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4</w:t>
      </w:r>
      <w:r>
        <w:rPr>
          <w:rFonts w:ascii="宋体" w:hAnsi="宋体" w:eastAsia="宋体"/>
          <w:kern w:val="2"/>
          <w:sz w:val="24"/>
          <w:szCs w:val="24"/>
        </w:rPr>
        <w:t>、部分指标的变化（同比或环比）可以成为</w:t>
      </w:r>
      <w:r>
        <w:rPr>
          <w:rFonts w:ascii="宋体" w:hAnsi="宋体" w:eastAsia="宋体"/>
          <w:kern w:val="2"/>
          <w:sz w:val="24"/>
          <w:szCs w:val="24"/>
          <w:highlight w:val="yellow"/>
        </w:rPr>
        <w:t>碳排放量预测的基础</w:t>
      </w:r>
      <w:r>
        <w:rPr>
          <w:rFonts w:ascii="宋体" w:hAnsi="宋体" w:eastAsia="宋体"/>
          <w:kern w:val="2"/>
          <w:sz w:val="24"/>
          <w:szCs w:val="24"/>
        </w:rPr>
        <w:t>。</w:t>
      </w:r>
    </w:p>
    <w:p>
      <w:pPr>
        <w:pStyle w:val="Normal"/>
        <w:rPr>
          <w:rFonts w:ascii="宋体" w:hAnsi="宋体" w:eastAsia="宋体"/>
          <w:color w:val="0000FF"/>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w:t>
      </w:r>
      <w:r>
        <w:rPr>
          <w:rFonts w:ascii="宋体" w:hAnsi="宋体" w:eastAsia="宋体"/>
          <w:color w:val="0000FF"/>
          <w:kern w:val="2"/>
          <w:sz w:val="24"/>
          <w:szCs w:val="24"/>
        </w:rPr>
        <w:t>分析区域碳排放量以及经济、人口、能源消费量的现状</w:t>
      </w:r>
    </w:p>
    <w:p>
      <w:pPr>
        <w:pStyle w:val="Normal"/>
        <w:ind w:left="210" w:firstLine="24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：以</w:t>
      </w:r>
      <w:r>
        <w:rPr>
          <w:rFonts w:eastAsia="宋体" w:ascii="宋体" w:hAnsi="宋体"/>
          <w:kern w:val="2"/>
          <w:sz w:val="24"/>
          <w:szCs w:val="24"/>
        </w:rPr>
        <w:t>2010</w:t>
      </w:r>
      <w:r>
        <w:rPr>
          <w:rFonts w:ascii="宋体" w:hAnsi="宋体" w:eastAsia="宋体"/>
          <w:kern w:val="2"/>
          <w:sz w:val="24"/>
          <w:szCs w:val="24"/>
        </w:rPr>
        <w:t>年为基期，分析某区域十二五（</w:t>
      </w:r>
      <w:r>
        <w:rPr>
          <w:rFonts w:eastAsia="宋体" w:ascii="宋体" w:hAnsi="宋体"/>
          <w:kern w:val="2"/>
          <w:sz w:val="24"/>
          <w:szCs w:val="24"/>
        </w:rPr>
        <w:t>2011-2015</w:t>
      </w:r>
      <w:r>
        <w:rPr>
          <w:rFonts w:ascii="宋体" w:hAnsi="宋体" w:eastAsia="宋体"/>
          <w:kern w:val="2"/>
          <w:sz w:val="24"/>
          <w:szCs w:val="24"/>
        </w:rPr>
        <w:t>年）和十三五</w:t>
      </w:r>
    </w:p>
    <w:p>
      <w:pPr>
        <w:pStyle w:val="Normal"/>
        <w:ind w:firstLine="24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2016-2020</w:t>
      </w:r>
      <w:r>
        <w:rPr>
          <w:rFonts w:ascii="宋体" w:hAnsi="宋体" w:eastAsia="宋体"/>
          <w:kern w:val="2"/>
          <w:sz w:val="24"/>
          <w:szCs w:val="24"/>
        </w:rPr>
        <w:t>年）期间的碳排放量状况（如总量、变化趋势等）；</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：分析对该区域碳排放量产生影响的各因素及其贡献；</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：研判该区域实现碳达峰与碳中和需要面对的主要挑战，为该区域双碳（碳达峰与碳中和）路径规划中差异化的路径选择提供依据。</w:t>
      </w:r>
    </w:p>
    <w:p>
      <w:pPr>
        <w:pStyle w:val="Normal"/>
        <w:ind w:firstLine="480"/>
        <w:rPr>
          <w:rFonts w:ascii="宋体" w:hAnsi="宋体" w:eastAsia="宋体"/>
          <w:kern w:val="2"/>
          <w:sz w:val="24"/>
          <w:szCs w:val="24"/>
        </w:rPr>
      </w:pPr>
      <w:r>
        <w:rPr>
          <w:rFonts w:eastAsia="宋体" w:ascii="宋体" w:hAnsi="宋体"/>
          <w:kern w:val="2"/>
          <w:sz w:val="24"/>
          <w:szCs w:val="24"/>
        </w:rPr>
      </w:r>
    </w:p>
    <w:p>
      <w:pPr>
        <w:pStyle w:val="Normal"/>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3</w:t>
      </w:r>
      <w:r>
        <w:rPr>
          <w:rFonts w:ascii="宋体" w:hAnsi="宋体" w:eastAsia="宋体"/>
          <w:kern w:val="2"/>
          <w:sz w:val="24"/>
          <w:szCs w:val="24"/>
        </w:rPr>
        <w:t>）</w:t>
      </w:r>
      <w:r>
        <w:rPr>
          <w:rFonts w:ascii="宋体" w:hAnsi="宋体" w:eastAsia="宋体"/>
          <w:color w:val="0000FF"/>
          <w:kern w:val="2"/>
          <w:sz w:val="24"/>
          <w:szCs w:val="24"/>
        </w:rPr>
        <w:t>区域碳排放量以及经济、人口、能源消费量各指标及其关联模型</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：分析相关指标的变化（环比与同比）；</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：建立各项指标间的关联关系模型；</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：基于相关指标的变化，结合双碳政策与技术进步等多重效应，确定</w:t>
      </w:r>
    </w:p>
    <w:p>
      <w:pPr>
        <w:pStyle w:val="Normal"/>
        <w:ind w:firstLine="480"/>
        <w:rPr>
          <w:rFonts w:ascii="宋体" w:hAnsi="宋体" w:eastAsia="宋体"/>
          <w:kern w:val="2"/>
          <w:sz w:val="24"/>
          <w:szCs w:val="24"/>
        </w:rPr>
      </w:pPr>
      <w:r>
        <w:rPr>
          <w:rFonts w:ascii="宋体" w:hAnsi="宋体" w:eastAsia="宋体"/>
          <w:kern w:val="2"/>
          <w:sz w:val="24"/>
          <w:szCs w:val="24"/>
        </w:rPr>
        <w:t>碳排放预测模型参数（如能源利用效率提升和非化石能源消费比重等）取值。</w:t>
      </w:r>
    </w:p>
    <w:p>
      <w:pPr>
        <w:pStyle w:val="Normal"/>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kern w:val="2"/>
          <w:sz w:val="24"/>
          <w:szCs w:val="24"/>
        </w:rPr>
      </w:pPr>
      <w:r>
        <w:rPr>
          <w:rFonts w:ascii="宋体" w:hAnsi="宋体" w:eastAsia="宋体"/>
          <w:b/>
          <w:bCs/>
          <w:kern w:val="2"/>
          <w:sz w:val="24"/>
          <w:szCs w:val="24"/>
        </w:rPr>
        <w:t>问题二：区域碳排放量以及经济、人口、能源消费量的预测模型</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 xml:space="preserve">）基于人口和经济变化的能源消费量预测模型  </w:t>
      </w:r>
      <w:r>
        <w:rPr>
          <w:rFonts w:ascii="宋体" w:hAnsi="宋体" w:cs="" w:eastAsia="宋体" w:cstheme="minorBidi"/>
          <w:kern w:val="2"/>
          <w:sz w:val="24"/>
          <w:szCs w:val="24"/>
          <w:shd w:fill="FFFF00" w:val="clear"/>
          <w:lang w:val="en-US" w:eastAsia="zh-CN" w:bidi="ar-SA"/>
        </w:rPr>
        <w:t>可以解决</w:t>
      </w:r>
    </w:p>
    <w:p>
      <w:pPr>
        <w:pStyle w:val="Normal"/>
        <w:spacing w:lineRule="exact" w:line="400"/>
        <w:rPr>
          <w:color w:val="C9211E"/>
        </w:rPr>
      </w:pPr>
      <w:r>
        <w:rPr>
          <w:rFonts w:ascii="宋体" w:hAnsi="宋体" w:cs="" w:eastAsia="宋体" w:cstheme="minorBidi"/>
          <w:color w:val="C9211E"/>
          <w:kern w:val="2"/>
          <w:sz w:val="24"/>
          <w:szCs w:val="24"/>
          <w:lang w:val="en-US" w:eastAsia="zh-CN" w:bidi="ar-SA"/>
        </w:rPr>
        <w:t>能源消费量预测模型</w:t>
      </w:r>
    </w:p>
    <w:p>
      <w:pPr>
        <w:pStyle w:val="Normal"/>
        <w:spacing w:lineRule="exact" w:line="400"/>
        <w:rPr>
          <w:color w:val="C9211E"/>
        </w:rPr>
      </w:pPr>
      <w:r>
        <w:rPr>
          <w:rFonts w:ascii="宋体" w:hAnsi="宋体" w:cs="" w:eastAsia="宋体" w:cstheme="minorBidi"/>
          <w:color w:val="C9211E"/>
          <w:kern w:val="2"/>
          <w:sz w:val="24"/>
          <w:szCs w:val="24"/>
          <w:lang w:val="en-US" w:eastAsia="zh-CN" w:bidi="ar-SA"/>
        </w:rPr>
        <w:t>经济和人口套用现有模型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：以</w:t>
      </w:r>
      <w:r>
        <w:rPr>
          <w:rFonts w:eastAsia="宋体" w:ascii="宋体" w:hAnsi="宋体"/>
          <w:kern w:val="2"/>
          <w:sz w:val="24"/>
          <w:szCs w:val="24"/>
        </w:rPr>
        <w:t>2020</w:t>
      </w:r>
      <w:r>
        <w:rPr>
          <w:rFonts w:ascii="宋体" w:hAnsi="宋体" w:eastAsia="宋体"/>
          <w:kern w:val="2"/>
          <w:sz w:val="24"/>
          <w:szCs w:val="24"/>
        </w:rPr>
        <w:t>年为基期，结合中国式现代化的两个时间节点（</w:t>
      </w:r>
      <w:r>
        <w:rPr>
          <w:rFonts w:eastAsia="宋体" w:ascii="宋体" w:hAnsi="宋体"/>
          <w:kern w:val="2"/>
          <w:sz w:val="24"/>
          <w:szCs w:val="24"/>
        </w:rPr>
        <w:t>2035</w:t>
      </w:r>
      <w:r>
        <w:rPr>
          <w:rFonts w:ascii="宋体" w:hAnsi="宋体" w:eastAsia="宋体"/>
          <w:kern w:val="2"/>
          <w:sz w:val="24"/>
          <w:szCs w:val="24"/>
        </w:rPr>
        <w:t>和</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2050</w:t>
      </w:r>
      <w:r>
        <w:rPr>
          <w:rFonts w:ascii="宋体" w:hAnsi="宋体" w:eastAsia="宋体"/>
          <w:kern w:val="2"/>
          <w:sz w:val="24"/>
          <w:szCs w:val="24"/>
        </w:rPr>
        <w:t>），预测某区域十四五（</w:t>
      </w:r>
      <w:r>
        <w:rPr>
          <w:rFonts w:eastAsia="宋体" w:ascii="宋体" w:hAnsi="宋体"/>
          <w:kern w:val="2"/>
          <w:sz w:val="24"/>
          <w:szCs w:val="24"/>
        </w:rPr>
        <w:t>2021-2025</w:t>
      </w:r>
      <w:r>
        <w:rPr>
          <w:rFonts w:ascii="宋体" w:hAnsi="宋体" w:eastAsia="宋体"/>
          <w:kern w:val="2"/>
          <w:sz w:val="24"/>
          <w:szCs w:val="24"/>
        </w:rPr>
        <w:t>年）至二十一五（</w:t>
      </w:r>
      <w:r>
        <w:rPr>
          <w:rFonts w:eastAsia="宋体" w:ascii="宋体" w:hAnsi="宋体"/>
          <w:kern w:val="2"/>
          <w:sz w:val="24"/>
          <w:szCs w:val="24"/>
        </w:rPr>
        <w:t>2056-2060</w:t>
      </w:r>
      <w:r>
        <w:rPr>
          <w:rFonts w:ascii="宋体" w:hAnsi="宋体" w:eastAsia="宋体"/>
          <w:kern w:val="2"/>
          <w:sz w:val="24"/>
          <w:szCs w:val="24"/>
        </w:rPr>
        <w:t>年）期间人口、经济（</w:t>
      </w:r>
      <w:r>
        <w:rPr>
          <w:rFonts w:eastAsia="宋体" w:ascii="宋体" w:hAnsi="宋体"/>
          <w:kern w:val="2"/>
          <w:sz w:val="24"/>
          <w:szCs w:val="24"/>
        </w:rPr>
        <w:t>GDP</w:t>
      </w:r>
      <w:r>
        <w:rPr>
          <w:rFonts w:ascii="宋体" w:hAnsi="宋体" w:eastAsia="宋体"/>
          <w:kern w:val="2"/>
          <w:sz w:val="24"/>
          <w:szCs w:val="24"/>
        </w:rPr>
        <w:t>）和能源消费量变化。</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：能源消费量与人口预测相关联。</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：能源消费量与经济（</w:t>
      </w:r>
      <w:r>
        <w:rPr>
          <w:rFonts w:eastAsia="宋体" w:ascii="宋体" w:hAnsi="宋体"/>
          <w:kern w:val="2"/>
          <w:sz w:val="24"/>
          <w:szCs w:val="24"/>
        </w:rPr>
        <w:t>GDP</w:t>
      </w:r>
      <w:r>
        <w:rPr>
          <w:rFonts w:ascii="宋体" w:hAnsi="宋体" w:eastAsia="宋体"/>
          <w:kern w:val="2"/>
          <w:sz w:val="24"/>
          <w:szCs w:val="24"/>
        </w:rPr>
        <w:t>）预测相关联；</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）区域碳排放量预测模型</w:t>
      </w:r>
    </w:p>
    <w:p>
      <w:pPr>
        <w:pStyle w:val="Normal"/>
        <w:spacing w:lineRule="exact" w:line="400"/>
        <w:rPr>
          <w:color w:val="C9211E"/>
        </w:rPr>
      </w:pPr>
      <w:r>
        <w:rPr>
          <w:rFonts w:ascii="宋体" w:hAnsi="宋体" w:cs="" w:eastAsia="宋体" w:cstheme="minorBidi"/>
          <w:color w:val="C9211E"/>
          <w:kern w:val="2"/>
          <w:sz w:val="24"/>
          <w:szCs w:val="24"/>
          <w:lang w:val="en-US" w:eastAsia="zh-CN" w:bidi="ar-SA"/>
        </w:rPr>
        <w:t>碳排放量与其他三大指标关联</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：碳排放量与人口、</w:t>
      </w:r>
      <w:r>
        <w:rPr>
          <w:rFonts w:eastAsia="宋体" w:ascii="宋体" w:hAnsi="宋体"/>
          <w:kern w:val="2"/>
          <w:sz w:val="24"/>
          <w:szCs w:val="24"/>
        </w:rPr>
        <w:t>GDP</w:t>
      </w:r>
      <w:r>
        <w:rPr>
          <w:rFonts w:ascii="宋体" w:hAnsi="宋体" w:eastAsia="宋体"/>
          <w:kern w:val="2"/>
          <w:sz w:val="24"/>
          <w:szCs w:val="24"/>
        </w:rPr>
        <w:t>和能源消费量预测相关联；</w:t>
      </w:r>
    </w:p>
    <w:p>
      <w:pPr>
        <w:pStyle w:val="Normal"/>
        <w:spacing w:lineRule="exact" w:line="400"/>
        <w:ind w:hanging="0"/>
        <w:rPr>
          <w:rFonts w:eastAsia="宋体"/>
          <w:color w:val="C9211E"/>
        </w:rPr>
      </w:pPr>
      <w:r>
        <w:rPr>
          <w:rFonts w:ascii="等线" w:hAnsi="等线" w:cs="" w:eastAsia="宋体" w:asciiTheme="minorHAnsi" w:cstheme="minorBidi" w:hAnsiTheme="minorHAnsi"/>
          <w:color w:val="C9211E"/>
          <w:kern w:val="2"/>
          <w:sz w:val="21"/>
          <w:szCs w:val="22"/>
          <w:lang w:val="en-US" w:eastAsia="zh-CN" w:bidi="ar-SA"/>
        </w:rPr>
        <w:t>能效影响能耗分布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：碳排放量与</w:t>
      </w:r>
      <w:r>
        <w:rPr>
          <w:rFonts w:ascii="宋体" w:hAnsi="宋体" w:eastAsia="宋体"/>
          <w:b/>
          <w:bCs/>
          <w:kern w:val="2"/>
          <w:sz w:val="24"/>
          <w:szCs w:val="24"/>
        </w:rPr>
        <w:t>各能源消费部门</w:t>
      </w:r>
      <w:r>
        <w:rPr>
          <w:rFonts w:ascii="宋体" w:hAnsi="宋体" w:eastAsia="宋体"/>
          <w:kern w:val="2"/>
          <w:sz w:val="24"/>
          <w:szCs w:val="24"/>
        </w:rPr>
        <w:t>（工业消费部门、建筑消费部门、交通消费部门、居民生活消费、农林消费部门）以及</w:t>
      </w:r>
      <w:r>
        <w:rPr>
          <w:rFonts w:ascii="宋体" w:hAnsi="宋体" w:eastAsia="宋体"/>
          <w:b/>
          <w:bCs/>
          <w:kern w:val="2"/>
          <w:sz w:val="24"/>
          <w:szCs w:val="24"/>
        </w:rPr>
        <w:t>能源供应部门</w:t>
      </w:r>
      <w:r>
        <w:rPr>
          <w:rFonts w:ascii="宋体" w:hAnsi="宋体" w:eastAsia="宋体"/>
          <w:kern w:val="2"/>
          <w:sz w:val="24"/>
          <w:szCs w:val="24"/>
        </w:rPr>
        <w:t>的能源消费量相关联（如反映</w:t>
      </w:r>
      <w:bookmarkStart w:id="1" w:name="__DdeLink__828_3759680836"/>
      <w:r>
        <w:rPr>
          <w:rFonts w:ascii="宋体" w:hAnsi="宋体" w:eastAsia="宋体"/>
          <w:kern w:val="2"/>
          <w:sz w:val="24"/>
          <w:szCs w:val="24"/>
        </w:rPr>
        <w:t>能效</w:t>
      </w:r>
      <w:bookmarkEnd w:id="1"/>
      <w:r>
        <w:rPr>
          <w:rFonts w:ascii="宋体" w:hAnsi="宋体" w:eastAsia="宋体"/>
          <w:kern w:val="2"/>
          <w:sz w:val="24"/>
          <w:szCs w:val="24"/>
        </w:rPr>
        <w:t>提升对总能耗在上述能源消费部门分布的影响）；</w:t>
      </w:r>
    </w:p>
    <w:p>
      <w:pPr>
        <w:pStyle w:val="Normal"/>
        <w:spacing w:lineRule="exact" w:line="400"/>
        <w:ind w:hanging="0"/>
        <w:rPr>
          <w:rFonts w:eastAsia="宋体"/>
          <w:color w:val="C9211E"/>
        </w:rPr>
      </w:pPr>
      <w:r>
        <w:rPr>
          <w:rFonts w:ascii="等线" w:hAnsi="等线" w:cs="" w:eastAsia="宋体" w:asciiTheme="minorHAnsi" w:cstheme="minorBidi" w:hAnsiTheme="minorHAnsi"/>
          <w:color w:val="C9211E"/>
          <w:kern w:val="2"/>
          <w:sz w:val="21"/>
          <w:szCs w:val="22"/>
          <w:lang w:val="en-US" w:eastAsia="zh-CN" w:bidi="ar-SA"/>
        </w:rPr>
        <w:t>部门化石能源占比 影响碳排放因子  能源消耗部门</w:t>
      </w:r>
      <w:r>
        <w:rPr>
          <w:rFonts w:ascii="等线" w:hAnsi="等线" w:cs="" w:eastAsia="宋体" w:asciiTheme="minorHAnsi" w:cstheme="minorBidi" w:hAnsiTheme="minorHAnsi"/>
          <w:color w:val="C9211E"/>
          <w:kern w:val="2"/>
          <w:sz w:val="21"/>
          <w:szCs w:val="22"/>
          <w:lang w:val="en-US" w:eastAsia="zh-CN" w:bidi="ar-SA"/>
        </w:rPr>
        <w:t>、能源供应部门</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：碳排放量与</w:t>
      </w:r>
      <w:r>
        <w:rPr>
          <w:rFonts w:ascii="宋体" w:hAnsi="宋体" w:eastAsia="宋体"/>
          <w:b/>
          <w:bCs/>
          <w:kern w:val="2"/>
          <w:sz w:val="24"/>
          <w:szCs w:val="24"/>
        </w:rPr>
        <w:t>各能源消费部门</w:t>
      </w:r>
      <w:r>
        <w:rPr>
          <w:rFonts w:ascii="宋体" w:hAnsi="宋体" w:eastAsia="宋体"/>
          <w:kern w:val="2"/>
          <w:sz w:val="24"/>
          <w:szCs w:val="24"/>
        </w:rPr>
        <w:t>（同上）的能源消费品种（一次能源中化石能源消费与非化石能源消费以及二次能源（电或热）消费）以及</w:t>
      </w:r>
      <w:r>
        <w:rPr>
          <w:rFonts w:ascii="宋体" w:hAnsi="宋体" w:eastAsia="宋体"/>
          <w:b/>
          <w:bCs/>
          <w:kern w:val="2"/>
          <w:sz w:val="24"/>
          <w:szCs w:val="24"/>
        </w:rPr>
        <w:t>能源供应部门</w:t>
      </w:r>
      <w:r>
        <w:rPr>
          <w:rFonts w:ascii="宋体" w:hAnsi="宋体" w:eastAsia="宋体"/>
          <w:kern w:val="2"/>
          <w:sz w:val="24"/>
          <w:szCs w:val="24"/>
        </w:rPr>
        <w:t>的能源消费品种（化石能源发电与非化石能源发电）相关联（如反映非化石能源消费比重提升对各部门能源消费品种或碳排放因子的影响）。</w:t>
      </w:r>
    </w:p>
    <w:p>
      <w:pPr>
        <w:pStyle w:val="Normal"/>
        <w:spacing w:lineRule="exact" w:line="400"/>
        <w:ind w:hanging="0"/>
        <w:rPr>
          <w:rFonts w:cs="" w:cstheme="minorBidi"/>
          <w:kern w:val="2"/>
          <w:sz w:val="21"/>
          <w:szCs w:val="22"/>
          <w:lang w:val="en-US" w:eastAsia="zh-CN" w:bidi="ar-SA"/>
        </w:rPr>
      </w:pPr>
      <w:r>
        <w:rPr>
          <w:rFonts w:eastAsia="宋体" w:ascii="宋体" w:hAnsi="宋体"/>
          <w:color w:val="C9211E"/>
        </w:rPr>
      </w:r>
    </w:p>
    <w:p>
      <w:pPr>
        <w:pStyle w:val="Normal"/>
        <w:spacing w:lineRule="exact" w:line="400"/>
        <w:ind w:hanging="0"/>
        <w:rPr>
          <w:rFonts w:ascii="宋体" w:hAnsi="宋体" w:eastAsia="宋体"/>
          <w:color w:val="C9211E"/>
        </w:rPr>
      </w:pPr>
      <w:r>
        <w:rPr>
          <w:rFonts w:ascii="宋体" w:hAnsi="宋体" w:cs="" w:eastAsia="宋体" w:cstheme="minorBidi"/>
          <w:color w:val="C9211E"/>
          <w:kern w:val="2"/>
          <w:sz w:val="21"/>
          <w:szCs w:val="22"/>
          <w:lang w:val="en-US" w:eastAsia="zh-CN" w:bidi="ar-SA"/>
        </w:rPr>
        <w:t>第二问</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bookmarkStart w:id="2" w:name="__DdeLink__826_3759680836"/>
      <w:r>
        <w:rPr>
          <w:rFonts w:ascii="宋体" w:hAnsi="宋体" w:cs="" w:eastAsia="宋体" w:cstheme="minorBidi"/>
          <w:color w:val="C9211E"/>
          <w:kern w:val="2"/>
          <w:sz w:val="21"/>
          <w:szCs w:val="22"/>
          <w:lang w:val="en-US" w:eastAsia="zh-CN" w:bidi="ar-SA"/>
        </w:rPr>
        <w:t>人口</w:t>
      </w:r>
      <w:r>
        <w:rPr>
          <w:rFonts w:eastAsia="宋体" w:cs="" w:ascii="宋体" w:hAnsi="宋体" w:cstheme="minorBidi"/>
          <w:color w:val="C9211E"/>
          <w:kern w:val="2"/>
          <w:sz w:val="21"/>
          <w:szCs w:val="22"/>
          <w:lang w:val="en-US" w:eastAsia="zh-CN" w:bidi="ar-SA"/>
        </w:rPr>
        <w:t xml:space="preserve">, </w:t>
      </w:r>
      <w:r>
        <w:rPr>
          <w:rFonts w:ascii="宋体" w:hAnsi="宋体" w:cs="" w:eastAsia="宋体" w:cstheme="minorBidi"/>
          <w:color w:val="C9211E"/>
          <w:kern w:val="2"/>
          <w:sz w:val="21"/>
          <w:szCs w:val="22"/>
          <w:lang w:val="en-US" w:eastAsia="zh-CN" w:bidi="ar-SA"/>
        </w:rPr>
        <w:t>各部门</w:t>
      </w:r>
      <w:r>
        <w:rPr>
          <w:rFonts w:eastAsia="宋体" w:cs="" w:ascii="宋体" w:hAnsi="宋体" w:cstheme="minorBidi"/>
          <w:color w:val="C9211E"/>
          <w:kern w:val="2"/>
          <w:sz w:val="21"/>
          <w:szCs w:val="22"/>
          <w:lang w:val="en-US" w:eastAsia="zh-CN" w:bidi="ar-SA"/>
        </w:rPr>
        <w:t xml:space="preserve">GDP </w:t>
      </w:r>
      <w:r>
        <w:rPr>
          <w:rFonts w:ascii="宋体" w:hAnsi="宋体" w:cs="" w:eastAsia="宋体" w:cstheme="minorBidi"/>
          <w:color w:val="C9211E"/>
          <w:kern w:val="2"/>
          <w:sz w:val="21"/>
          <w:szCs w:val="22"/>
          <w:lang w:val="en-US" w:eastAsia="zh-CN" w:bidi="ar-SA"/>
        </w:rPr>
        <w:t>用专有模型预测</w:t>
      </w:r>
      <w:r>
        <w:rPr>
          <w:rFonts w:eastAsia="宋体" w:cs="" w:ascii="宋体" w:hAnsi="宋体" w:cstheme="minorBidi"/>
          <w:color w:val="C9211E"/>
          <w:kern w:val="2"/>
          <w:sz w:val="21"/>
          <w:szCs w:val="22"/>
          <w:lang w:val="en-US" w:eastAsia="zh-CN" w:bidi="ar-SA"/>
        </w:rPr>
        <w:tab/>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r>
        <w:rPr>
          <w:rFonts w:ascii="宋体" w:hAnsi="宋体" w:cs="" w:eastAsia="宋体" w:cstheme="minorBidi"/>
          <w:color w:val="C9211E"/>
          <w:kern w:val="2"/>
          <w:sz w:val="21"/>
          <w:szCs w:val="22"/>
          <w:lang w:val="en-US" w:eastAsia="zh-CN" w:bidi="ar-SA"/>
        </w:rPr>
        <w:t>各部门</w:t>
      </w:r>
      <w:r>
        <w:rPr>
          <w:rFonts w:eastAsia="宋体" w:cs="" w:ascii="宋体" w:hAnsi="宋体" w:cstheme="minorBidi"/>
          <w:color w:val="C9211E"/>
          <w:kern w:val="2"/>
          <w:sz w:val="21"/>
          <w:szCs w:val="22"/>
          <w:lang w:val="en-US" w:eastAsia="zh-CN" w:bidi="ar-SA"/>
        </w:rPr>
        <w:t xml:space="preserve">GDP, </w:t>
      </w:r>
      <w:r>
        <w:rPr>
          <w:rFonts w:ascii="宋体" w:hAnsi="宋体" w:cs="" w:eastAsia="宋体" w:cstheme="minorBidi"/>
          <w:color w:val="C9211E"/>
          <w:kern w:val="2"/>
          <w:sz w:val="21"/>
          <w:szCs w:val="22"/>
          <w:lang w:val="en-US" w:eastAsia="zh-CN" w:bidi="ar-SA"/>
        </w:rPr>
        <w:t>人口，各部门能源强度</w:t>
      </w:r>
      <w:r>
        <w:rPr>
          <w:rFonts w:eastAsia="宋体" w:cs="" w:ascii="宋体" w:hAnsi="宋体" w:cstheme="minorBidi"/>
          <w:color w:val="C9211E"/>
          <w:kern w:val="2"/>
          <w:sz w:val="21"/>
          <w:szCs w:val="22"/>
          <w:lang w:val="en-US" w:eastAsia="zh-CN" w:bidi="ar-SA"/>
        </w:rPr>
        <w:t>(</w:t>
      </w:r>
      <w:r>
        <w:rPr>
          <w:rFonts w:ascii="宋体" w:hAnsi="宋体" w:cs="" w:eastAsia="宋体" w:cstheme="minorBidi"/>
          <w:color w:val="C9211E"/>
          <w:kern w:val="2"/>
          <w:sz w:val="21"/>
          <w:szCs w:val="22"/>
          <w:lang w:val="en-US" w:eastAsia="zh-CN" w:bidi="ar-SA"/>
        </w:rPr>
        <w:t>能耗</w:t>
      </w:r>
      <w:r>
        <w:rPr>
          <w:rFonts w:eastAsia="宋体" w:cs="" w:ascii="宋体" w:hAnsi="宋体" w:cstheme="minorBidi"/>
          <w:color w:val="C9211E"/>
          <w:kern w:val="2"/>
          <w:sz w:val="21"/>
          <w:szCs w:val="22"/>
          <w:lang w:val="en-US" w:eastAsia="zh-CN" w:bidi="ar-SA"/>
        </w:rPr>
        <w:t xml:space="preserve">/GDP) → </w:t>
      </w:r>
      <w:r>
        <w:rPr>
          <w:rFonts w:ascii="宋体" w:hAnsi="宋体" w:cs="" w:eastAsia="宋体" w:cstheme="minorBidi"/>
          <w:color w:val="C9211E"/>
          <w:kern w:val="2"/>
          <w:sz w:val="21"/>
          <w:szCs w:val="22"/>
          <w:lang w:val="en-US" w:eastAsia="zh-CN" w:bidi="ar-SA"/>
        </w:rPr>
        <w:t xml:space="preserve">各部门能源消费   </w:t>
      </w:r>
      <w:r>
        <w:rPr>
          <w:rFonts w:eastAsia="宋体" w:cs="" w:ascii="宋体" w:hAnsi="宋体" w:cstheme="minorBidi"/>
          <w:color w:val="C9211E"/>
          <w:kern w:val="2"/>
          <w:sz w:val="21"/>
          <w:szCs w:val="22"/>
          <w:lang w:val="en-US" w:eastAsia="zh-CN" w:bidi="ar-SA"/>
        </w:rPr>
        <w:t xml:space="preserve">6 * </w:t>
      </w:r>
      <w:r>
        <w:rPr>
          <w:rFonts w:eastAsia="宋体" w:cs="" w:ascii="宋体" w:hAnsi="宋体" w:cstheme="minorBidi"/>
          <w:b/>
          <w:bCs/>
          <w:color w:val="C9211E"/>
          <w:kern w:val="2"/>
          <w:sz w:val="21"/>
          <w:szCs w:val="22"/>
          <w:lang w:val="en-US" w:eastAsia="zh-CN" w:bidi="ar-SA"/>
        </w:rPr>
        <w:t>xgboost</w:t>
      </w:r>
    </w:p>
    <w:p>
      <w:pPr>
        <w:pStyle w:val="Normal"/>
        <w:spacing w:lineRule="exact" w:line="400"/>
        <w:ind w:hanging="0"/>
        <w:rPr>
          <w:rFonts w:ascii="宋体" w:hAnsi="宋体" w:eastAsia="宋体"/>
          <w:color w:val="C9211E"/>
        </w:rPr>
      </w:pPr>
      <w:r>
        <w:rPr>
          <w:rFonts w:eastAsia="宋体" w:cs="" w:ascii="宋体" w:hAnsi="宋体" w:cstheme="minorBidi"/>
          <w:b w:val="false"/>
          <w:bCs w:val="false"/>
          <w:color w:val="C9211E"/>
          <w:kern w:val="2"/>
          <w:sz w:val="21"/>
          <w:szCs w:val="22"/>
          <w:lang w:val="en-US" w:eastAsia="zh-CN" w:bidi="ar-SA"/>
        </w:rPr>
        <w:tab/>
      </w:r>
      <w:r>
        <w:rPr>
          <w:rFonts w:ascii="宋体" w:hAnsi="宋体" w:cs="" w:eastAsia="宋体" w:cstheme="minorBidi"/>
          <w:b w:val="false"/>
          <w:bCs w:val="false"/>
          <w:color w:val="C9211E"/>
          <w:kern w:val="2"/>
          <w:sz w:val="21"/>
          <w:szCs w:val="22"/>
          <w:lang w:val="en-US" w:eastAsia="zh-CN" w:bidi="ar-SA"/>
        </w:rPr>
        <w:t>上述消费求和得到</w:t>
      </w:r>
      <w:r>
        <w:rPr>
          <w:rFonts w:ascii="宋体" w:hAnsi="宋体" w:cs="" w:eastAsia="宋体" w:cstheme="minorBidi"/>
          <w:b/>
          <w:bCs/>
          <w:color w:val="C9211E"/>
          <w:kern w:val="2"/>
          <w:sz w:val="21"/>
          <w:szCs w:val="22"/>
          <w:lang w:val="en-US" w:eastAsia="zh-CN" w:bidi="ar-SA"/>
        </w:rPr>
        <w:t>总能耗</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r>
        <w:rPr>
          <w:rFonts w:ascii="宋体" w:hAnsi="宋体" w:cs="" w:eastAsia="宋体" w:cstheme="minorBidi"/>
          <w:color w:val="C9211E"/>
          <w:kern w:val="2"/>
          <w:sz w:val="21"/>
          <w:szCs w:val="22"/>
          <w:lang w:val="en-US" w:eastAsia="zh-CN" w:bidi="ar-SA"/>
        </w:rPr>
        <w:t xml:space="preserve">各部门化石能源占比，总非化石能源电热占比 → 各部门碳排放因子  </w:t>
      </w:r>
      <w:r>
        <w:rPr>
          <w:rFonts w:eastAsia="宋体" w:cs="" w:ascii="宋体" w:hAnsi="宋体" w:cstheme="minorBidi"/>
          <w:color w:val="C9211E"/>
          <w:kern w:val="2"/>
          <w:sz w:val="21"/>
          <w:szCs w:val="22"/>
          <w:lang w:val="en-US" w:eastAsia="zh-CN" w:bidi="ar-SA"/>
        </w:rPr>
        <w:t xml:space="preserve">6 * </w:t>
      </w:r>
      <w:r>
        <w:rPr>
          <w:rFonts w:eastAsia="宋体" w:cs="" w:ascii="宋体" w:hAnsi="宋体" w:cstheme="minorBidi"/>
          <w:b/>
          <w:bCs/>
          <w:color w:val="C9211E"/>
          <w:kern w:val="2"/>
          <w:sz w:val="21"/>
          <w:szCs w:val="22"/>
          <w:lang w:val="en-US" w:eastAsia="zh-CN" w:bidi="ar-SA"/>
        </w:rPr>
        <w:t>xgboost</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r>
        <w:rPr>
          <w:rFonts w:ascii="宋体" w:hAnsi="宋体" w:cs="" w:eastAsia="宋体" w:cstheme="minorBidi"/>
          <w:color w:val="C9211E"/>
          <w:kern w:val="2"/>
          <w:sz w:val="21"/>
          <w:szCs w:val="22"/>
          <w:lang w:val="en-US" w:eastAsia="zh-CN" w:bidi="ar-SA"/>
        </w:rPr>
        <w:t>各部门碳排放因子与能耗相乘求和，得到</w:t>
      </w:r>
      <w:r>
        <w:rPr>
          <w:rFonts w:ascii="宋体" w:hAnsi="宋体" w:cs="" w:eastAsia="宋体" w:cstheme="minorBidi"/>
          <w:b/>
          <w:bCs/>
          <w:color w:val="C9211E"/>
          <w:kern w:val="2"/>
          <w:sz w:val="21"/>
          <w:szCs w:val="22"/>
          <w:lang w:val="en-US" w:eastAsia="zh-CN" w:bidi="ar-SA"/>
        </w:rPr>
        <w:t>总碳排放</w:t>
      </w:r>
      <w:bookmarkEnd w:id="2"/>
    </w:p>
    <w:p>
      <w:pPr>
        <w:pStyle w:val="Normal"/>
        <w:spacing w:lineRule="exact" w:line="400"/>
        <w:ind w:hanging="0"/>
        <w:rPr>
          <w:rFonts w:ascii="宋体" w:hAnsi="宋体" w:eastAsia="宋体"/>
          <w:color w:val="C9211E"/>
        </w:rPr>
      </w:pPr>
      <w:r>
        <w:rPr>
          <w:rFonts w:ascii="宋体" w:hAnsi="宋体" w:cs="" w:eastAsia="宋体" w:cstheme="minorBidi"/>
          <w:color w:val="C9211E"/>
          <w:kern w:val="2"/>
          <w:sz w:val="21"/>
          <w:szCs w:val="22"/>
          <w:lang w:val="en-US" w:eastAsia="zh-CN" w:bidi="ar-SA"/>
        </w:rPr>
        <w:t>考虑到二次能源碳排放与能源生产方式关系较大，还要考虑二次能源生产中非化石能源占比。</w:t>
      </w:r>
    </w:p>
    <w:p>
      <w:pPr>
        <w:pStyle w:val="Normal"/>
        <w:spacing w:lineRule="exact" w:line="400"/>
        <w:ind w:hanging="0"/>
        <w:rPr>
          <w:rFonts w:cs="" w:cstheme="minorBidi"/>
          <w:kern w:val="2"/>
          <w:sz w:val="21"/>
          <w:szCs w:val="22"/>
          <w:lang w:val="en-US" w:eastAsia="zh-CN" w:bidi="ar-SA"/>
        </w:rPr>
      </w:pPr>
      <w:r>
        <w:rPr>
          <w:rFonts w:eastAsia="宋体" w:ascii="宋体" w:hAnsi="宋体"/>
          <w:color w:val="C9211E"/>
        </w:rPr>
      </w:r>
    </w:p>
    <w:p>
      <w:pPr>
        <w:pStyle w:val="Normal"/>
        <w:spacing w:lineRule="exact" w:line="400"/>
        <w:ind w:hanging="0"/>
        <w:rPr>
          <w:rFonts w:ascii="宋体" w:hAnsi="宋体" w:eastAsia="宋体"/>
          <w:color w:val="C9211E"/>
        </w:rPr>
      </w:pPr>
      <w:r>
        <w:rPr>
          <w:rFonts w:ascii="宋体" w:hAnsi="宋体" w:cs="" w:eastAsia="宋体" w:cstheme="minorBidi"/>
          <w:color w:val="C9211E"/>
          <w:kern w:val="2"/>
          <w:sz w:val="21"/>
          <w:szCs w:val="22"/>
          <w:lang w:val="en-US" w:eastAsia="zh-CN" w:bidi="ar-SA"/>
        </w:rPr>
        <w:t>模型验证</w:t>
      </w:r>
    </w:p>
    <w:p>
      <w:pPr>
        <w:pStyle w:val="Normal"/>
        <w:spacing w:lineRule="exact" w:line="400"/>
        <w:ind w:hanging="0"/>
        <w:rPr>
          <w:rFonts w:cs="" w:cstheme="minorBidi"/>
          <w:kern w:val="2"/>
          <w:sz w:val="21"/>
          <w:szCs w:val="22"/>
          <w:lang w:val="en-US" w:eastAsia="zh-CN" w:bidi="ar-SA"/>
        </w:rPr>
      </w:pPr>
      <w:r>
        <w:rPr>
          <w:rFonts w:eastAsia="宋体" w:ascii="宋体" w:hAnsi="宋体"/>
          <w:color w:val="C9211E"/>
        </w:rPr>
      </w:r>
    </w:p>
    <w:p>
      <w:pPr>
        <w:pStyle w:val="Normal"/>
        <w:spacing w:lineRule="exact" w:line="400" w:before="156" w:after="156"/>
        <w:rPr>
          <w:rFonts w:ascii="宋体" w:hAnsi="宋体" w:eastAsia="宋体"/>
          <w:b/>
          <w:b/>
          <w:bCs/>
          <w:sz w:val="24"/>
          <w:szCs w:val="24"/>
        </w:rPr>
      </w:pPr>
      <w:r>
        <w:rPr>
          <w:rFonts w:ascii="宋体" w:hAnsi="宋体" w:eastAsia="宋体"/>
          <w:b/>
          <w:bCs/>
          <w:color w:val="000000" w:themeColor="text1"/>
          <w:kern w:val="2"/>
          <w:sz w:val="24"/>
          <w:szCs w:val="24"/>
          <w14:textFill>
            <w14:solidFill>
              <w14:schemeClr w14:val="tx1"/>
            </w14:solidFill>
          </w14:textFill>
        </w:rPr>
        <w:t>问题三：</w:t>
      </w:r>
      <w:r>
        <w:rPr>
          <w:rFonts w:ascii="宋体" w:hAnsi="宋体" w:eastAsia="宋体"/>
          <w:b/>
          <w:bCs/>
          <w:sz w:val="24"/>
          <w:szCs w:val="24"/>
        </w:rPr>
        <w:t>区域双碳（碳达峰与碳中和）目标与路径规划方法</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）情景设计（不少于三种情景，如无人为干预的自然情景、按时碳达峰与碳</w:t>
      </w:r>
    </w:p>
    <w:p>
      <w:pPr>
        <w:pStyle w:val="Normal"/>
        <w:spacing w:lineRule="exact" w:line="400"/>
        <w:rPr>
          <w:rFonts w:ascii="宋体" w:hAnsi="宋体" w:eastAsia="宋体"/>
          <w:kern w:val="2"/>
          <w:sz w:val="24"/>
          <w:szCs w:val="24"/>
        </w:rPr>
      </w:pPr>
      <w:r>
        <w:rPr>
          <w:rFonts w:ascii="宋体" w:hAnsi="宋体" w:eastAsia="宋体"/>
          <w:kern w:val="2"/>
          <w:sz w:val="24"/>
          <w:szCs w:val="24"/>
        </w:rPr>
        <w:t>中和的基准情景、率先碳达峰与碳中和的雄心情景等）。</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：与碳达峰和碳中和的时间节点相关联；</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：与能效提升和非化石能源消费比重提升相关联。</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）多情景下碳排放量核算方法</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基本假设：</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假设</w:t>
      </w:r>
      <w:r>
        <w:rPr>
          <w:rFonts w:eastAsia="宋体" w:ascii="宋体" w:hAnsi="宋体"/>
          <w:kern w:val="2"/>
          <w:sz w:val="24"/>
          <w:szCs w:val="24"/>
        </w:rPr>
        <w:t>1</w:t>
      </w:r>
      <w:r>
        <w:rPr>
          <w:rFonts w:ascii="宋体" w:hAnsi="宋体" w:eastAsia="宋体"/>
          <w:kern w:val="2"/>
          <w:sz w:val="24"/>
          <w:szCs w:val="24"/>
        </w:rPr>
        <w:t>、</w:t>
      </w:r>
      <w:r>
        <w:rPr>
          <w:rFonts w:eastAsia="宋体" w:ascii="宋体" w:hAnsi="宋体"/>
          <w:kern w:val="2"/>
          <w:sz w:val="24"/>
          <w:szCs w:val="24"/>
        </w:rPr>
        <w:t>2035</w:t>
      </w:r>
      <w:r>
        <w:rPr>
          <w:rFonts w:ascii="宋体" w:hAnsi="宋体" w:eastAsia="宋体"/>
          <w:kern w:val="2"/>
          <w:sz w:val="24"/>
          <w:szCs w:val="24"/>
        </w:rPr>
        <w:t>年的</w:t>
      </w:r>
      <w:r>
        <w:rPr>
          <w:rFonts w:eastAsia="宋体" w:ascii="宋体" w:hAnsi="宋体"/>
          <w:kern w:val="2"/>
          <w:sz w:val="24"/>
          <w:szCs w:val="24"/>
        </w:rPr>
        <w:t>GDP</w:t>
      </w:r>
      <w:r>
        <w:rPr>
          <w:rFonts w:ascii="宋体" w:hAnsi="宋体" w:eastAsia="宋体"/>
          <w:kern w:val="2"/>
          <w:sz w:val="24"/>
          <w:szCs w:val="24"/>
        </w:rPr>
        <w:t>比基期（</w:t>
      </w:r>
      <w:r>
        <w:rPr>
          <w:rFonts w:eastAsia="宋体" w:ascii="宋体" w:hAnsi="宋体"/>
          <w:kern w:val="2"/>
          <w:sz w:val="24"/>
          <w:szCs w:val="24"/>
        </w:rPr>
        <w:t>2020</w:t>
      </w:r>
      <w:r>
        <w:rPr>
          <w:rFonts w:ascii="宋体" w:hAnsi="宋体" w:eastAsia="宋体"/>
          <w:kern w:val="2"/>
          <w:sz w:val="24"/>
          <w:szCs w:val="24"/>
        </w:rPr>
        <w:t>年）翻一番；</w:t>
      </w:r>
      <w:r>
        <w:rPr>
          <w:rFonts w:eastAsia="宋体" w:ascii="宋体" w:hAnsi="宋体"/>
          <w:kern w:val="2"/>
          <w:sz w:val="24"/>
          <w:szCs w:val="24"/>
        </w:rPr>
        <w:t>2060</w:t>
      </w:r>
      <w:r>
        <w:rPr>
          <w:rFonts w:ascii="宋体" w:hAnsi="宋体" w:eastAsia="宋体"/>
          <w:kern w:val="2"/>
          <w:sz w:val="24"/>
          <w:szCs w:val="24"/>
        </w:rPr>
        <w:t>年比基期翻两番；</w:t>
      </w:r>
    </w:p>
    <w:p>
      <w:pPr>
        <w:pStyle w:val="Normal"/>
        <w:spacing w:lineRule="exact" w:line="400"/>
        <w:ind w:hanging="0"/>
        <w:rPr/>
      </w:pPr>
      <w:r>
        <w:rPr>
          <w:rFonts w:ascii="等线" w:hAnsi="等线" w:cs="" w:asciiTheme="minorHAnsi" w:cstheme="minorBidi" w:hAnsiTheme="minorHAnsi"/>
          <w:kern w:val="2"/>
          <w:sz w:val="21"/>
          <w:szCs w:val="22"/>
          <w:lang w:val="en-US" w:eastAsia="zh-CN" w:bidi="ar-SA"/>
        </w:rPr>
        <w:t>只要</w:t>
      </w:r>
      <w:r>
        <w:rPr>
          <w:rFonts w:eastAsia="等线" w:cs="" w:cstheme="minorBidi" w:eastAsiaTheme="minorEastAsia"/>
          <w:kern w:val="2"/>
          <w:sz w:val="21"/>
          <w:szCs w:val="22"/>
          <w:lang w:val="en-US" w:eastAsia="zh-CN" w:bidi="ar-SA"/>
        </w:rPr>
        <w:t>GDP</w:t>
      </w:r>
      <w:r>
        <w:rPr>
          <w:rFonts w:ascii="等线" w:hAnsi="等线" w:cs="" w:asciiTheme="minorHAnsi" w:cstheme="minorBidi" w:hAnsiTheme="minorHAnsi"/>
          <w:kern w:val="2"/>
          <w:sz w:val="21"/>
          <w:szCs w:val="22"/>
          <w:lang w:val="en-US" w:eastAsia="zh-CN" w:bidi="ar-SA"/>
        </w:rPr>
        <w:t>预测模型和这个贴合就好</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假设</w:t>
      </w:r>
      <w:r>
        <w:rPr>
          <w:rFonts w:eastAsia="宋体" w:ascii="宋体" w:hAnsi="宋体"/>
          <w:kern w:val="2"/>
          <w:sz w:val="24"/>
          <w:szCs w:val="24"/>
        </w:rPr>
        <w:t>2</w:t>
      </w:r>
      <w:r>
        <w:rPr>
          <w:rFonts w:ascii="宋体" w:hAnsi="宋体" w:eastAsia="宋体"/>
          <w:kern w:val="2"/>
          <w:sz w:val="24"/>
          <w:szCs w:val="24"/>
        </w:rPr>
        <w:t>、</w:t>
      </w:r>
      <w:r>
        <w:rPr>
          <w:rFonts w:eastAsia="宋体" w:ascii="宋体" w:hAnsi="宋体"/>
          <w:kern w:val="2"/>
          <w:sz w:val="24"/>
          <w:szCs w:val="24"/>
        </w:rPr>
        <w:t>2060</w:t>
      </w:r>
      <w:r>
        <w:rPr>
          <w:rFonts w:ascii="宋体" w:hAnsi="宋体" w:eastAsia="宋体"/>
          <w:kern w:val="2"/>
          <w:sz w:val="24"/>
          <w:szCs w:val="24"/>
        </w:rPr>
        <w:t>年生态碳汇的碳消纳量为基期碳排放量的</w:t>
      </w:r>
      <w:r>
        <w:rPr>
          <w:rFonts w:eastAsia="宋体" w:ascii="宋体" w:hAnsi="宋体"/>
          <w:kern w:val="2"/>
          <w:sz w:val="24"/>
          <w:szCs w:val="24"/>
        </w:rPr>
        <w:t>10%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假设</w:t>
      </w:r>
      <w:r>
        <w:rPr>
          <w:rFonts w:eastAsia="宋体" w:ascii="宋体" w:hAnsi="宋体"/>
          <w:kern w:val="2"/>
          <w:sz w:val="24"/>
          <w:szCs w:val="24"/>
        </w:rPr>
        <w:t>3</w:t>
      </w:r>
      <w:r>
        <w:rPr>
          <w:rFonts w:ascii="宋体" w:hAnsi="宋体" w:eastAsia="宋体"/>
          <w:kern w:val="2"/>
          <w:sz w:val="24"/>
          <w:szCs w:val="24"/>
        </w:rPr>
        <w:t>、</w:t>
      </w:r>
      <w:r>
        <w:rPr>
          <w:rFonts w:eastAsia="宋体" w:ascii="宋体" w:hAnsi="宋体"/>
          <w:kern w:val="2"/>
          <w:sz w:val="24"/>
          <w:szCs w:val="24"/>
        </w:rPr>
        <w:t>2060</w:t>
      </w:r>
      <w:r>
        <w:rPr>
          <w:rFonts w:ascii="宋体" w:hAnsi="宋体" w:eastAsia="宋体"/>
          <w:kern w:val="2"/>
          <w:sz w:val="24"/>
          <w:szCs w:val="24"/>
        </w:rPr>
        <w:t>年工程碳汇或碳交易的碳消纳量为基期碳排放量</w:t>
      </w:r>
      <w:r>
        <w:rPr>
          <w:rFonts w:eastAsia="宋体" w:ascii="宋体" w:hAnsi="宋体"/>
          <w:kern w:val="2"/>
          <w:sz w:val="24"/>
          <w:szCs w:val="24"/>
        </w:rPr>
        <w:t>10%</w:t>
      </w:r>
      <w:r>
        <w:rPr>
          <w:rFonts w:ascii="宋体" w:hAnsi="宋体" w:eastAsia="宋体"/>
          <w:kern w:val="2"/>
          <w:sz w:val="24"/>
          <w:szCs w:val="24"/>
        </w:rPr>
        <w:t>。</w:t>
      </w:r>
    </w:p>
    <w:p>
      <w:pPr>
        <w:pStyle w:val="Normal"/>
        <w:spacing w:lineRule="exact" w:line="400"/>
        <w:ind w:hanging="0"/>
        <w:rPr/>
      </w:pPr>
      <w:r>
        <w:rPr>
          <w:rFonts w:ascii="等线" w:hAnsi="等线" w:cs="" w:asciiTheme="minorHAnsi" w:cstheme="minorBidi" w:hAnsiTheme="minorHAnsi"/>
          <w:kern w:val="2"/>
          <w:sz w:val="21"/>
          <w:szCs w:val="22"/>
          <w:lang w:val="en-US" w:eastAsia="zh-CN" w:bidi="ar-SA"/>
        </w:rPr>
        <w:t>也就是说</w:t>
      </w:r>
      <w:r>
        <w:rPr>
          <w:rFonts w:ascii="等线" w:hAnsi="等线" w:cs="" w:asciiTheme="minorHAnsi" w:cstheme="minorBidi" w:hAnsiTheme="minorHAnsi"/>
          <w:kern w:val="2"/>
          <w:sz w:val="21"/>
          <w:szCs w:val="22"/>
          <w:lang w:val="en-US" w:eastAsia="zh-CN" w:bidi="ar-SA"/>
        </w:rPr>
        <w:t>，</w:t>
      </w:r>
      <w:r>
        <w:rPr>
          <w:rFonts w:eastAsia="等线" w:cs="" w:cstheme="minorBidi" w:eastAsiaTheme="minorEastAsia"/>
          <w:kern w:val="2"/>
          <w:sz w:val="21"/>
          <w:szCs w:val="22"/>
          <w:lang w:val="en-US" w:eastAsia="zh-CN" w:bidi="ar-SA"/>
        </w:rPr>
        <w:t>2060</w:t>
      </w:r>
      <w:r>
        <w:rPr>
          <w:rFonts w:ascii="等线" w:hAnsi="等线" w:cs="" w:asciiTheme="minorHAnsi" w:cstheme="minorBidi" w:hAnsiTheme="minorHAnsi"/>
          <w:kern w:val="2"/>
          <w:sz w:val="21"/>
          <w:szCs w:val="22"/>
          <w:lang w:val="en-US" w:eastAsia="zh-CN" w:bidi="ar-SA"/>
        </w:rPr>
        <w:t>年碳排放量为基期的</w:t>
      </w:r>
      <w:r>
        <w:rPr>
          <w:rFonts w:eastAsia="等线" w:cs="" w:cstheme="minorBidi" w:eastAsiaTheme="minorEastAsia"/>
          <w:kern w:val="2"/>
          <w:sz w:val="21"/>
          <w:szCs w:val="22"/>
          <w:lang w:val="en-US" w:eastAsia="zh-CN" w:bidi="ar-SA"/>
        </w:rPr>
        <w:t>20%</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：区域碳排放与多情景假设相一致；</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：区域碳排放与各部门碳排放量的总和相一致；</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：碳排放量核算模型与问题二中预测模型相一致（即在多情景条件约束下，区域与各部门能源消费量、能源消费品种及其碳排放量预测方法相一致）。</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3</w:t>
      </w:r>
      <w:r>
        <w:rPr>
          <w:rFonts w:ascii="宋体" w:hAnsi="宋体" w:eastAsia="宋体"/>
          <w:kern w:val="2"/>
          <w:sz w:val="24"/>
          <w:szCs w:val="24"/>
        </w:rPr>
        <w:t>）确定双碳（碳达峰与碳中和）目标与路径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：确定</w:t>
      </w:r>
      <w:r>
        <w:rPr>
          <w:rFonts w:eastAsia="宋体" w:ascii="宋体" w:hAnsi="宋体"/>
          <w:kern w:val="2"/>
          <w:sz w:val="24"/>
          <w:szCs w:val="24"/>
        </w:rPr>
        <w:t>GDP</w:t>
      </w:r>
      <w:r>
        <w:rPr>
          <w:rFonts w:ascii="宋体" w:hAnsi="宋体" w:eastAsia="宋体"/>
          <w:kern w:val="2"/>
          <w:sz w:val="24"/>
          <w:szCs w:val="24"/>
        </w:rPr>
        <w:t>、人口和能源消费量的目标值（</w:t>
      </w:r>
      <w:r>
        <w:rPr>
          <w:rFonts w:eastAsia="宋体" w:ascii="宋体" w:hAnsi="宋体"/>
          <w:kern w:val="2"/>
          <w:sz w:val="24"/>
          <w:szCs w:val="24"/>
        </w:rPr>
        <w:t>2025</w:t>
      </w:r>
      <w:r>
        <w:rPr>
          <w:rFonts w:ascii="宋体" w:hAnsi="宋体" w:eastAsia="宋体"/>
          <w:kern w:val="2"/>
          <w:sz w:val="24"/>
          <w:szCs w:val="24"/>
        </w:rPr>
        <w:t>年、</w:t>
      </w:r>
      <w:r>
        <w:rPr>
          <w:rFonts w:eastAsia="宋体" w:ascii="宋体" w:hAnsi="宋体"/>
          <w:kern w:val="2"/>
          <w:sz w:val="24"/>
          <w:szCs w:val="24"/>
        </w:rPr>
        <w:t>2030</w:t>
      </w:r>
      <w:r>
        <w:rPr>
          <w:rFonts w:ascii="宋体" w:hAnsi="宋体" w:eastAsia="宋体"/>
          <w:kern w:val="2"/>
          <w:sz w:val="24"/>
          <w:szCs w:val="24"/>
        </w:rPr>
        <w:t>年、</w:t>
      </w:r>
      <w:r>
        <w:rPr>
          <w:rFonts w:eastAsia="宋体" w:ascii="宋体" w:hAnsi="宋体"/>
          <w:kern w:val="2"/>
          <w:sz w:val="24"/>
          <w:szCs w:val="24"/>
        </w:rPr>
        <w:t>2035</w:t>
      </w:r>
      <w:r>
        <w:rPr>
          <w:rFonts w:ascii="宋体" w:hAnsi="宋体" w:eastAsia="宋体"/>
          <w:kern w:val="2"/>
          <w:sz w:val="24"/>
          <w:szCs w:val="24"/>
        </w:rPr>
        <w:t>年、</w:t>
      </w:r>
      <w:r>
        <w:rPr>
          <w:rFonts w:eastAsia="宋体" w:ascii="宋体" w:hAnsi="宋体"/>
          <w:kern w:val="2"/>
          <w:sz w:val="24"/>
          <w:szCs w:val="24"/>
        </w:rPr>
        <w:t>2050</w:t>
      </w:r>
      <w:r>
        <w:rPr>
          <w:rFonts w:ascii="宋体" w:hAnsi="宋体" w:eastAsia="宋体"/>
          <w:kern w:val="2"/>
          <w:sz w:val="24"/>
          <w:szCs w:val="24"/>
        </w:rPr>
        <w:t>年和</w:t>
      </w:r>
      <w:r>
        <w:rPr>
          <w:rFonts w:eastAsia="宋体" w:ascii="宋体" w:hAnsi="宋体"/>
          <w:kern w:val="2"/>
          <w:sz w:val="24"/>
          <w:szCs w:val="24"/>
        </w:rPr>
        <w:t>2060</w:t>
      </w:r>
      <w:r>
        <w:rPr>
          <w:rFonts w:ascii="宋体" w:hAnsi="宋体" w:eastAsia="宋体"/>
          <w:kern w:val="2"/>
          <w:sz w:val="24"/>
          <w:szCs w:val="24"/>
        </w:rPr>
        <w:t>年）；</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预测就行</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：确定提高能源利用效率和提高非化石能源消费比重的目标值（</w:t>
      </w:r>
      <w:r>
        <w:rPr>
          <w:rFonts w:eastAsia="宋体" w:ascii="宋体" w:hAnsi="宋体"/>
          <w:kern w:val="2"/>
          <w:sz w:val="24"/>
          <w:szCs w:val="24"/>
        </w:rPr>
        <w:t>2025</w:t>
      </w:r>
      <w:r>
        <w:rPr>
          <w:rFonts w:ascii="宋体" w:hAnsi="宋体" w:eastAsia="宋体"/>
          <w:kern w:val="2"/>
          <w:sz w:val="24"/>
          <w:szCs w:val="24"/>
        </w:rPr>
        <w:t>年、</w:t>
      </w:r>
      <w:r>
        <w:rPr>
          <w:rFonts w:eastAsia="宋体" w:ascii="宋体" w:hAnsi="宋体"/>
          <w:kern w:val="2"/>
          <w:sz w:val="24"/>
          <w:szCs w:val="24"/>
        </w:rPr>
        <w:t>2030</w:t>
      </w:r>
      <w:r>
        <w:rPr>
          <w:rFonts w:ascii="宋体" w:hAnsi="宋体" w:eastAsia="宋体"/>
          <w:kern w:val="2"/>
          <w:sz w:val="24"/>
          <w:szCs w:val="24"/>
        </w:rPr>
        <w:t>年、</w:t>
      </w:r>
      <w:r>
        <w:rPr>
          <w:rFonts w:eastAsia="宋体" w:ascii="宋体" w:hAnsi="宋体"/>
          <w:kern w:val="2"/>
          <w:sz w:val="24"/>
          <w:szCs w:val="24"/>
        </w:rPr>
        <w:t>2035</w:t>
      </w:r>
      <w:r>
        <w:rPr>
          <w:rFonts w:ascii="宋体" w:hAnsi="宋体" w:eastAsia="宋体"/>
          <w:kern w:val="2"/>
          <w:sz w:val="24"/>
          <w:szCs w:val="24"/>
        </w:rPr>
        <w:t>年、</w:t>
      </w:r>
      <w:r>
        <w:rPr>
          <w:rFonts w:eastAsia="宋体" w:ascii="宋体" w:hAnsi="宋体"/>
          <w:kern w:val="2"/>
          <w:sz w:val="24"/>
          <w:szCs w:val="24"/>
        </w:rPr>
        <w:t>2050</w:t>
      </w:r>
      <w:r>
        <w:rPr>
          <w:rFonts w:ascii="宋体" w:hAnsi="宋体" w:eastAsia="宋体"/>
          <w:kern w:val="2"/>
          <w:sz w:val="24"/>
          <w:szCs w:val="24"/>
        </w:rPr>
        <w:t>年和</w:t>
      </w:r>
      <w:r>
        <w:rPr>
          <w:rFonts w:eastAsia="宋体" w:ascii="宋体" w:hAnsi="宋体"/>
          <w:kern w:val="2"/>
          <w:sz w:val="24"/>
          <w:szCs w:val="24"/>
        </w:rPr>
        <w:t>2060</w:t>
      </w:r>
      <w:r>
        <w:rPr>
          <w:rFonts w:ascii="宋体" w:hAnsi="宋体" w:eastAsia="宋体"/>
          <w:kern w:val="2"/>
          <w:sz w:val="24"/>
          <w:szCs w:val="24"/>
        </w:rPr>
        <w:t>年）；</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能效和非化石比重在预测模型中为自变量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：完成能效提升、产业（产品）升级、能源脱碳和能源消费电气化的定性与定量分析。</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能效模型中有考虑</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各个部门的</w:t>
      </w:r>
      <w:r>
        <w:rPr>
          <w:rFonts w:eastAsia="宋体" w:cs="" w:ascii="宋体" w:hAnsi="宋体" w:cstheme="minorBidi"/>
          <w:color w:val="C9211E"/>
          <w:kern w:val="2"/>
          <w:sz w:val="24"/>
          <w:szCs w:val="24"/>
          <w:lang w:val="en-US" w:eastAsia="zh-CN" w:bidi="ar-SA"/>
        </w:rPr>
        <w:t>GDP</w:t>
      </w:r>
      <w:r>
        <w:rPr>
          <w:rFonts w:ascii="宋体" w:hAnsi="宋体" w:cs="" w:eastAsia="宋体" w:cstheme="minorBidi"/>
          <w:color w:val="C9211E"/>
          <w:kern w:val="2"/>
          <w:sz w:val="24"/>
          <w:szCs w:val="24"/>
          <w:lang w:val="en-US" w:eastAsia="zh-CN" w:bidi="ar-SA"/>
        </w:rPr>
        <w:t>是分开预测的，升级代表比预测值高</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能源脱碳是碳排系数降低</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电气化怎么考虑？电的碳排系数不是很大吗</w:t>
      </w:r>
    </w:p>
    <w:p>
      <w:pPr>
        <w:pStyle w:val="Normal"/>
        <w:spacing w:lineRule="exact" w:line="400"/>
        <w:ind w:firstLine="480"/>
        <w:rPr>
          <w:rFonts w:ascii="宋体" w:hAnsi="宋体" w:eastAsia="宋体"/>
          <w:kern w:val="2"/>
          <w:sz w:val="24"/>
          <w:szCs w:val="24"/>
        </w:rPr>
      </w:pPr>
      <w:r>
        <w:rPr/>
      </w:r>
    </w:p>
    <w:p>
      <w:pPr>
        <w:pStyle w:val="Normal"/>
        <w:spacing w:before="156" w:after="156"/>
        <w:rPr>
          <w:rFonts w:ascii="宋体" w:hAnsi="宋体" w:eastAsia="宋体"/>
          <w:b/>
          <w:b/>
          <w:bCs/>
          <w:sz w:val="24"/>
          <w:szCs w:val="24"/>
        </w:rPr>
      </w:pPr>
      <w:r>
        <w:rPr>
          <w:rFonts w:ascii="宋体" w:hAnsi="宋体" w:eastAsia="宋体"/>
          <w:b/>
          <w:bCs/>
          <w:sz w:val="24"/>
          <w:szCs w:val="24"/>
        </w:rPr>
        <w:t>三、术语及关联模型</w:t>
      </w:r>
    </w:p>
    <w:p>
      <w:pPr>
        <w:pStyle w:val="Normal"/>
        <w:spacing w:lineRule="exact" w:line="400"/>
        <w:rPr>
          <w:rFonts w:ascii="宋体" w:hAnsi="宋体" w:eastAsia="宋体"/>
          <w:kern w:val="2"/>
          <w:sz w:val="24"/>
          <w:szCs w:val="24"/>
        </w:rPr>
      </w:pPr>
      <w:r>
        <w:rPr>
          <w:rFonts w:eastAsia="宋体" w:ascii="宋体" w:hAnsi="宋体"/>
          <w:kern w:val="2"/>
          <w:sz w:val="24"/>
          <w:szCs w:val="24"/>
        </w:rPr>
        <w:t>1</w:t>
      </w:r>
      <w:r>
        <w:rPr>
          <w:rFonts w:ascii="宋体" w:hAnsi="宋体" w:eastAsia="宋体"/>
          <w:kern w:val="2"/>
          <w:sz w:val="24"/>
          <w:szCs w:val="24"/>
        </w:rPr>
        <w:t>、地区生产总值（</w:t>
      </w:r>
      <w:r>
        <w:rPr>
          <w:rFonts w:eastAsia="宋体" w:ascii="宋体" w:hAnsi="宋体"/>
          <w:kern w:val="2"/>
          <w:sz w:val="24"/>
          <w:szCs w:val="24"/>
        </w:rPr>
        <w:t>GDP</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地区生产总值（以下简称</w:t>
      </w:r>
      <w:r>
        <w:rPr>
          <w:rFonts w:eastAsia="宋体" w:ascii="宋体" w:hAnsi="宋体"/>
          <w:kern w:val="2"/>
          <w:sz w:val="24"/>
          <w:szCs w:val="24"/>
        </w:rPr>
        <w:t>GDP</w:t>
      </w:r>
      <w:r>
        <w:rPr>
          <w:rFonts w:ascii="宋体" w:hAnsi="宋体" w:eastAsia="宋体"/>
          <w:kern w:val="2"/>
          <w:sz w:val="24"/>
          <w:szCs w:val="24"/>
        </w:rPr>
        <w:t>）是区域经济发展的重要标志。</w:t>
      </w:r>
      <w:r>
        <w:rPr>
          <w:rFonts w:eastAsia="宋体" w:ascii="宋体" w:hAnsi="宋体"/>
          <w:kern w:val="2"/>
          <w:sz w:val="24"/>
          <w:szCs w:val="24"/>
        </w:rPr>
        <w:t>GDP</w:t>
      </w:r>
      <w:r>
        <w:rPr>
          <w:rFonts w:ascii="宋体" w:hAnsi="宋体" w:eastAsia="宋体"/>
          <w:kern w:val="2"/>
          <w:sz w:val="24"/>
          <w:szCs w:val="24"/>
        </w:rPr>
        <w:t>来源于第一、第二和第三产业。通常第一、第二和第三产业、行业、企业甚至产品的生产总值又称为增加值，因此有：</w:t>
      </w:r>
      <w:r>
        <w:rPr>
          <w:rFonts w:eastAsia="宋体" w:ascii="宋体" w:hAnsi="宋体"/>
          <w:kern w:val="2"/>
          <w:sz w:val="24"/>
          <w:szCs w:val="24"/>
        </w:rPr>
        <w:t>GDP</w:t>
      </w:r>
      <w:r>
        <w:rPr>
          <w:rFonts w:ascii="宋体" w:hAnsi="宋体" w:eastAsia="宋体"/>
          <w:kern w:val="2"/>
          <w:sz w:val="24"/>
          <w:szCs w:val="24"/>
        </w:rPr>
        <w:t>等于第一、第二和第三产业增加值的总和。</w:t>
      </w:r>
    </w:p>
    <w:p>
      <w:pPr>
        <w:pStyle w:val="Normal"/>
        <w:spacing w:lineRule="exact" w:line="400"/>
        <w:rPr>
          <w:rFonts w:ascii="宋体" w:hAnsi="宋体" w:eastAsia="宋体"/>
          <w:kern w:val="2"/>
          <w:sz w:val="24"/>
          <w:szCs w:val="24"/>
        </w:rPr>
      </w:pPr>
      <w:r>
        <w:rPr>
          <w:rFonts w:eastAsia="宋体" w:ascii="宋体" w:hAnsi="宋体"/>
          <w:kern w:val="2"/>
          <w:sz w:val="24"/>
          <w:szCs w:val="24"/>
        </w:rPr>
        <w:t>2</w:t>
      </w:r>
      <w:r>
        <w:rPr>
          <w:rFonts w:ascii="宋体" w:hAnsi="宋体" w:eastAsia="宋体"/>
          <w:kern w:val="2"/>
          <w:sz w:val="24"/>
          <w:szCs w:val="24"/>
        </w:rPr>
        <w:t>、部门的划分</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国民经济各行业可以分为第一、第二和第三产业。在本赛题中，为了与国民经济统计数据一致，采用以下部门的划分方法：（</w:t>
      </w:r>
      <w:r>
        <w:rPr>
          <w:rFonts w:eastAsia="宋体" w:ascii="宋体" w:hAnsi="宋体"/>
          <w:kern w:val="2"/>
          <w:sz w:val="24"/>
          <w:szCs w:val="24"/>
        </w:rPr>
        <w:t>1</w:t>
      </w:r>
      <w:r>
        <w:rPr>
          <w:rFonts w:ascii="宋体" w:hAnsi="宋体" w:eastAsia="宋体"/>
          <w:kern w:val="2"/>
          <w:sz w:val="24"/>
          <w:szCs w:val="24"/>
        </w:rPr>
        <w:t>）第一产业为农林消费部门；（</w:t>
      </w:r>
      <w:r>
        <w:rPr>
          <w:rFonts w:eastAsia="宋体" w:ascii="宋体" w:hAnsi="宋体"/>
          <w:kern w:val="2"/>
          <w:sz w:val="24"/>
          <w:szCs w:val="24"/>
        </w:rPr>
        <w:t>2</w:t>
      </w:r>
      <w:r>
        <w:rPr>
          <w:rFonts w:ascii="宋体" w:hAnsi="宋体" w:eastAsia="宋体"/>
          <w:kern w:val="2"/>
          <w:sz w:val="24"/>
          <w:szCs w:val="24"/>
        </w:rPr>
        <w:t>）</w:t>
      </w:r>
      <w:r>
        <w:rPr>
          <w:rFonts w:ascii="宋体" w:hAnsi="宋体" w:eastAsia="宋体"/>
          <w:b/>
          <w:bCs/>
          <w:kern w:val="2"/>
          <w:sz w:val="24"/>
          <w:szCs w:val="24"/>
        </w:rPr>
        <w:t>第二产业分为能源供应部门和工业消费部门</w:t>
      </w:r>
      <w:r>
        <w:rPr>
          <w:rFonts w:ascii="宋体" w:hAnsi="宋体" w:eastAsia="宋体"/>
          <w:kern w:val="2"/>
          <w:sz w:val="24"/>
          <w:szCs w:val="24"/>
        </w:rPr>
        <w:t>，其中，能源供应部门是指电力热力以及石油制品等二次能源转换行业，其他如钢铁、建材、化工等能源消费行业；（</w:t>
      </w:r>
      <w:r>
        <w:rPr>
          <w:rFonts w:eastAsia="宋体" w:ascii="宋体" w:hAnsi="宋体"/>
          <w:kern w:val="2"/>
          <w:sz w:val="24"/>
          <w:szCs w:val="24"/>
        </w:rPr>
        <w:t>3</w:t>
      </w:r>
      <w:r>
        <w:rPr>
          <w:rFonts w:ascii="宋体" w:hAnsi="宋体" w:eastAsia="宋体"/>
          <w:kern w:val="2"/>
          <w:sz w:val="24"/>
          <w:szCs w:val="24"/>
        </w:rPr>
        <w:t>）第三产业分为建筑消费部门、交通消费部门，其中，建筑消费部门是指以建筑用能为主的服务业，交通消费部门是指以交通用能为主的服务业；（</w:t>
      </w:r>
      <w:r>
        <w:rPr>
          <w:rFonts w:eastAsia="宋体" w:ascii="宋体" w:hAnsi="宋体"/>
          <w:kern w:val="2"/>
          <w:sz w:val="24"/>
          <w:szCs w:val="24"/>
        </w:rPr>
        <w:t>4</w:t>
      </w:r>
      <w:r>
        <w:rPr>
          <w:rFonts w:ascii="宋体" w:hAnsi="宋体" w:eastAsia="宋体"/>
          <w:kern w:val="2"/>
          <w:sz w:val="24"/>
          <w:szCs w:val="24"/>
        </w:rPr>
        <w:t>）居民生活消费是指居民建筑以及私家车相关的能源消费。即本赛题将国民经济各行业分为能源供应部门、工业消费部门、建筑消费部门、交通消费部门、居民生活消费、农林消费部门等。</w:t>
      </w:r>
    </w:p>
    <w:p>
      <w:pPr>
        <w:pStyle w:val="Normal"/>
        <w:spacing w:lineRule="exact" w:line="400"/>
        <w:rPr>
          <w:rFonts w:ascii="宋体" w:hAnsi="宋体" w:eastAsia="宋体"/>
          <w:kern w:val="2"/>
          <w:sz w:val="24"/>
          <w:szCs w:val="24"/>
        </w:rPr>
      </w:pPr>
      <w:r>
        <w:rPr>
          <w:rFonts w:eastAsia="宋体" w:ascii="宋体" w:hAnsi="宋体"/>
          <w:kern w:val="2"/>
          <w:sz w:val="24"/>
          <w:szCs w:val="24"/>
        </w:rPr>
        <w:t>3</w:t>
      </w:r>
      <w:r>
        <w:rPr>
          <w:rFonts w:ascii="宋体" w:hAnsi="宋体" w:eastAsia="宋体"/>
          <w:kern w:val="2"/>
          <w:sz w:val="24"/>
          <w:szCs w:val="24"/>
        </w:rPr>
        <w:t>、能源消费量（简称能耗量）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能源消费量具有部门分布和品种分布以及加工转换过程等三种特征。</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从部门分布看，包含第一、第二和第三产业内各部门的能耗与生活能耗；从品种分布看，包含化石能源消费（有碳排放）和非化石能源消费（无碳排放）；从加工转换过程看，包含一次能源（指未经加工转换的能源，如煤炭、石油、天然气、太阳能、风能、水能、核能、生物质能、地热能等）和二次能源（指经过加工转换的能源，如电能、热能、冷能、光伏、风电、水电、核电等）。</w:t>
      </w:r>
    </w:p>
    <w:p>
      <w:pPr>
        <w:pStyle w:val="Normal"/>
        <w:spacing w:lineRule="exact" w:line="400"/>
        <w:rPr>
          <w:rFonts w:ascii="宋体" w:hAnsi="宋体" w:eastAsia="宋体"/>
          <w:kern w:val="2"/>
          <w:sz w:val="24"/>
          <w:szCs w:val="24"/>
        </w:rPr>
      </w:pPr>
      <w:r>
        <w:rPr>
          <w:rFonts w:eastAsia="宋体" w:ascii="宋体" w:hAnsi="宋体"/>
          <w:kern w:val="2"/>
          <w:sz w:val="24"/>
          <w:szCs w:val="24"/>
        </w:rPr>
        <w:t>4</w:t>
      </w:r>
      <w:r>
        <w:rPr>
          <w:rFonts w:ascii="宋体" w:hAnsi="宋体" w:eastAsia="宋体"/>
          <w:kern w:val="2"/>
          <w:sz w:val="24"/>
          <w:szCs w:val="24"/>
        </w:rPr>
        <w:t>、碳排放量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排放量是指伴随着能源消费而产生的二氧化碳排放量，主要与化石能源消费量相关，既包含化石能源作为一次能源消费所产生的直接碳排放量，也包含由化石能源转换生产的电能、热（冷）能等二次能源消费所产生的间接碳排放。</w:t>
      </w:r>
    </w:p>
    <w:p>
      <w:pPr>
        <w:pStyle w:val="Normal"/>
        <w:spacing w:lineRule="exact" w:line="400"/>
        <w:rPr>
          <w:rFonts w:ascii="宋体" w:hAnsi="宋体" w:eastAsia="宋体"/>
          <w:kern w:val="2"/>
          <w:sz w:val="24"/>
          <w:szCs w:val="24"/>
        </w:rPr>
      </w:pPr>
      <w:r>
        <w:rPr>
          <w:rFonts w:eastAsia="宋体" w:ascii="宋体" w:hAnsi="宋体"/>
          <w:kern w:val="2"/>
          <w:sz w:val="24"/>
          <w:szCs w:val="24"/>
        </w:rPr>
        <w:t>5</w:t>
      </w:r>
      <w:r>
        <w:rPr>
          <w:rFonts w:ascii="宋体" w:hAnsi="宋体" w:eastAsia="宋体"/>
          <w:kern w:val="2"/>
          <w:sz w:val="24"/>
          <w:szCs w:val="24"/>
        </w:rPr>
        <w:t>、</w:t>
      </w:r>
      <w:r>
        <w:rPr>
          <w:rFonts w:eastAsia="宋体" w:ascii="宋体" w:hAnsi="宋体"/>
          <w:kern w:val="2"/>
          <w:sz w:val="24"/>
          <w:szCs w:val="24"/>
        </w:rPr>
        <w:t>Kaya</w:t>
      </w:r>
      <w:r>
        <w:rPr>
          <w:rFonts w:ascii="宋体" w:hAnsi="宋体" w:eastAsia="宋体"/>
          <w:kern w:val="2"/>
          <w:sz w:val="24"/>
          <w:szCs w:val="24"/>
        </w:rPr>
        <w:t>模型</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Kaya</w:t>
      </w:r>
      <w:r>
        <w:rPr>
          <w:rFonts w:ascii="宋体" w:hAnsi="宋体" w:eastAsia="宋体"/>
          <w:kern w:val="2"/>
          <w:sz w:val="24"/>
          <w:szCs w:val="24"/>
        </w:rPr>
        <w:t>模型常常用来分析区域碳排放量和该区域人口、社会经济发展水平、能源利用效率以及碳排放因子的关系。其表达式为：</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二氧化碳排放量</w:t>
      </w:r>
      <w:r>
        <w:rPr>
          <w:rFonts w:eastAsia="宋体" w:ascii="宋体" w:hAnsi="宋体"/>
          <w:kern w:val="2"/>
          <w:sz w:val="24"/>
          <w:szCs w:val="24"/>
        </w:rPr>
        <w:t>=</w:t>
      </w:r>
      <w:r>
        <w:rPr>
          <w:rFonts w:ascii="宋体" w:hAnsi="宋体" w:eastAsia="宋体"/>
          <w:kern w:val="2"/>
          <w:sz w:val="24"/>
          <w:szCs w:val="24"/>
        </w:rPr>
        <w:t>人口</w:t>
      </w:r>
      <w:r>
        <w:rPr>
          <w:rFonts w:eastAsia="宋体" w:ascii="宋体" w:hAnsi="宋体"/>
          <w:kern w:val="2"/>
          <w:sz w:val="24"/>
          <w:szCs w:val="24"/>
        </w:rPr>
        <w:t>*</w:t>
      </w: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单位能耗二氧化碳排放量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式中：</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人口是区域社会发展水平的重要标志，一般而言，人口多，则社会活力强，社会发展水平高，但生活能耗呈刚需增长的趋势。</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是区域经济发展水平的重要标志，人均</w:t>
      </w:r>
      <w:r>
        <w:rPr>
          <w:rFonts w:eastAsia="宋体" w:ascii="宋体" w:hAnsi="宋体"/>
          <w:kern w:val="2"/>
          <w:sz w:val="24"/>
          <w:szCs w:val="24"/>
        </w:rPr>
        <w:t>GDP</w:t>
      </w:r>
      <w:r>
        <w:rPr>
          <w:rFonts w:ascii="宋体" w:hAnsi="宋体" w:eastAsia="宋体"/>
          <w:kern w:val="2"/>
          <w:sz w:val="24"/>
          <w:szCs w:val="24"/>
        </w:rPr>
        <w:t>水平高，表明该区域经济发展状况好。</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能耗（又称为能源消费强度）是区域能源利用效率的重要标志，单位</w:t>
      </w:r>
      <w:r>
        <w:rPr>
          <w:rFonts w:eastAsia="宋体" w:ascii="宋体" w:hAnsi="宋体"/>
          <w:kern w:val="2"/>
          <w:sz w:val="24"/>
          <w:szCs w:val="24"/>
        </w:rPr>
        <w:t>GDP</w:t>
      </w:r>
      <w:r>
        <w:rPr>
          <w:rFonts w:ascii="宋体" w:hAnsi="宋体" w:eastAsia="宋体"/>
          <w:kern w:val="2"/>
          <w:sz w:val="24"/>
          <w:szCs w:val="24"/>
        </w:rPr>
        <w:t>能耗低，则能源利用效率高。</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pPr>
        <w:pStyle w:val="Normal"/>
        <w:spacing w:lineRule="exact" w:line="400"/>
        <w:rPr>
          <w:rFonts w:ascii="宋体" w:hAnsi="宋体" w:eastAsia="宋体"/>
          <w:kern w:val="2"/>
          <w:sz w:val="24"/>
          <w:szCs w:val="24"/>
        </w:rPr>
      </w:pPr>
      <w:r>
        <w:rPr>
          <w:rFonts w:eastAsia="宋体" w:ascii="宋体" w:hAnsi="宋体"/>
          <w:kern w:val="2"/>
          <w:sz w:val="24"/>
          <w:szCs w:val="24"/>
        </w:rPr>
        <w:t>6</w:t>
      </w:r>
      <w:r>
        <w:rPr>
          <w:rFonts w:ascii="宋体" w:hAnsi="宋体" w:eastAsia="宋体"/>
          <w:kern w:val="2"/>
          <w:sz w:val="24"/>
          <w:szCs w:val="24"/>
        </w:rPr>
        <w:t>、非化石能源消费比重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非化石能源消费比重是指非化石能源消费量与能源消费量的比值，提高非化石能源消费比重是降低单位能耗二氧化碳排放量的根本和关键。</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《意见》中明确指出，到</w:t>
      </w:r>
      <w:r>
        <w:rPr>
          <w:rFonts w:eastAsia="宋体" w:ascii="宋体" w:hAnsi="宋体"/>
          <w:kern w:val="2"/>
          <w:sz w:val="24"/>
          <w:szCs w:val="24"/>
        </w:rPr>
        <w:t>2025</w:t>
      </w:r>
      <w:r>
        <w:rPr>
          <w:rFonts w:ascii="宋体" w:hAnsi="宋体" w:eastAsia="宋体"/>
          <w:kern w:val="2"/>
          <w:sz w:val="24"/>
          <w:szCs w:val="24"/>
        </w:rPr>
        <w:t>年非化石能源消费比重达到</w:t>
      </w:r>
      <w:r>
        <w:rPr>
          <w:rFonts w:eastAsia="宋体" w:ascii="宋体" w:hAnsi="宋体"/>
          <w:kern w:val="2"/>
          <w:sz w:val="24"/>
          <w:szCs w:val="24"/>
        </w:rPr>
        <w:t>20%</w:t>
      </w:r>
      <w:r>
        <w:rPr>
          <w:rFonts w:ascii="宋体" w:hAnsi="宋体" w:eastAsia="宋体"/>
          <w:kern w:val="2"/>
          <w:sz w:val="24"/>
          <w:szCs w:val="24"/>
        </w:rPr>
        <w:t>左右；到</w:t>
      </w:r>
      <w:r>
        <w:rPr>
          <w:rFonts w:eastAsia="宋体" w:ascii="宋体" w:hAnsi="宋体"/>
          <w:kern w:val="2"/>
          <w:sz w:val="24"/>
          <w:szCs w:val="24"/>
        </w:rPr>
        <w:t>2030</w:t>
      </w:r>
      <w:r>
        <w:rPr>
          <w:rFonts w:ascii="宋体" w:hAnsi="宋体" w:eastAsia="宋体"/>
          <w:kern w:val="2"/>
          <w:sz w:val="24"/>
          <w:szCs w:val="24"/>
        </w:rPr>
        <w:t>年非化石能源消费比重达到</w:t>
      </w:r>
      <w:r>
        <w:rPr>
          <w:rFonts w:eastAsia="宋体" w:ascii="宋体" w:hAnsi="宋体"/>
          <w:kern w:val="2"/>
          <w:sz w:val="24"/>
          <w:szCs w:val="24"/>
        </w:rPr>
        <w:t>25%</w:t>
      </w:r>
      <w:r>
        <w:rPr>
          <w:rFonts w:ascii="宋体" w:hAnsi="宋体" w:eastAsia="宋体"/>
          <w:kern w:val="2"/>
          <w:sz w:val="24"/>
          <w:szCs w:val="24"/>
        </w:rPr>
        <w:t>左右；到</w:t>
      </w:r>
      <w:r>
        <w:rPr>
          <w:rFonts w:eastAsia="宋体" w:ascii="宋体" w:hAnsi="宋体"/>
          <w:kern w:val="2"/>
          <w:sz w:val="24"/>
          <w:szCs w:val="24"/>
        </w:rPr>
        <w:t>2060</w:t>
      </w:r>
      <w:r>
        <w:rPr>
          <w:rFonts w:ascii="宋体" w:hAnsi="宋体" w:eastAsia="宋体"/>
          <w:kern w:val="2"/>
          <w:sz w:val="24"/>
          <w:szCs w:val="24"/>
        </w:rPr>
        <w:t>年非化石能源消费比重超过</w:t>
      </w:r>
      <w:r>
        <w:rPr>
          <w:rFonts w:eastAsia="宋体" w:ascii="宋体" w:hAnsi="宋体"/>
          <w:kern w:val="2"/>
          <w:sz w:val="24"/>
          <w:szCs w:val="24"/>
        </w:rPr>
        <w:t>80%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 xml:space="preserve">由于非化石能源规模化消费的主要途径是转化为电力（如光伏、风电、水电、核电、生物质能发电等）消费，所以，非化石能源消费比重基本等价于非化石能源发电比重。即： </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非化石能源消费比重</w:t>
      </w:r>
      <w:r>
        <w:rPr>
          <w:rFonts w:eastAsia="宋体" w:ascii="宋体" w:hAnsi="宋体"/>
          <w:kern w:val="2"/>
          <w:sz w:val="24"/>
          <w:szCs w:val="24"/>
        </w:rPr>
        <w:t>=</w:t>
      </w:r>
      <w:r>
        <w:rPr>
          <w:rFonts w:ascii="宋体" w:hAnsi="宋体" w:eastAsia="宋体"/>
          <w:kern w:val="2"/>
          <w:sz w:val="24"/>
          <w:szCs w:val="24"/>
        </w:rPr>
        <w:t>非化石能源消费量</w:t>
      </w:r>
      <w:r>
        <w:rPr>
          <w:rFonts w:eastAsia="宋体" w:ascii="宋体" w:hAnsi="宋体"/>
          <w:kern w:val="2"/>
          <w:sz w:val="24"/>
          <w:szCs w:val="24"/>
        </w:rPr>
        <w:t>/</w:t>
      </w:r>
      <w:r>
        <w:rPr>
          <w:rFonts w:ascii="宋体" w:hAnsi="宋体" w:eastAsia="宋体"/>
          <w:kern w:val="2"/>
          <w:sz w:val="24"/>
          <w:szCs w:val="24"/>
        </w:rPr>
        <w:t>能源消费量≈非化石能源发电量</w:t>
      </w:r>
      <w:r>
        <w:rPr>
          <w:rFonts w:eastAsia="宋体" w:ascii="宋体" w:hAnsi="宋体"/>
          <w:kern w:val="2"/>
          <w:sz w:val="24"/>
          <w:szCs w:val="24"/>
        </w:rPr>
        <w:t>/</w:t>
      </w:r>
      <w:r>
        <w:rPr>
          <w:rFonts w:ascii="宋体" w:hAnsi="宋体" w:eastAsia="宋体"/>
          <w:kern w:val="2"/>
          <w:sz w:val="24"/>
          <w:szCs w:val="24"/>
        </w:rPr>
        <w:t>能源消费量</w:t>
      </w:r>
      <w:r>
        <w:rPr>
          <w:rFonts w:eastAsia="宋体" w:ascii="宋体" w:hAnsi="宋体"/>
          <w:kern w:val="2"/>
          <w:sz w:val="24"/>
          <w:szCs w:val="24"/>
        </w:rPr>
        <w:t>=</w:t>
      </w:r>
      <w:r>
        <w:rPr>
          <w:rFonts w:ascii="宋体" w:hAnsi="宋体" w:eastAsia="宋体"/>
          <w:kern w:val="2"/>
          <w:sz w:val="24"/>
          <w:szCs w:val="24"/>
        </w:rPr>
        <w:t>非化石能源发电比重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非化石能源发电比重</w:t>
      </w:r>
      <w:r>
        <w:rPr>
          <w:rFonts w:eastAsia="宋体" w:ascii="宋体" w:hAnsi="宋体"/>
          <w:kern w:val="2"/>
          <w:sz w:val="24"/>
          <w:szCs w:val="24"/>
        </w:rPr>
        <w:t>=</w:t>
      </w:r>
      <w:r>
        <w:rPr>
          <w:rFonts w:ascii="宋体" w:hAnsi="宋体" w:eastAsia="宋体"/>
          <w:kern w:val="2"/>
          <w:sz w:val="24"/>
          <w:szCs w:val="24"/>
        </w:rPr>
        <w:t>（非化石能源发电量</w:t>
      </w:r>
      <w:r>
        <w:rPr>
          <w:rFonts w:eastAsia="宋体" w:ascii="宋体" w:hAnsi="宋体"/>
          <w:kern w:val="2"/>
          <w:sz w:val="24"/>
          <w:szCs w:val="24"/>
        </w:rPr>
        <w:t>/</w:t>
      </w:r>
      <w:r>
        <w:rPr>
          <w:rFonts w:ascii="宋体" w:hAnsi="宋体" w:eastAsia="宋体"/>
          <w:kern w:val="2"/>
          <w:sz w:val="24"/>
          <w:szCs w:val="24"/>
        </w:rPr>
        <w:t>电力消费量）</w:t>
      </w:r>
      <w:r>
        <w:rPr>
          <w:rFonts w:eastAsia="宋体" w:ascii="宋体" w:hAnsi="宋体"/>
          <w:kern w:val="2"/>
          <w:sz w:val="24"/>
          <w:szCs w:val="24"/>
        </w:rPr>
        <w:t>*</w:t>
      </w:r>
      <w:r>
        <w:rPr>
          <w:rFonts w:ascii="宋体" w:hAnsi="宋体" w:eastAsia="宋体"/>
          <w:kern w:val="2"/>
          <w:sz w:val="24"/>
          <w:szCs w:val="24"/>
        </w:rPr>
        <w:t>（电力消费量</w:t>
      </w:r>
      <w:r>
        <w:rPr>
          <w:rFonts w:eastAsia="宋体" w:ascii="宋体" w:hAnsi="宋体"/>
          <w:kern w:val="2"/>
          <w:sz w:val="24"/>
          <w:szCs w:val="24"/>
        </w:rPr>
        <w:t>/</w:t>
      </w:r>
      <w:r>
        <w:rPr>
          <w:rFonts w:ascii="宋体" w:hAnsi="宋体" w:eastAsia="宋体"/>
          <w:kern w:val="2"/>
          <w:sz w:val="24"/>
          <w:szCs w:val="24"/>
        </w:rPr>
        <w:t>能源消费量）</w:t>
      </w:r>
      <w:r>
        <w:rPr>
          <w:rFonts w:eastAsia="宋体" w:ascii="宋体" w:hAnsi="宋体"/>
          <w:kern w:val="2"/>
          <w:sz w:val="24"/>
          <w:szCs w:val="24"/>
        </w:rPr>
        <w:t>=</w:t>
      </w:r>
      <w:r>
        <w:rPr>
          <w:rFonts w:ascii="宋体" w:hAnsi="宋体" w:eastAsia="宋体"/>
          <w:kern w:val="2"/>
          <w:sz w:val="24"/>
          <w:szCs w:val="24"/>
        </w:rPr>
        <w:t>非化石能源发电占比</w:t>
      </w:r>
      <w:r>
        <w:rPr>
          <w:rFonts w:eastAsia="宋体" w:ascii="宋体" w:hAnsi="宋体"/>
          <w:kern w:val="2"/>
          <w:sz w:val="24"/>
          <w:szCs w:val="24"/>
        </w:rPr>
        <w:t>*</w:t>
      </w:r>
      <w:r>
        <w:rPr>
          <w:rFonts w:ascii="宋体" w:hAnsi="宋体" w:eastAsia="宋体"/>
          <w:kern w:val="2"/>
          <w:sz w:val="24"/>
          <w:szCs w:val="24"/>
        </w:rPr>
        <w:t>电力消费比重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由上述分析可知，提高非化石能源消费比重等效于提升非化石能源发电占比（表示能源脱碳的指标）和提升电力消费比重（表示能源消费电气化的指标）。</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根据一种全电气化社会的情景预测，为了实现非化石能源消费比重超过</w:t>
      </w:r>
      <w:r>
        <w:rPr>
          <w:rFonts w:eastAsia="宋体" w:ascii="宋体" w:hAnsi="宋体"/>
          <w:kern w:val="2"/>
          <w:sz w:val="24"/>
          <w:szCs w:val="24"/>
        </w:rPr>
        <w:t>80%</w:t>
      </w:r>
      <w:r>
        <w:rPr>
          <w:rFonts w:ascii="宋体" w:hAnsi="宋体" w:eastAsia="宋体"/>
          <w:kern w:val="2"/>
          <w:sz w:val="24"/>
          <w:szCs w:val="24"/>
        </w:rPr>
        <w:t>的目标，非化石能源发电比重和电力消费比重均应达到</w:t>
      </w:r>
      <w:r>
        <w:rPr>
          <w:rFonts w:eastAsia="宋体" w:ascii="宋体" w:hAnsi="宋体"/>
          <w:kern w:val="2"/>
          <w:sz w:val="24"/>
          <w:szCs w:val="24"/>
        </w:rPr>
        <w:t>90%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其中，提高非化石能源消费比重的必要条件是提高非化石能源发电占比，需要由新能源发电、脱碳火电和包含储能在内的新型电网等能源生产部门完成；而充分条件是提高非化石能源消费比重，需要由工业消费部门、建筑消费部门、交通消费部门、居民生活消费和农林消费部门等能源消费部门完成。</w:t>
      </w:r>
    </w:p>
    <w:p>
      <w:pPr>
        <w:pStyle w:val="Normal"/>
        <w:spacing w:lineRule="exact" w:line="400"/>
        <w:rPr>
          <w:rFonts w:ascii="宋体" w:hAnsi="宋体" w:eastAsia="宋体"/>
          <w:kern w:val="2"/>
          <w:sz w:val="24"/>
          <w:szCs w:val="24"/>
        </w:rPr>
      </w:pPr>
      <w:r>
        <w:rPr>
          <w:rFonts w:eastAsia="宋体" w:ascii="宋体" w:hAnsi="宋体"/>
          <w:kern w:val="2"/>
          <w:sz w:val="24"/>
          <w:szCs w:val="24"/>
        </w:rPr>
        <w:t>7</w:t>
      </w: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总能耗</w:t>
      </w:r>
      <w:r>
        <w:rPr>
          <w:rFonts w:eastAsia="宋体" w:ascii="宋体" w:hAnsi="宋体"/>
          <w:kern w:val="2"/>
          <w:sz w:val="24"/>
          <w:szCs w:val="24"/>
        </w:rPr>
        <w:t>/GDP</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分子为：总能耗</w:t>
      </w:r>
      <w:r>
        <w:rPr>
          <w:rFonts w:eastAsia="宋体" w:ascii="宋体" w:hAnsi="宋体"/>
          <w:kern w:val="2"/>
          <w:sz w:val="24"/>
          <w:szCs w:val="24"/>
        </w:rPr>
        <w:t>=</w:t>
      </w:r>
      <w:r>
        <w:rPr>
          <w:rFonts w:ascii="宋体" w:hAnsi="宋体" w:eastAsia="宋体"/>
          <w:kern w:val="2"/>
          <w:sz w:val="24"/>
          <w:szCs w:val="24"/>
        </w:rPr>
        <w:t>第一产业能耗</w:t>
      </w:r>
      <w:r>
        <w:rPr>
          <w:rFonts w:eastAsia="宋体" w:ascii="宋体" w:hAnsi="宋体"/>
          <w:kern w:val="2"/>
          <w:sz w:val="24"/>
          <w:szCs w:val="24"/>
        </w:rPr>
        <w:t>+</w:t>
      </w:r>
      <w:r>
        <w:rPr>
          <w:rFonts w:ascii="宋体" w:hAnsi="宋体" w:eastAsia="宋体"/>
          <w:kern w:val="2"/>
          <w:sz w:val="24"/>
          <w:szCs w:val="24"/>
        </w:rPr>
        <w:t>第二产业能耗</w:t>
      </w:r>
      <w:r>
        <w:rPr>
          <w:rFonts w:eastAsia="宋体" w:ascii="宋体" w:hAnsi="宋体"/>
          <w:kern w:val="2"/>
          <w:sz w:val="24"/>
          <w:szCs w:val="24"/>
        </w:rPr>
        <w:t>+</w:t>
      </w:r>
      <w:r>
        <w:rPr>
          <w:rFonts w:ascii="宋体" w:hAnsi="宋体" w:eastAsia="宋体"/>
          <w:kern w:val="2"/>
          <w:sz w:val="24"/>
          <w:szCs w:val="24"/>
        </w:rPr>
        <w:t>第三产业能耗</w:t>
      </w:r>
      <w:r>
        <w:rPr>
          <w:rFonts w:eastAsia="宋体" w:ascii="宋体" w:hAnsi="宋体"/>
          <w:kern w:val="2"/>
          <w:sz w:val="24"/>
          <w:szCs w:val="24"/>
        </w:rPr>
        <w:t>+</w:t>
      </w:r>
      <w:r>
        <w:rPr>
          <w:rFonts w:ascii="宋体" w:hAnsi="宋体" w:eastAsia="宋体"/>
          <w:kern w:val="2"/>
          <w:sz w:val="24"/>
          <w:szCs w:val="24"/>
        </w:rPr>
        <w:t>生活能耗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其中：</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第一产业能耗</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第一产业单位增加值能耗；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第二产业能耗</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w:t>
      </w:r>
      <w:r>
        <w:rPr>
          <w:rFonts w:ascii="宋体" w:hAnsi="宋体" w:eastAsia="宋体"/>
          <w:kern w:val="2"/>
          <w:sz w:val="24"/>
          <w:szCs w:val="24"/>
        </w:rPr>
        <w:t>第二产业单位增加值能耗；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第三产业能耗</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w:t>
      </w:r>
      <w:r>
        <w:rPr>
          <w:rFonts w:ascii="宋体" w:hAnsi="宋体" w:eastAsia="宋体"/>
          <w:kern w:val="2"/>
          <w:sz w:val="24"/>
          <w:szCs w:val="24"/>
        </w:rPr>
        <w:t>第三产业单位增加值能耗；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生活能耗</w:t>
      </w:r>
      <w:r>
        <w:rPr>
          <w:rFonts w:eastAsia="宋体" w:ascii="宋体" w:hAnsi="宋体"/>
          <w:kern w:val="2"/>
          <w:sz w:val="24"/>
          <w:szCs w:val="24"/>
        </w:rPr>
        <w:t>=</w:t>
      </w:r>
      <w:r>
        <w:rPr>
          <w:rFonts w:ascii="宋体" w:hAnsi="宋体" w:eastAsia="宋体"/>
          <w:kern w:val="2"/>
          <w:sz w:val="24"/>
          <w:szCs w:val="24"/>
        </w:rPr>
        <w:t>总能耗</w:t>
      </w:r>
      <w:r>
        <w:rPr>
          <w:rFonts w:eastAsia="宋体" w:ascii="宋体" w:hAnsi="宋体"/>
          <w:kern w:val="2"/>
          <w:sz w:val="24"/>
          <w:szCs w:val="24"/>
        </w:rPr>
        <w:t>*</w:t>
      </w:r>
      <w:r>
        <w:rPr>
          <w:rFonts w:ascii="宋体" w:hAnsi="宋体" w:eastAsia="宋体"/>
          <w:kern w:val="2"/>
          <w:sz w:val="24"/>
          <w:szCs w:val="24"/>
        </w:rPr>
        <w:t>生活能耗比重（生活能耗比重</w:t>
      </w:r>
      <w:r>
        <w:rPr>
          <w:rFonts w:eastAsia="宋体" w:ascii="宋体" w:hAnsi="宋体"/>
          <w:kern w:val="2"/>
          <w:sz w:val="24"/>
          <w:szCs w:val="24"/>
        </w:rPr>
        <w:t>=</w:t>
      </w:r>
      <w:r>
        <w:rPr>
          <w:rFonts w:ascii="宋体" w:hAnsi="宋体" w:eastAsia="宋体"/>
          <w:kern w:val="2"/>
          <w:sz w:val="24"/>
          <w:szCs w:val="24"/>
        </w:rPr>
        <w:t>生活能耗</w:t>
      </w:r>
      <w:r>
        <w:rPr>
          <w:rFonts w:eastAsia="宋体" w:ascii="宋体" w:hAnsi="宋体"/>
          <w:kern w:val="2"/>
          <w:sz w:val="24"/>
          <w:szCs w:val="24"/>
        </w:rPr>
        <w:t>/</w:t>
      </w:r>
      <w:r>
        <w:rPr>
          <w:rFonts w:ascii="宋体" w:hAnsi="宋体" w:eastAsia="宋体"/>
          <w:kern w:val="2"/>
          <w:sz w:val="24"/>
          <w:szCs w:val="24"/>
        </w:rPr>
        <w:t>总能耗）。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分母为：</w:t>
      </w:r>
      <w:r>
        <w:rPr>
          <w:rFonts w:eastAsia="宋体" w:ascii="宋体" w:hAnsi="宋体"/>
          <w:kern w:val="2"/>
          <w:sz w:val="24"/>
          <w:szCs w:val="24"/>
        </w:rPr>
        <w:t>GDP=</w:t>
      </w:r>
      <w:r>
        <w:rPr>
          <w:rFonts w:ascii="宋体" w:hAnsi="宋体" w:eastAsia="宋体"/>
          <w:kern w:val="2"/>
          <w:sz w:val="24"/>
          <w:szCs w:val="24"/>
        </w:rPr>
        <w:t>总增加值</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w:t>
      </w:r>
      <w:r>
        <w:rPr>
          <w:rFonts w:ascii="宋体" w:hAnsi="宋体" w:eastAsia="宋体"/>
          <w:kern w:val="2"/>
          <w:sz w:val="24"/>
          <w:szCs w:val="24"/>
        </w:rPr>
        <w:t>第三产业增加值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则：</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第一产业单位增加值能耗</w:t>
      </w:r>
      <w:r>
        <w:rPr>
          <w:rFonts w:eastAsia="宋体" w:ascii="宋体" w:hAnsi="宋体"/>
          <w:kern w:val="2"/>
          <w:sz w:val="24"/>
          <w:szCs w:val="24"/>
        </w:rPr>
        <w:t>+</w:t>
      </w:r>
      <w:r>
        <w:rPr>
          <w:rFonts w:ascii="宋体" w:hAnsi="宋体" w:eastAsia="宋体"/>
          <w:kern w:val="2"/>
          <w:sz w:val="24"/>
          <w:szCs w:val="24"/>
        </w:rPr>
        <w:t>第二产业增加</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值</w:t>
      </w:r>
      <w:r>
        <w:rPr>
          <w:rFonts w:eastAsia="宋体" w:ascii="宋体" w:hAnsi="宋体"/>
          <w:kern w:val="2"/>
          <w:sz w:val="24"/>
          <w:szCs w:val="24"/>
        </w:rPr>
        <w:t>*</w:t>
      </w:r>
      <w:r>
        <w:rPr>
          <w:rFonts w:ascii="宋体" w:hAnsi="宋体" w:eastAsia="宋体"/>
          <w:kern w:val="2"/>
          <w:sz w:val="24"/>
          <w:szCs w:val="24"/>
        </w:rPr>
        <w:t>第二产业单位增加值能耗</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w:t>
      </w:r>
      <w:r>
        <w:rPr>
          <w:rFonts w:ascii="宋体" w:hAnsi="宋体" w:eastAsia="宋体"/>
          <w:kern w:val="2"/>
          <w:sz w:val="24"/>
          <w:szCs w:val="24"/>
        </w:rPr>
        <w:t>第三产业单位增加值能耗</w:t>
      </w:r>
      <w:r>
        <w:rPr>
          <w:rFonts w:eastAsia="宋体" w:ascii="宋体" w:hAnsi="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总能耗</w:t>
      </w:r>
      <w:r>
        <w:rPr>
          <w:rFonts w:eastAsia="宋体" w:ascii="宋体" w:hAnsi="宋体"/>
          <w:kern w:val="2"/>
          <w:sz w:val="24"/>
          <w:szCs w:val="24"/>
        </w:rPr>
        <w:t>*</w:t>
      </w:r>
      <w:r>
        <w:rPr>
          <w:rFonts w:ascii="宋体" w:hAnsi="宋体" w:eastAsia="宋体"/>
          <w:kern w:val="2"/>
          <w:sz w:val="24"/>
          <w:szCs w:val="24"/>
        </w:rPr>
        <w:t>生活能耗比重）</w:t>
      </w:r>
      <w:r>
        <w:rPr>
          <w:rFonts w:eastAsia="宋体" w:ascii="宋体" w:hAnsi="宋体"/>
          <w:kern w:val="2"/>
          <w:sz w:val="24"/>
          <w:szCs w:val="24"/>
        </w:rPr>
        <w:t>/ GDP=</w:t>
      </w:r>
      <w:r>
        <w:rPr>
          <w:rFonts w:ascii="宋体" w:hAnsi="宋体" w:eastAsia="宋体"/>
          <w:kern w:val="2"/>
          <w:sz w:val="24"/>
          <w:szCs w:val="24"/>
        </w:rPr>
        <w:t>第一产业增加值</w:t>
      </w:r>
      <w:r>
        <w:rPr>
          <w:rFonts w:eastAsia="宋体" w:ascii="宋体" w:hAnsi="宋体"/>
          <w:kern w:val="2"/>
          <w:sz w:val="24"/>
          <w:szCs w:val="24"/>
        </w:rPr>
        <w:t>/ GDP*</w:t>
      </w:r>
      <w:r>
        <w:rPr>
          <w:rFonts w:ascii="宋体" w:hAnsi="宋体" w:eastAsia="宋体"/>
          <w:kern w:val="2"/>
          <w:sz w:val="24"/>
          <w:szCs w:val="24"/>
        </w:rPr>
        <w:t>第一产业单位增加值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 GDP*</w:t>
      </w:r>
      <w:r>
        <w:rPr>
          <w:rFonts w:ascii="宋体" w:hAnsi="宋体" w:eastAsia="宋体"/>
          <w:kern w:val="2"/>
          <w:sz w:val="24"/>
          <w:szCs w:val="24"/>
        </w:rPr>
        <w:t>第二产业单位增加值能耗</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 xml:space="preserve">/ </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GDP*</w:t>
      </w:r>
      <w:r>
        <w:rPr>
          <w:rFonts w:ascii="宋体" w:hAnsi="宋体" w:eastAsia="宋体"/>
          <w:kern w:val="2"/>
          <w:sz w:val="24"/>
          <w:szCs w:val="24"/>
        </w:rPr>
        <w:t>第三产业单位增加值能耗</w:t>
      </w:r>
      <w:r>
        <w:rPr>
          <w:rFonts w:eastAsia="宋体" w:ascii="宋体" w:hAnsi="宋体"/>
          <w:kern w:val="2"/>
          <w:sz w:val="24"/>
          <w:szCs w:val="24"/>
        </w:rPr>
        <w:t>+</w:t>
      </w:r>
      <w:r>
        <w:rPr>
          <w:rFonts w:ascii="宋体" w:hAnsi="宋体" w:eastAsia="宋体"/>
          <w:kern w:val="2"/>
          <w:sz w:val="24"/>
          <w:szCs w:val="24"/>
        </w:rPr>
        <w:t>总能耗</w:t>
      </w:r>
      <w:r>
        <w:rPr>
          <w:rFonts w:eastAsia="宋体" w:ascii="宋体" w:hAnsi="宋体"/>
          <w:kern w:val="2"/>
          <w:sz w:val="24"/>
          <w:szCs w:val="24"/>
        </w:rPr>
        <w:t>/ GDP*</w:t>
      </w:r>
      <w:r>
        <w:rPr>
          <w:rFonts w:ascii="宋体" w:hAnsi="宋体" w:eastAsia="宋体"/>
          <w:kern w:val="2"/>
          <w:sz w:val="24"/>
          <w:szCs w:val="24"/>
        </w:rPr>
        <w:t>生活能耗比重</w:t>
      </w:r>
      <w:r>
        <w:rPr>
          <w:rFonts w:eastAsia="宋体" w:ascii="宋体" w:hAnsi="宋体"/>
          <w:kern w:val="2"/>
          <w:sz w:val="24"/>
          <w:szCs w:val="24"/>
        </w:rPr>
        <w:t>=</w:t>
      </w:r>
      <w:r>
        <w:rPr>
          <w:rFonts w:ascii="宋体" w:hAnsi="宋体" w:eastAsia="宋体"/>
          <w:kern w:val="2"/>
          <w:sz w:val="24"/>
          <w:szCs w:val="24"/>
        </w:rPr>
        <w:t>第一产业增加</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值权重</w:t>
      </w:r>
      <w:r>
        <w:rPr>
          <w:rFonts w:eastAsia="宋体" w:ascii="宋体" w:hAnsi="宋体"/>
          <w:kern w:val="2"/>
          <w:sz w:val="24"/>
          <w:szCs w:val="24"/>
        </w:rPr>
        <w:t>*</w:t>
      </w:r>
      <w:r>
        <w:rPr>
          <w:rFonts w:ascii="宋体" w:hAnsi="宋体" w:eastAsia="宋体"/>
          <w:kern w:val="2"/>
          <w:sz w:val="24"/>
          <w:szCs w:val="24"/>
        </w:rPr>
        <w:t>第一产业单位增加值能耗</w:t>
      </w:r>
      <w:r>
        <w:rPr>
          <w:rFonts w:eastAsia="宋体" w:ascii="宋体" w:hAnsi="宋体"/>
          <w:kern w:val="2"/>
          <w:sz w:val="24"/>
          <w:szCs w:val="24"/>
        </w:rPr>
        <w:t>+</w:t>
      </w:r>
      <w:r>
        <w:rPr>
          <w:rFonts w:ascii="宋体" w:hAnsi="宋体" w:eastAsia="宋体"/>
          <w:kern w:val="2"/>
          <w:sz w:val="24"/>
          <w:szCs w:val="24"/>
        </w:rPr>
        <w:t>第二产业增加值权重</w:t>
      </w:r>
      <w:r>
        <w:rPr>
          <w:rFonts w:eastAsia="宋体" w:ascii="宋体" w:hAnsi="宋体"/>
          <w:kern w:val="2"/>
          <w:sz w:val="24"/>
          <w:szCs w:val="24"/>
        </w:rPr>
        <w:t>*</w:t>
      </w:r>
      <w:r>
        <w:rPr>
          <w:rFonts w:ascii="宋体" w:hAnsi="宋体" w:eastAsia="宋体"/>
          <w:kern w:val="2"/>
          <w:sz w:val="24"/>
          <w:szCs w:val="24"/>
        </w:rPr>
        <w:t>第二产业单位增加</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值能耗</w:t>
      </w:r>
      <w:r>
        <w:rPr>
          <w:rFonts w:eastAsia="宋体" w:ascii="宋体" w:hAnsi="宋体"/>
          <w:kern w:val="2"/>
          <w:sz w:val="24"/>
          <w:szCs w:val="24"/>
        </w:rPr>
        <w:t>+</w:t>
      </w:r>
      <w:r>
        <w:rPr>
          <w:rFonts w:ascii="宋体" w:hAnsi="宋体" w:eastAsia="宋体"/>
          <w:kern w:val="2"/>
          <w:sz w:val="24"/>
          <w:szCs w:val="24"/>
        </w:rPr>
        <w:t>第三产业增加值权重</w:t>
      </w:r>
      <w:r>
        <w:rPr>
          <w:rFonts w:eastAsia="宋体" w:ascii="宋体" w:hAnsi="宋体"/>
          <w:kern w:val="2"/>
          <w:sz w:val="24"/>
          <w:szCs w:val="24"/>
        </w:rPr>
        <w:t>*</w:t>
      </w:r>
      <w:r>
        <w:rPr>
          <w:rFonts w:ascii="宋体" w:hAnsi="宋体" w:eastAsia="宋体"/>
          <w:kern w:val="2"/>
          <w:sz w:val="24"/>
          <w:szCs w:val="24"/>
        </w:rPr>
        <w:t>第三产业单位增加值能耗</w:t>
      </w:r>
      <w:r>
        <w:rPr>
          <w:rFonts w:eastAsia="宋体" w:ascii="宋体" w:hAnsi="宋体"/>
          <w:kern w:val="2"/>
          <w:sz w:val="24"/>
          <w:szCs w:val="24"/>
        </w:rPr>
        <w:t>+</w:t>
      </w: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生</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活能耗比重。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其中：</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第一产业增加值权重</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总增加值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第二产业增加值权重</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w:t>
      </w:r>
      <w:r>
        <w:rPr>
          <w:rFonts w:ascii="宋体" w:hAnsi="宋体" w:eastAsia="宋体"/>
          <w:kern w:val="2"/>
          <w:sz w:val="24"/>
          <w:szCs w:val="24"/>
        </w:rPr>
        <w:t>总增加值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第三产业增加值权重</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w:t>
      </w:r>
      <w:r>
        <w:rPr>
          <w:rFonts w:ascii="宋体" w:hAnsi="宋体" w:eastAsia="宋体"/>
          <w:kern w:val="2"/>
          <w:sz w:val="24"/>
          <w:szCs w:val="24"/>
        </w:rPr>
        <w:t>总增加值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上式等号两侧均有“单位</w:t>
      </w:r>
      <w:r>
        <w:rPr>
          <w:rFonts w:eastAsia="宋体" w:ascii="宋体" w:hAnsi="宋体"/>
          <w:kern w:val="2"/>
          <w:sz w:val="24"/>
          <w:szCs w:val="24"/>
        </w:rPr>
        <w:t>GDP</w:t>
      </w:r>
      <w:r>
        <w:rPr>
          <w:rFonts w:ascii="宋体" w:hAnsi="宋体" w:eastAsia="宋体"/>
          <w:kern w:val="2"/>
          <w:sz w:val="24"/>
          <w:szCs w:val="24"/>
        </w:rPr>
        <w:t>能耗”项，移项整理后，得：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（第一产业增加值权重</w:t>
      </w:r>
      <w:r>
        <w:rPr>
          <w:rFonts w:eastAsia="宋体" w:ascii="宋体" w:hAnsi="宋体"/>
          <w:kern w:val="2"/>
          <w:sz w:val="24"/>
          <w:szCs w:val="24"/>
        </w:rPr>
        <w:t>*</w:t>
      </w:r>
      <w:r>
        <w:rPr>
          <w:rFonts w:ascii="宋体" w:hAnsi="宋体" w:eastAsia="宋体"/>
          <w:kern w:val="2"/>
          <w:sz w:val="24"/>
          <w:szCs w:val="24"/>
        </w:rPr>
        <w:t>第一产业单位增加值能耗</w:t>
      </w:r>
      <w:r>
        <w:rPr>
          <w:rFonts w:eastAsia="宋体" w:ascii="宋体" w:hAnsi="宋体"/>
          <w:kern w:val="2"/>
          <w:sz w:val="24"/>
          <w:szCs w:val="24"/>
        </w:rPr>
        <w:t>+</w:t>
      </w:r>
      <w:r>
        <w:rPr>
          <w:rFonts w:ascii="宋体" w:hAnsi="宋体" w:eastAsia="宋体"/>
          <w:kern w:val="2"/>
          <w:sz w:val="24"/>
          <w:szCs w:val="24"/>
        </w:rPr>
        <w:t>第二产业增加值权重</w:t>
      </w:r>
      <w:r>
        <w:rPr>
          <w:rFonts w:eastAsia="宋体" w:ascii="宋体" w:hAnsi="宋体"/>
          <w:kern w:val="2"/>
          <w:sz w:val="24"/>
          <w:szCs w:val="24"/>
        </w:rPr>
        <w:t>*</w:t>
      </w:r>
      <w:r>
        <w:rPr>
          <w:rFonts w:ascii="宋体" w:hAnsi="宋体" w:eastAsia="宋体"/>
          <w:kern w:val="2"/>
          <w:sz w:val="24"/>
          <w:szCs w:val="24"/>
        </w:rPr>
        <w:t>第二产业单位增加值能耗</w:t>
      </w:r>
      <w:r>
        <w:rPr>
          <w:rFonts w:eastAsia="宋体" w:ascii="宋体" w:hAnsi="宋体"/>
          <w:kern w:val="2"/>
          <w:sz w:val="24"/>
          <w:szCs w:val="24"/>
        </w:rPr>
        <w:t>+</w:t>
      </w:r>
      <w:r>
        <w:rPr>
          <w:rFonts w:ascii="宋体" w:hAnsi="宋体" w:eastAsia="宋体"/>
          <w:kern w:val="2"/>
          <w:sz w:val="24"/>
          <w:szCs w:val="24"/>
        </w:rPr>
        <w:t>第三产业增加值权重</w:t>
      </w:r>
      <w:r>
        <w:rPr>
          <w:rFonts w:eastAsia="宋体" w:ascii="宋体" w:hAnsi="宋体"/>
          <w:kern w:val="2"/>
          <w:sz w:val="24"/>
          <w:szCs w:val="24"/>
        </w:rPr>
        <w:t>*</w:t>
      </w:r>
      <w:r>
        <w:rPr>
          <w:rFonts w:ascii="宋体" w:hAnsi="宋体" w:eastAsia="宋体"/>
          <w:kern w:val="2"/>
          <w:sz w:val="24"/>
          <w:szCs w:val="24"/>
        </w:rPr>
        <w:t>第三产业单位增加值能耗）</w:t>
      </w:r>
      <w:r>
        <w:rPr>
          <w:rFonts w:eastAsia="宋体" w:ascii="宋体" w:hAnsi="宋体"/>
          <w:kern w:val="2"/>
          <w:sz w:val="24"/>
          <w:szCs w:val="24"/>
        </w:rPr>
        <w:t>/</w:t>
      </w: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生活能耗比重）。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《意见》中明确，到</w:t>
      </w:r>
      <w:r>
        <w:rPr>
          <w:rFonts w:eastAsia="宋体" w:ascii="宋体" w:hAnsi="宋体"/>
          <w:kern w:val="2"/>
          <w:sz w:val="24"/>
          <w:szCs w:val="24"/>
        </w:rPr>
        <w:t>2025</w:t>
      </w:r>
      <w:r>
        <w:rPr>
          <w:rFonts w:ascii="宋体" w:hAnsi="宋体" w:eastAsia="宋体"/>
          <w:kern w:val="2"/>
          <w:sz w:val="24"/>
          <w:szCs w:val="24"/>
        </w:rPr>
        <w:t>年，重点行业能源利用效率大幅提升，单位</w:t>
      </w:r>
      <w:r>
        <w:rPr>
          <w:rFonts w:eastAsia="宋体" w:ascii="宋体" w:hAnsi="宋体"/>
          <w:kern w:val="2"/>
          <w:sz w:val="24"/>
          <w:szCs w:val="24"/>
        </w:rPr>
        <w:t>GDP</w:t>
      </w:r>
      <w:r>
        <w:rPr>
          <w:rFonts w:ascii="宋体" w:hAnsi="宋体" w:eastAsia="宋体"/>
          <w:kern w:val="2"/>
          <w:sz w:val="24"/>
          <w:szCs w:val="24"/>
        </w:rPr>
        <w:t>能耗比</w:t>
      </w:r>
      <w:r>
        <w:rPr>
          <w:rFonts w:eastAsia="宋体" w:ascii="宋体" w:hAnsi="宋体"/>
          <w:kern w:val="2"/>
          <w:sz w:val="24"/>
          <w:szCs w:val="24"/>
        </w:rPr>
        <w:t>2020</w:t>
      </w:r>
      <w:r>
        <w:rPr>
          <w:rFonts w:ascii="宋体" w:hAnsi="宋体" w:eastAsia="宋体"/>
          <w:kern w:val="2"/>
          <w:sz w:val="24"/>
          <w:szCs w:val="24"/>
        </w:rPr>
        <w:t>年下降</w:t>
      </w:r>
      <w:r>
        <w:rPr>
          <w:rFonts w:eastAsia="宋体" w:ascii="宋体" w:hAnsi="宋体"/>
          <w:kern w:val="2"/>
          <w:sz w:val="24"/>
          <w:szCs w:val="24"/>
        </w:rPr>
        <w:t>13.5%</w:t>
      </w:r>
      <w:r>
        <w:rPr>
          <w:rFonts w:ascii="宋体" w:hAnsi="宋体" w:eastAsia="宋体"/>
          <w:kern w:val="2"/>
          <w:sz w:val="24"/>
          <w:szCs w:val="24"/>
        </w:rPr>
        <w:t>；到</w:t>
      </w:r>
      <w:r>
        <w:rPr>
          <w:rFonts w:eastAsia="宋体" w:ascii="宋体" w:hAnsi="宋体"/>
          <w:kern w:val="2"/>
          <w:sz w:val="24"/>
          <w:szCs w:val="24"/>
        </w:rPr>
        <w:t>2030</w:t>
      </w:r>
      <w:r>
        <w:rPr>
          <w:rFonts w:ascii="宋体" w:hAnsi="宋体" w:eastAsia="宋体"/>
          <w:kern w:val="2"/>
          <w:sz w:val="24"/>
          <w:szCs w:val="24"/>
        </w:rPr>
        <w:t>年，重点耗能行业能源利用效率达到国际先进水平；到</w:t>
      </w:r>
      <w:r>
        <w:rPr>
          <w:rFonts w:eastAsia="宋体" w:ascii="宋体" w:hAnsi="宋体"/>
          <w:kern w:val="2"/>
          <w:sz w:val="24"/>
          <w:szCs w:val="24"/>
        </w:rPr>
        <w:t>2060</w:t>
      </w:r>
      <w:r>
        <w:rPr>
          <w:rFonts w:ascii="宋体" w:hAnsi="宋体" w:eastAsia="宋体"/>
          <w:kern w:val="2"/>
          <w:sz w:val="24"/>
          <w:szCs w:val="24"/>
        </w:rPr>
        <w:t>年，能源利用效率达到国际先进水平。</w:t>
      </w:r>
    </w:p>
    <w:p>
      <w:pPr>
        <w:pStyle w:val="Normal"/>
        <w:spacing w:lineRule="exact" w:line="400"/>
        <w:rPr>
          <w:rFonts w:ascii="宋体" w:hAnsi="宋体" w:eastAsia="宋体"/>
          <w:kern w:val="2"/>
          <w:sz w:val="24"/>
          <w:szCs w:val="24"/>
        </w:rPr>
      </w:pPr>
      <w:r>
        <w:rPr>
          <w:rFonts w:eastAsia="宋体" w:ascii="宋体" w:hAnsi="宋体"/>
          <w:kern w:val="2"/>
          <w:sz w:val="24"/>
          <w:szCs w:val="24"/>
        </w:rPr>
        <w:t>8</w:t>
      </w: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与人均能耗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人均能耗</w:t>
      </w:r>
      <w:r>
        <w:rPr>
          <w:rFonts w:eastAsia="宋体" w:ascii="宋体" w:hAnsi="宋体"/>
          <w:kern w:val="2"/>
          <w:sz w:val="24"/>
          <w:szCs w:val="24"/>
        </w:rPr>
        <w:t>/</w:t>
      </w: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w:t>
      </w:r>
    </w:p>
    <w:p>
      <w:pPr>
        <w:pStyle w:val="Normal"/>
        <w:spacing w:lineRule="exact" w:line="400"/>
        <w:rPr>
          <w:rFonts w:ascii="宋体" w:hAnsi="宋体" w:eastAsia="宋体"/>
          <w:kern w:val="2"/>
          <w:sz w:val="24"/>
          <w:szCs w:val="24"/>
        </w:rPr>
      </w:pPr>
      <w:r>
        <w:rPr>
          <w:rFonts w:eastAsia="宋体" w:ascii="宋体" w:hAnsi="宋体"/>
          <w:kern w:val="2"/>
          <w:sz w:val="24"/>
          <w:szCs w:val="24"/>
        </w:rPr>
        <w:t>9</w:t>
      </w:r>
      <w:r>
        <w:rPr>
          <w:rFonts w:ascii="宋体" w:hAnsi="宋体" w:eastAsia="宋体"/>
          <w:kern w:val="2"/>
          <w:sz w:val="24"/>
          <w:szCs w:val="24"/>
        </w:rPr>
        <w:t>、生态碳汇与工程碳汇</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碳汇是指消纳二氧化碳的能力，碳汇包含生态碳汇和工程碳汇两种类型。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生态碳汇是指森林和湿地等自然资源形成的碳汇，工程碳汇是指通过二氧化</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碳捕集、利用与储存（</w:t>
      </w:r>
      <w:r>
        <w:rPr>
          <w:rFonts w:eastAsia="宋体" w:ascii="宋体" w:hAnsi="宋体"/>
          <w:kern w:val="2"/>
          <w:sz w:val="24"/>
          <w:szCs w:val="24"/>
        </w:rPr>
        <w:t>CCUS</w:t>
      </w:r>
      <w:r>
        <w:rPr>
          <w:rFonts w:ascii="宋体" w:hAnsi="宋体" w:eastAsia="宋体"/>
          <w:kern w:val="2"/>
          <w:sz w:val="24"/>
          <w:szCs w:val="24"/>
        </w:rPr>
        <w:t>）等工程手段形成的碳汇。</w:t>
      </w:r>
    </w:p>
    <w:p>
      <w:pPr>
        <w:pStyle w:val="Normal"/>
        <w:spacing w:lineRule="exact" w:line="400"/>
        <w:rPr>
          <w:rFonts w:ascii="宋体" w:hAnsi="宋体" w:eastAsia="宋体"/>
          <w:kern w:val="2"/>
          <w:sz w:val="24"/>
          <w:szCs w:val="24"/>
        </w:rPr>
      </w:pPr>
      <w:r>
        <w:rPr>
          <w:rFonts w:eastAsia="宋体" w:ascii="宋体" w:hAnsi="宋体"/>
          <w:kern w:val="2"/>
          <w:sz w:val="24"/>
          <w:szCs w:val="24"/>
        </w:rPr>
        <w:t>10</w:t>
      </w:r>
      <w:r>
        <w:rPr>
          <w:rFonts w:ascii="宋体" w:hAnsi="宋体" w:eastAsia="宋体"/>
          <w:kern w:val="2"/>
          <w:sz w:val="24"/>
          <w:szCs w:val="24"/>
        </w:rPr>
        <w:t>、碳达峰与碳中和</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基于</w:t>
      </w:r>
      <w:r>
        <w:rPr>
          <w:rFonts w:eastAsia="宋体" w:ascii="宋体" w:hAnsi="宋体"/>
          <w:kern w:val="2"/>
          <w:sz w:val="24"/>
          <w:szCs w:val="24"/>
        </w:rPr>
        <w:t>Kaya</w:t>
      </w:r>
      <w:r>
        <w:rPr>
          <w:rFonts w:ascii="宋体" w:hAnsi="宋体" w:eastAsia="宋体"/>
          <w:kern w:val="2"/>
          <w:sz w:val="24"/>
          <w:szCs w:val="24"/>
        </w:rPr>
        <w:t>模型，有如下关系：</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CO2=P * GDP/P * E/GDP * CO2/E</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式中，</w:t>
      </w:r>
      <w:r>
        <w:rPr>
          <w:rFonts w:eastAsia="宋体" w:ascii="宋体" w:hAnsi="宋体"/>
          <w:kern w:val="2"/>
          <w:sz w:val="24"/>
          <w:szCs w:val="24"/>
        </w:rPr>
        <w:t>CO2</w:t>
      </w:r>
      <w:r>
        <w:rPr>
          <w:rFonts w:ascii="宋体" w:hAnsi="宋体" w:eastAsia="宋体"/>
          <w:kern w:val="2"/>
          <w:sz w:val="24"/>
          <w:szCs w:val="24"/>
        </w:rPr>
        <w:t>是二氧化碳排放量；</w:t>
      </w:r>
      <w:r>
        <w:rPr>
          <w:rFonts w:eastAsia="宋体" w:ascii="宋体" w:hAnsi="宋体"/>
          <w:kern w:val="2"/>
          <w:sz w:val="24"/>
          <w:szCs w:val="24"/>
        </w:rPr>
        <w:t>P</w:t>
      </w:r>
      <w:r>
        <w:rPr>
          <w:rFonts w:ascii="宋体" w:hAnsi="宋体" w:eastAsia="宋体"/>
          <w:kern w:val="2"/>
          <w:sz w:val="24"/>
          <w:szCs w:val="24"/>
        </w:rPr>
        <w:t>是人口；</w:t>
      </w:r>
      <w:r>
        <w:rPr>
          <w:rFonts w:eastAsia="宋体" w:ascii="宋体" w:hAnsi="宋体"/>
          <w:kern w:val="2"/>
          <w:sz w:val="24"/>
          <w:szCs w:val="24"/>
        </w:rPr>
        <w:t>GDP/P</w:t>
      </w:r>
      <w:r>
        <w:rPr>
          <w:rFonts w:ascii="宋体" w:hAnsi="宋体" w:eastAsia="宋体"/>
          <w:kern w:val="2"/>
          <w:sz w:val="24"/>
          <w:szCs w:val="24"/>
        </w:rPr>
        <w:t>是人均</w:t>
      </w:r>
      <w:r>
        <w:rPr>
          <w:rFonts w:eastAsia="宋体" w:ascii="宋体" w:hAnsi="宋体"/>
          <w:kern w:val="2"/>
          <w:sz w:val="24"/>
          <w:szCs w:val="24"/>
        </w:rPr>
        <w:t>GDP</w:t>
      </w:r>
      <w:r>
        <w:rPr>
          <w:rFonts w:ascii="宋体" w:hAnsi="宋体" w:eastAsia="宋体"/>
          <w:kern w:val="2"/>
          <w:sz w:val="24"/>
          <w:szCs w:val="24"/>
        </w:rPr>
        <w:t>；</w:t>
      </w:r>
      <w:r>
        <w:rPr>
          <w:rFonts w:eastAsia="宋体" w:ascii="宋体" w:hAnsi="宋体"/>
          <w:kern w:val="2"/>
          <w:sz w:val="24"/>
          <w:szCs w:val="24"/>
        </w:rPr>
        <w:t>E/GDP</w:t>
      </w:r>
      <w:r>
        <w:rPr>
          <w:rFonts w:ascii="宋体" w:hAnsi="宋体" w:eastAsia="宋体"/>
          <w:kern w:val="2"/>
          <w:sz w:val="24"/>
          <w:szCs w:val="24"/>
        </w:rPr>
        <w:t>是单位</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CO2/E</w:t>
      </w:r>
      <w:r>
        <w:rPr>
          <w:rFonts w:ascii="宋体" w:hAnsi="宋体" w:eastAsia="宋体"/>
          <w:kern w:val="2"/>
          <w:sz w:val="24"/>
          <w:szCs w:val="24"/>
        </w:rPr>
        <w:t>是单位能耗二氧化碳排放量。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上式取对数对时间求偏导数</w:t>
      </w:r>
      <w:r>
        <w:rPr>
          <w:rFonts w:eastAsia="宋体" w:ascii="宋体" w:hAnsi="宋体"/>
          <w:kern w:val="2"/>
          <w:sz w:val="24"/>
          <w:szCs w:val="24"/>
          <w:vertAlign w:val="superscript"/>
        </w:rPr>
        <w:t>[1]</w:t>
      </w:r>
      <w:r>
        <w:rPr>
          <w:rFonts w:ascii="宋体" w:hAnsi="宋体" w:eastAsia="宋体"/>
          <w:kern w:val="2"/>
          <w:sz w:val="24"/>
          <w:szCs w:val="24"/>
        </w:rPr>
        <w:t>，有：</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δCO2=δP+δGDP/P+δE/GDP+δCO2/E</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式中，</w:t>
      </w:r>
      <w:r>
        <w:rPr>
          <w:rFonts w:eastAsia="宋体" w:ascii="宋体" w:hAnsi="宋体"/>
          <w:kern w:val="2"/>
          <w:sz w:val="24"/>
          <w:szCs w:val="24"/>
        </w:rPr>
        <w:t>δX</w:t>
      </w:r>
      <w:r>
        <w:rPr>
          <w:rFonts w:ascii="宋体" w:hAnsi="宋体" w:eastAsia="宋体"/>
          <w:kern w:val="2"/>
          <w:sz w:val="24"/>
          <w:szCs w:val="24"/>
        </w:rPr>
        <w:t>是参量</w:t>
      </w:r>
      <w:r>
        <w:rPr>
          <w:rFonts w:eastAsia="宋体" w:ascii="宋体" w:hAnsi="宋体"/>
          <w:kern w:val="2"/>
          <w:sz w:val="24"/>
          <w:szCs w:val="24"/>
        </w:rPr>
        <w:t>X</w:t>
      </w:r>
      <w:r>
        <w:rPr>
          <w:rFonts w:ascii="宋体" w:hAnsi="宋体" w:eastAsia="宋体"/>
          <w:kern w:val="2"/>
          <w:sz w:val="24"/>
          <w:szCs w:val="24"/>
        </w:rPr>
        <w:t>对某基准年的相对变化率。</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碳达峰是指碳排放量不再增长。碳达峰的要求是：</w:t>
      </w:r>
      <w:r>
        <w:rPr>
          <w:rFonts w:eastAsia="宋体" w:ascii="宋体" w:hAnsi="宋体"/>
          <w:kern w:val="2"/>
          <w:sz w:val="24"/>
          <w:szCs w:val="24"/>
        </w:rPr>
        <w:t>δCO2=0</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碳中和是指碳排放量与碳汇（生态碳汇</w:t>
      </w:r>
      <w:r>
        <w:rPr>
          <w:rFonts w:eastAsia="宋体" w:ascii="宋体" w:hAnsi="宋体"/>
          <w:kern w:val="2"/>
          <w:sz w:val="24"/>
          <w:szCs w:val="24"/>
        </w:rPr>
        <w:t>+</w:t>
      </w:r>
      <w:r>
        <w:rPr>
          <w:rFonts w:ascii="宋体" w:hAnsi="宋体" w:eastAsia="宋体"/>
          <w:kern w:val="2"/>
          <w:sz w:val="24"/>
          <w:szCs w:val="24"/>
        </w:rPr>
        <w:t>工程碳汇</w:t>
      </w:r>
      <w:r>
        <w:rPr>
          <w:rFonts w:eastAsia="宋体" w:ascii="宋体" w:hAnsi="宋体"/>
          <w:kern w:val="2"/>
          <w:sz w:val="24"/>
          <w:szCs w:val="24"/>
        </w:rPr>
        <w:t>+</w:t>
      </w:r>
      <w:r>
        <w:rPr>
          <w:rFonts w:ascii="宋体" w:hAnsi="宋体" w:eastAsia="宋体"/>
          <w:kern w:val="2"/>
          <w:sz w:val="24"/>
          <w:szCs w:val="24"/>
        </w:rPr>
        <w:t>碳交易）消纳量相平衡。</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碳中和的要求是：</w:t>
      </w:r>
      <w:r>
        <w:rPr>
          <w:rFonts w:eastAsia="宋体" w:ascii="宋体" w:hAnsi="宋体"/>
          <w:kern w:val="2"/>
          <w:sz w:val="24"/>
          <w:szCs w:val="24"/>
        </w:rPr>
        <w:t>δCO2&lt;&lt;0</w:t>
      </w:r>
      <w:r>
        <w:rPr>
          <w:rFonts w:ascii="宋体" w:hAnsi="宋体" w:eastAsia="宋体"/>
          <w:kern w:val="2"/>
          <w:sz w:val="24"/>
          <w:szCs w:val="24"/>
        </w:rPr>
        <w:t>，在《意见》中要求：非化石能源消费比重</w:t>
      </w:r>
      <w:r>
        <w:rPr>
          <w:rFonts w:eastAsia="宋体" w:ascii="宋体" w:hAnsi="宋体"/>
          <w:kern w:val="2"/>
          <w:sz w:val="24"/>
          <w:szCs w:val="24"/>
        </w:rPr>
        <w:t>&gt;80%</w:t>
      </w:r>
      <w:r>
        <w:rPr>
          <w:rFonts w:ascii="宋体" w:hAnsi="宋体" w:eastAsia="宋体"/>
          <w:kern w:val="2"/>
          <w:sz w:val="24"/>
          <w:szCs w:val="24"/>
        </w:rPr>
        <w:t>。</w:t>
      </w:r>
    </w:p>
    <w:p>
      <w:pPr>
        <w:pStyle w:val="Normal"/>
        <w:spacing w:lineRule="exact" w:line="400"/>
        <w:rPr>
          <w:rFonts w:ascii="宋体" w:hAnsi="宋体" w:eastAsia="宋体"/>
          <w:kern w:val="2"/>
          <w:sz w:val="24"/>
          <w:szCs w:val="24"/>
        </w:rPr>
      </w:pPr>
      <w:r>
        <w:rPr>
          <w:rFonts w:eastAsia="宋体" w:ascii="宋体" w:hAnsi="宋体"/>
          <w:kern w:val="2"/>
          <w:sz w:val="24"/>
          <w:szCs w:val="24"/>
        </w:rPr>
        <w:t>11</w:t>
      </w:r>
      <w:r>
        <w:rPr>
          <w:rFonts w:ascii="宋体" w:hAnsi="宋体" w:eastAsia="宋体"/>
          <w:kern w:val="2"/>
          <w:sz w:val="24"/>
          <w:szCs w:val="24"/>
        </w:rPr>
        <w:t>、间接碳排放统计口径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依据谁消费谁负责的原则，能源供应部门产生的碳排放，将按照电力和热力的消费份额被折算至工业，建筑，交通，生活和农业等能源消费部门，即能源消费部门的碳排放既包含化石能源消费所产生的直接碳排放，也包含电力和热力消费所产生的间接碳排放。但能源供应部门依然负有电力和热力碳减排的责任，亦即，同样需要对能源供应部门做碳排放的历史数据分析和未来趋势预测，在分析其碳排放状况的同时，也为能源消费部门的间接碳排放提供数据支撑。</w:t>
      </w:r>
    </w:p>
    <w:p>
      <w:pPr>
        <w:pStyle w:val="Normal"/>
        <w:spacing w:before="156" w:after="156"/>
        <w:rPr>
          <w:rFonts w:ascii="宋体" w:hAnsi="宋体" w:eastAsia="宋体"/>
          <w:b/>
          <w:b/>
          <w:bCs/>
          <w:sz w:val="24"/>
          <w:szCs w:val="24"/>
        </w:rPr>
      </w:pPr>
      <w:r>
        <w:rPr>
          <w:rFonts w:ascii="宋体" w:hAnsi="宋体" w:eastAsia="宋体"/>
          <w:b/>
          <w:bCs/>
          <w:sz w:val="24"/>
          <w:szCs w:val="24"/>
        </w:rPr>
        <w:t>四、成果要求</w:t>
      </w:r>
    </w:p>
    <w:p>
      <w:pPr>
        <w:pStyle w:val="Normal"/>
        <w:spacing w:lineRule="exact" w:line="400"/>
        <w:rPr>
          <w:rFonts w:ascii="宋体" w:hAnsi="宋体" w:eastAsia="宋体"/>
          <w:kern w:val="2"/>
          <w:sz w:val="24"/>
          <w:szCs w:val="24"/>
        </w:rPr>
      </w:pPr>
      <w:r>
        <w:rPr>
          <w:rFonts w:eastAsia="宋体" w:ascii="宋体" w:hAnsi="宋体"/>
          <w:kern w:val="2"/>
          <w:sz w:val="24"/>
          <w:szCs w:val="24"/>
        </w:rPr>
        <w:t>1</w:t>
      </w:r>
      <w:r>
        <w:rPr>
          <w:rFonts w:ascii="宋体" w:hAnsi="宋体" w:eastAsia="宋体"/>
          <w:kern w:val="2"/>
          <w:sz w:val="24"/>
          <w:szCs w:val="24"/>
        </w:rPr>
        <w:t>、建立完整的数学模型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模型所用变量和参数都需要解释清楚。所有变量、参数和记号都必须通篇前后一致。</w:t>
      </w:r>
    </w:p>
    <w:p>
      <w:pPr>
        <w:pStyle w:val="Normal"/>
        <w:spacing w:lineRule="exact" w:line="400"/>
        <w:rPr>
          <w:rFonts w:ascii="宋体" w:hAnsi="宋体" w:eastAsia="宋体"/>
          <w:kern w:val="2"/>
          <w:sz w:val="24"/>
          <w:szCs w:val="24"/>
        </w:rPr>
      </w:pPr>
      <w:r>
        <w:rPr>
          <w:rFonts w:eastAsia="宋体" w:ascii="宋体" w:hAnsi="宋体"/>
          <w:kern w:val="2"/>
          <w:sz w:val="24"/>
          <w:szCs w:val="24"/>
        </w:rPr>
        <w:t>2</w:t>
      </w:r>
      <w:r>
        <w:rPr>
          <w:rFonts w:ascii="宋体" w:hAnsi="宋体" w:eastAsia="宋体"/>
          <w:kern w:val="2"/>
          <w:sz w:val="24"/>
          <w:szCs w:val="24"/>
        </w:rPr>
        <w:t>、根据模型设计求解算法</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模型和算法是两个独立的概念。提交的论文必须对数学模型的特点进行分析，包括模型的规模和结构，求解的难易，等等；</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pPr>
        <w:pStyle w:val="Normal"/>
        <w:spacing w:lineRule="exact" w:line="400"/>
        <w:rPr>
          <w:rFonts w:ascii="宋体" w:hAnsi="宋体" w:eastAsia="宋体"/>
          <w:kern w:val="2"/>
          <w:sz w:val="24"/>
          <w:szCs w:val="24"/>
        </w:rPr>
      </w:pPr>
      <w:r>
        <w:rPr>
          <w:rFonts w:eastAsia="宋体" w:ascii="宋体" w:hAnsi="宋体"/>
          <w:kern w:val="2"/>
          <w:sz w:val="24"/>
          <w:szCs w:val="24"/>
        </w:rPr>
        <w:t>3</w:t>
      </w:r>
      <w:r>
        <w:rPr>
          <w:rFonts w:ascii="宋体" w:hAnsi="宋体" w:eastAsia="宋体"/>
          <w:kern w:val="2"/>
          <w:sz w:val="24"/>
          <w:szCs w:val="24"/>
        </w:rPr>
        <w:t>、编写程序算法，并使用给定数据进行求解</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程序编写可以按自己的专长选用高级语言或脚本语言，或多种方法的组合，求解器可以是商用、开源、自主开发，由参赛者根据自己的情况选择。</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程序必须模块化，结构要面向目标，注释清晰。</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参赛选手需要在正文附录中介绍程序和数据结构，引用的程序必须标明出处。</w:t>
      </w:r>
    </w:p>
    <w:p>
      <w:pPr>
        <w:pStyle w:val="Normal"/>
        <w:spacing w:before="156" w:after="156"/>
        <w:rPr>
          <w:rFonts w:ascii="宋体" w:hAnsi="宋体" w:eastAsia="宋体"/>
          <w:b/>
          <w:b/>
          <w:bCs/>
          <w:sz w:val="24"/>
          <w:szCs w:val="24"/>
        </w:rPr>
      </w:pPr>
      <w:r>
        <w:rPr>
          <w:rFonts w:ascii="宋体" w:hAnsi="宋体" w:eastAsia="宋体"/>
          <w:b/>
          <w:bCs/>
          <w:sz w:val="24"/>
          <w:szCs w:val="24"/>
        </w:rPr>
        <w:t>五、数据说明</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本赛题涉及区域假定位于中国东南沿海，地势平坦，水陆交通便利，人口密集，经济发达，科教资源丰富，但能源及生态碳汇资源相对匮乏。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本赛题提供某区域历史数据如下：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时间范围：</w:t>
      </w:r>
      <w:r>
        <w:rPr>
          <w:rFonts w:eastAsia="宋体" w:ascii="宋体" w:hAnsi="宋体"/>
          <w:kern w:val="2"/>
          <w:sz w:val="24"/>
          <w:szCs w:val="24"/>
        </w:rPr>
        <w:t>2010-2020</w:t>
      </w:r>
      <w:r>
        <w:rPr>
          <w:rFonts w:ascii="宋体" w:hAnsi="宋体" w:eastAsia="宋体"/>
          <w:kern w:val="2"/>
          <w:sz w:val="24"/>
          <w:szCs w:val="24"/>
        </w:rPr>
        <w:t>年（历史数据的基期是</w:t>
      </w:r>
      <w:r>
        <w:rPr>
          <w:rFonts w:eastAsia="宋体" w:ascii="宋体" w:hAnsi="宋体"/>
          <w:kern w:val="2"/>
          <w:sz w:val="24"/>
          <w:szCs w:val="24"/>
        </w:rPr>
        <w:t>2010</w:t>
      </w:r>
      <w:r>
        <w:rPr>
          <w:rFonts w:ascii="宋体" w:hAnsi="宋体" w:eastAsia="宋体"/>
          <w:kern w:val="2"/>
          <w:sz w:val="24"/>
          <w:szCs w:val="24"/>
        </w:rPr>
        <w:t>年，十二五时期为</w:t>
      </w:r>
      <w:r>
        <w:rPr>
          <w:rFonts w:eastAsia="宋体" w:ascii="宋体" w:hAnsi="宋体"/>
          <w:kern w:val="2"/>
          <w:sz w:val="24"/>
          <w:szCs w:val="24"/>
        </w:rPr>
        <w:t>2011-2015</w:t>
      </w:r>
      <w:r>
        <w:rPr>
          <w:rFonts w:ascii="宋体" w:hAnsi="宋体" w:eastAsia="宋体"/>
          <w:kern w:val="2"/>
          <w:sz w:val="24"/>
          <w:szCs w:val="24"/>
        </w:rPr>
        <w:t>年；十三五时期为</w:t>
      </w:r>
      <w:r>
        <w:rPr>
          <w:rFonts w:eastAsia="宋体" w:ascii="宋体" w:hAnsi="宋体"/>
          <w:kern w:val="2"/>
          <w:sz w:val="24"/>
          <w:szCs w:val="24"/>
        </w:rPr>
        <w:t>2016-2020</w:t>
      </w:r>
      <w:r>
        <w:rPr>
          <w:rFonts w:ascii="宋体" w:hAnsi="宋体" w:eastAsia="宋体"/>
          <w:kern w:val="2"/>
          <w:sz w:val="24"/>
          <w:szCs w:val="24"/>
        </w:rPr>
        <w:t>年）。</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数据格式：本赛题给出了图片格式数据附表，同时以独立文件的形式给出了</w:t>
      </w:r>
      <w:r>
        <w:rPr>
          <w:rFonts w:eastAsia="宋体" w:ascii="宋体" w:hAnsi="宋体"/>
          <w:kern w:val="2"/>
          <w:sz w:val="24"/>
          <w:szCs w:val="24"/>
        </w:rPr>
        <w:t>excel</w:t>
      </w:r>
      <w:r>
        <w:rPr>
          <w:rFonts w:ascii="宋体" w:hAnsi="宋体" w:eastAsia="宋体"/>
          <w:kern w:val="2"/>
          <w:sz w:val="24"/>
          <w:szCs w:val="24"/>
        </w:rPr>
        <w:t>格式的数据文件，供参赛同学编辑使用。</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数据内容：</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）人口；</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）总产值（</w:t>
      </w:r>
      <w:r>
        <w:rPr>
          <w:rFonts w:eastAsia="宋体" w:ascii="宋体" w:hAnsi="宋体"/>
          <w:kern w:val="2"/>
          <w:sz w:val="24"/>
          <w:szCs w:val="24"/>
        </w:rPr>
        <w:t>GDP</w:t>
      </w:r>
      <w:r>
        <w:rPr>
          <w:rFonts w:ascii="宋体" w:hAnsi="宋体" w:eastAsia="宋体"/>
          <w:kern w:val="2"/>
          <w:sz w:val="24"/>
          <w:szCs w:val="24"/>
        </w:rPr>
        <w:t>）及三次产业与部门的产值分布；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3</w:t>
      </w:r>
      <w:r>
        <w:rPr>
          <w:rFonts w:ascii="宋体" w:hAnsi="宋体" w:eastAsia="宋体"/>
          <w:kern w:val="2"/>
          <w:sz w:val="24"/>
          <w:szCs w:val="24"/>
        </w:rPr>
        <w:t>）总能耗及三次产业与部门的能耗分布；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4</w:t>
      </w:r>
      <w:r>
        <w:rPr>
          <w:rFonts w:ascii="宋体" w:hAnsi="宋体" w:eastAsia="宋体"/>
          <w:kern w:val="2"/>
          <w:sz w:val="24"/>
          <w:szCs w:val="24"/>
        </w:rPr>
        <w:t>）总能耗及化石能源与非化石能源品种分布；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5</w:t>
      </w:r>
      <w:r>
        <w:rPr>
          <w:rFonts w:ascii="宋体" w:hAnsi="宋体" w:eastAsia="宋体"/>
          <w:kern w:val="2"/>
          <w:sz w:val="24"/>
          <w:szCs w:val="24"/>
        </w:rPr>
        <w:t>）能源消费的三次产业与部门的品种结构；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6</w:t>
      </w:r>
      <w:r>
        <w:rPr>
          <w:rFonts w:ascii="宋体" w:hAnsi="宋体" w:eastAsia="宋体"/>
          <w:kern w:val="2"/>
          <w:sz w:val="24"/>
          <w:szCs w:val="24"/>
        </w:rPr>
        <w:t>）碳排放量总量及产业与部门的分布；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7</w:t>
      </w:r>
      <w:r>
        <w:rPr>
          <w:rFonts w:ascii="宋体" w:hAnsi="宋体" w:eastAsia="宋体"/>
          <w:kern w:val="2"/>
          <w:sz w:val="24"/>
          <w:szCs w:val="24"/>
        </w:rPr>
        <w:t>）碳排放量的三次产业与部门的能源品种结构；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8</w:t>
      </w:r>
      <w:r>
        <w:rPr>
          <w:rFonts w:ascii="宋体" w:hAnsi="宋体" w:eastAsia="宋体"/>
          <w:kern w:val="2"/>
          <w:sz w:val="24"/>
          <w:szCs w:val="24"/>
        </w:rPr>
        <w:t>）碳排放量相关各类能源的碳排放因子。</w:t>
      </w:r>
    </w:p>
    <w:p>
      <w:pPr>
        <w:pStyle w:val="Normal"/>
        <w:widowControl/>
        <w:jc w:val="left"/>
        <w:rPr>
          <w:rFonts w:ascii="宋体" w:hAnsi="宋体" w:eastAsia="宋体"/>
          <w:kern w:val="2"/>
          <w:sz w:val="24"/>
          <w:szCs w:val="24"/>
        </w:rPr>
      </w:pPr>
      <w:r>
        <w:rPr>
          <w:rFonts w:eastAsia="宋体" w:ascii="宋体" w:hAnsi="宋体"/>
          <w:kern w:val="2"/>
          <w:sz w:val="24"/>
          <w:szCs w:val="24"/>
        </w:rPr>
      </w:r>
    </w:p>
    <w:p>
      <w:pPr>
        <w:pStyle w:val="Style20"/>
        <w:spacing w:before="156" w:after="156"/>
        <w:jc w:val="left"/>
        <w:rPr>
          <w:sz w:val="24"/>
          <w:szCs w:val="24"/>
        </w:rPr>
      </w:pPr>
      <w:r>
        <w:rPr>
          <w:sz w:val="24"/>
          <w:szCs w:val="24"/>
        </w:rPr>
        <w:t>参考文献</w:t>
      </w:r>
      <w:bookmarkStart w:id="3" w:name="_Ref79516831"/>
      <w:bookmarkEnd w:id="3"/>
    </w:p>
    <w:p>
      <w:pPr>
        <w:sectPr>
          <w:type w:val="nextPage"/>
          <w:pgSz w:w="11906" w:h="16838"/>
          <w:pgMar w:left="1800" w:right="1800" w:gutter="0" w:header="0" w:top="1440" w:footer="0" w:bottom="1440"/>
          <w:pgNumType w:fmt="decimal"/>
          <w:formProt w:val="false"/>
          <w:textDirection w:val="lrTb"/>
          <w:docGrid w:type="lines" w:linePitch="312" w:charSpace="0"/>
        </w:sectPr>
        <w:pStyle w:val="Normal"/>
        <w:numPr>
          <w:ilvl w:val="0"/>
          <w:numId w:val="1"/>
        </w:numPr>
        <w:rPr>
          <w:rFonts w:ascii="Times New Roman" w:hAnsi="Times New Roman" w:cs="Times New Roman"/>
          <w:color w:val="222222"/>
          <w:sz w:val="20"/>
          <w:szCs w:val="20"/>
          <w:shd w:fill="FFFFFF" w:val="clear"/>
        </w:rPr>
      </w:pPr>
      <w:r>
        <w:rPr>
          <w:rFonts w:ascii="Times New Roman" w:hAnsi="Times New Roman" w:cs="Times New Roman"/>
          <w:color w:val="222222"/>
          <w:sz w:val="20"/>
          <w:szCs w:val="20"/>
          <w:shd w:fill="FFFFFF" w:val="clear"/>
        </w:rPr>
        <w:t>唐杰等，基于</w:t>
      </w:r>
      <w:r>
        <w:rPr>
          <w:rFonts w:cs="Times New Roman" w:ascii="Times New Roman" w:hAnsi="Times New Roman"/>
          <w:color w:val="222222"/>
          <w:sz w:val="20"/>
          <w:szCs w:val="20"/>
          <w:shd w:fill="FFFFFF" w:val="clear"/>
        </w:rPr>
        <w:t>Kaya</w:t>
      </w:r>
      <w:r>
        <w:rPr>
          <w:rFonts w:ascii="Times New Roman" w:hAnsi="Times New Roman" w:cs="Times New Roman"/>
          <w:color w:val="222222"/>
          <w:sz w:val="20"/>
          <w:szCs w:val="20"/>
          <w:shd w:fill="FFFFFF" w:val="clear"/>
        </w:rPr>
        <w:t>模型的碳排放达峰实证研究</w:t>
      </w:r>
      <w:r>
        <w:rPr>
          <w:rFonts w:cs="Times New Roman" w:ascii="Times New Roman" w:hAnsi="Times New Roman"/>
          <w:color w:val="222222"/>
          <w:sz w:val="20"/>
          <w:szCs w:val="20"/>
          <w:shd w:fill="FFFFFF" w:val="clear"/>
        </w:rPr>
        <w:t>[J]</w:t>
      </w:r>
      <w:r>
        <w:rPr>
          <w:rFonts w:ascii="Times New Roman" w:hAnsi="Times New Roman" w:cs="Times New Roman"/>
          <w:color w:val="222222"/>
          <w:sz w:val="20"/>
          <w:szCs w:val="20"/>
          <w:shd w:fill="FFFFFF" w:val="clear"/>
        </w:rPr>
        <w:t>，深圳社会科学，第</w:t>
      </w:r>
      <w:r>
        <w:rPr>
          <w:rFonts w:cs="Times New Roman" w:ascii="Times New Roman" w:hAnsi="Times New Roman"/>
          <w:color w:val="222222"/>
          <w:sz w:val="20"/>
          <w:szCs w:val="20"/>
          <w:shd w:fill="FFFFFF" w:val="clear"/>
        </w:rPr>
        <w:t>5</w:t>
      </w:r>
      <w:r>
        <w:rPr>
          <w:rFonts w:ascii="Times New Roman" w:hAnsi="Times New Roman" w:cs="Times New Roman"/>
          <w:color w:val="222222"/>
          <w:sz w:val="20"/>
          <w:szCs w:val="20"/>
          <w:shd w:fill="FFFFFF" w:val="clear"/>
        </w:rPr>
        <w:t>卷第</w:t>
      </w:r>
      <w:r>
        <w:rPr>
          <w:rFonts w:cs="Times New Roman" w:ascii="Times New Roman" w:hAnsi="Times New Roman"/>
          <w:color w:val="222222"/>
          <w:sz w:val="20"/>
          <w:szCs w:val="20"/>
          <w:shd w:fill="FFFFFF" w:val="clear"/>
        </w:rPr>
        <w:t>3</w:t>
      </w:r>
      <w:r>
        <w:rPr>
          <w:rFonts w:ascii="Times New Roman" w:hAnsi="Times New Roman" w:cs="Times New Roman"/>
          <w:color w:val="222222"/>
          <w:sz w:val="20"/>
          <w:szCs w:val="20"/>
          <w:shd w:fill="FFFFFF" w:val="clear"/>
        </w:rPr>
        <w:t>期，</w:t>
      </w:r>
      <w:r>
        <w:rPr>
          <w:rFonts w:cs="Times New Roman" w:ascii="Times New Roman" w:hAnsi="Times New Roman"/>
          <w:color w:val="222222"/>
          <w:sz w:val="20"/>
          <w:szCs w:val="20"/>
          <w:shd w:fill="FFFFFF" w:val="clear"/>
        </w:rPr>
        <w:t>2022</w:t>
      </w:r>
      <w:r>
        <w:rPr>
          <w:rFonts w:ascii="Times New Roman" w:hAnsi="Times New Roman" w:cs="Times New Roman"/>
          <w:color w:val="222222"/>
          <w:sz w:val="20"/>
          <w:szCs w:val="20"/>
          <w:shd w:fill="FFFFFF" w:val="clear"/>
        </w:rPr>
        <w:t>年</w:t>
      </w:r>
      <w:r>
        <w:rPr>
          <w:rFonts w:cs="Times New Roman" w:ascii="Times New Roman" w:hAnsi="Times New Roman"/>
          <w:color w:val="222222"/>
          <w:sz w:val="20"/>
          <w:szCs w:val="20"/>
          <w:shd w:fill="FFFFFF" w:val="clear"/>
        </w:rPr>
        <w:t>5</w:t>
      </w:r>
      <w:r>
        <w:rPr>
          <w:rFonts w:ascii="Times New Roman" w:hAnsi="Times New Roman" w:cs="Times New Roman"/>
          <w:color w:val="222222"/>
          <w:sz w:val="20"/>
          <w:szCs w:val="20"/>
          <w:shd w:fill="FFFFFF" w:val="clear"/>
        </w:rPr>
        <w:t>月，第</w:t>
      </w:r>
      <w:r>
        <w:rPr>
          <w:rFonts w:cs="Times New Roman" w:ascii="Times New Roman" w:hAnsi="Times New Roman"/>
          <w:color w:val="222222"/>
          <w:sz w:val="20"/>
          <w:szCs w:val="20"/>
          <w:shd w:fill="FFFFFF" w:val="clear"/>
        </w:rPr>
        <w:t>50-59</w:t>
      </w:r>
      <w:r>
        <w:rPr>
          <w:rFonts w:ascii="Times New Roman" w:hAnsi="Times New Roman" w:cs="Times New Roman"/>
          <w:color w:val="222222"/>
          <w:sz w:val="20"/>
          <w:szCs w:val="20"/>
          <w:shd w:fill="FFFFFF" w:val="clear"/>
        </w:rPr>
        <w:t>页</w:t>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1</w:t>
      </w:r>
      <w:r>
        <w:rPr>
          <w:rFonts w:ascii="宋体" w:hAnsi="宋体" w:eastAsia="宋体"/>
          <w:b/>
          <w:bCs/>
          <w:kern w:val="2"/>
          <w:sz w:val="24"/>
          <w:szCs w:val="24"/>
        </w:rPr>
        <w:t>、某区域人口与经济数据统计表</w:t>
      </w:r>
    </w:p>
    <w:p>
      <w:pPr>
        <w:pStyle w:val="Normal"/>
        <w:rPr>
          <w:rFonts w:ascii="宋体" w:hAnsi="宋体" w:eastAsia="宋体"/>
          <w:kern w:val="2"/>
          <w:sz w:val="24"/>
          <w:szCs w:val="24"/>
        </w:rPr>
      </w:pPr>
      <w:r>
        <w:rPr/>
        <w:drawing>
          <wp:inline distT="0" distB="0" distL="0" distR="0">
            <wp:extent cx="5274310" cy="141224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5274310" cy="1412240"/>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：“子项”列中“总量”指对应“项目”列中指标的总值。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：一产增加值是指第一产业的增加值，二产和三产亦分别代表第二产业和第三产业。</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2</w:t>
      </w:r>
      <w:r>
        <w:rPr>
          <w:rFonts w:ascii="宋体" w:hAnsi="宋体" w:eastAsia="宋体"/>
          <w:b/>
          <w:bCs/>
          <w:kern w:val="2"/>
          <w:sz w:val="24"/>
          <w:szCs w:val="24"/>
        </w:rPr>
        <w:t>、某区域能源消费量统计表</w:t>
      </w:r>
    </w:p>
    <w:p>
      <w:pPr>
        <w:pStyle w:val="Normal"/>
        <w:rPr>
          <w:rFonts w:ascii="宋体" w:hAnsi="宋体" w:eastAsia="宋体"/>
          <w:kern w:val="2"/>
          <w:sz w:val="24"/>
          <w:szCs w:val="24"/>
        </w:rPr>
      </w:pPr>
      <w:r>
        <w:rPr/>
        <w:drawing>
          <wp:inline distT="0" distB="0" distL="0" distR="0">
            <wp:extent cx="5274310" cy="183959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5274310" cy="183959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：万</w:t>
      </w:r>
      <w:r>
        <w:rPr>
          <w:rFonts w:eastAsia="宋体" w:ascii="宋体" w:hAnsi="宋体"/>
          <w:kern w:val="2"/>
          <w:sz w:val="24"/>
          <w:szCs w:val="24"/>
        </w:rPr>
        <w:t>tce</w:t>
      </w:r>
      <w:r>
        <w:rPr>
          <w:rFonts w:ascii="宋体" w:hAnsi="宋体" w:eastAsia="宋体"/>
          <w:kern w:val="2"/>
          <w:sz w:val="24"/>
          <w:szCs w:val="24"/>
        </w:rPr>
        <w:t>是指万吨标准煤</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：数值前负号代表产出，数值前正号代表消费</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3</w:t>
      </w:r>
      <w:r>
        <w:rPr>
          <w:rFonts w:ascii="宋体" w:hAnsi="宋体" w:eastAsia="宋体"/>
          <w:kern w:val="2"/>
          <w:sz w:val="24"/>
          <w:szCs w:val="24"/>
        </w:rPr>
        <w:t>：其他加工转换包括除发电、供热外的能源转换，例如洗选煤、炼焦、炼油、制气、煤制品加工、回收能等。</w:t>
      </w:r>
    </w:p>
    <w:p>
      <w:pPr>
        <w:pStyle w:val="Normal"/>
        <w:widowControl/>
        <w:jc w:val="left"/>
        <w:rPr>
          <w:rFonts w:ascii="宋体" w:hAnsi="宋体" w:eastAsia="宋体"/>
          <w:kern w:val="2"/>
          <w:sz w:val="24"/>
          <w:szCs w:val="24"/>
        </w:rPr>
      </w:pPr>
      <w:r>
        <w:rPr>
          <w:rFonts w:eastAsia="宋体" w:ascii="宋体" w:hAnsi="宋体"/>
          <w:kern w:val="2"/>
          <w:sz w:val="24"/>
          <w:szCs w:val="24"/>
        </w:rPr>
      </w:r>
    </w:p>
    <w:p>
      <w:pPr>
        <w:pStyle w:val="Normal"/>
        <w:widowControl/>
        <w:jc w:val="left"/>
        <w:rPr>
          <w:rFonts w:ascii="宋体" w:hAnsi="宋体" w:eastAsia="宋体"/>
          <w:kern w:val="2"/>
          <w:sz w:val="24"/>
          <w:szCs w:val="24"/>
        </w:rPr>
      </w:pPr>
      <w:r>
        <w:rPr>
          <w:rFonts w:eastAsia="宋体" w:ascii="宋体" w:hAnsi="宋体"/>
          <w:kern w:val="2"/>
          <w:sz w:val="24"/>
          <w:szCs w:val="24"/>
        </w:rPr>
      </w:r>
      <w:r>
        <w:br w:type="page"/>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3</w:t>
      </w:r>
      <w:r>
        <w:rPr>
          <w:rFonts w:ascii="宋体" w:hAnsi="宋体" w:eastAsia="宋体"/>
          <w:b/>
          <w:bCs/>
          <w:kern w:val="2"/>
          <w:sz w:val="24"/>
          <w:szCs w:val="24"/>
        </w:rPr>
        <w:t>、某区域产业部门能源消费品种结构统计表</w:t>
      </w:r>
    </w:p>
    <w:p>
      <w:pPr>
        <w:pStyle w:val="Normal"/>
        <w:rPr>
          <w:rFonts w:ascii="宋体" w:hAnsi="宋体" w:eastAsia="宋体"/>
          <w:kern w:val="2"/>
          <w:sz w:val="24"/>
          <w:szCs w:val="24"/>
        </w:rPr>
      </w:pPr>
      <w:r>
        <w:rPr/>
        <w:drawing>
          <wp:inline distT="0" distB="0" distL="0" distR="0">
            <wp:extent cx="5274310" cy="691324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5274310" cy="691324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w:t>
      </w:r>
      <w:r>
        <w:rPr>
          <w:rFonts w:eastAsia="宋体" w:ascii="宋体" w:hAnsi="宋体"/>
          <w:kern w:val="2"/>
          <w:sz w:val="24"/>
          <w:szCs w:val="24"/>
        </w:rPr>
        <w:t>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4</w:t>
      </w:r>
      <w:r>
        <w:rPr>
          <w:rFonts w:ascii="宋体" w:hAnsi="宋体" w:eastAsia="宋体"/>
          <w:b/>
          <w:bCs/>
          <w:kern w:val="2"/>
          <w:sz w:val="24"/>
          <w:szCs w:val="24"/>
        </w:rPr>
        <w:t>、某区域能源消费品种结构统计表</w:t>
      </w:r>
    </w:p>
    <w:p>
      <w:pPr>
        <w:pStyle w:val="Normal"/>
        <w:rPr>
          <w:rFonts w:ascii="宋体" w:hAnsi="宋体" w:eastAsia="宋体"/>
          <w:kern w:val="2"/>
          <w:sz w:val="24"/>
          <w:szCs w:val="24"/>
        </w:rPr>
      </w:pPr>
      <w:r>
        <w:rPr/>
        <w:drawing>
          <wp:inline distT="0" distB="0" distL="0" distR="0">
            <wp:extent cx="5274310" cy="324548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5274310" cy="324548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：其他消费是指能源转换部门之外，能源消费部门的消费量，包括工业消费部门、建筑消费部门、交通消费部门、居民生活消费和农林消费部门等。</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外调电是指外地调入电力，指在外地生产，经过输送到达本地的电力，是能源资源需求旺盛省市保障区内电力供应的重要途径。外地电力调入需要输电线路支持。外地调入电力根据电力生产省份的资源特点会呈现出相应的排放特征。</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5</w:t>
      </w:r>
      <w:r>
        <w:rPr>
          <w:rFonts w:ascii="宋体" w:hAnsi="宋体" w:eastAsia="宋体"/>
          <w:b/>
          <w:bCs/>
          <w:kern w:val="2"/>
          <w:sz w:val="24"/>
          <w:szCs w:val="24"/>
        </w:rPr>
        <w:t>、某区域碳排放量统计表</w:t>
      </w:r>
    </w:p>
    <w:p>
      <w:pPr>
        <w:pStyle w:val="Normal"/>
        <w:rPr>
          <w:rFonts w:ascii="宋体" w:hAnsi="宋体" w:eastAsia="宋体"/>
          <w:kern w:val="2"/>
          <w:sz w:val="24"/>
          <w:szCs w:val="24"/>
        </w:rPr>
      </w:pPr>
      <w:r>
        <w:rPr/>
        <w:drawing>
          <wp:inline distT="0" distB="0" distL="0" distR="0">
            <wp:extent cx="5274310" cy="125857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tretch>
                      <a:fillRect/>
                    </a:stretch>
                  </pic:blipFill>
                  <pic:spPr bwMode="auto">
                    <a:xfrm>
                      <a:off x="0" y="0"/>
                      <a:ext cx="5274310" cy="1258570"/>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：碳排放量由各品种能源消费量与对应碳排放因子的乘积之和。</w:t>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6</w:t>
      </w:r>
      <w:r>
        <w:rPr>
          <w:rFonts w:ascii="宋体" w:hAnsi="宋体" w:eastAsia="宋体"/>
          <w:b/>
          <w:bCs/>
          <w:kern w:val="2"/>
          <w:sz w:val="24"/>
          <w:szCs w:val="24"/>
        </w:rPr>
        <w:t>、某区域能源消费部门碳排放因子</w:t>
      </w:r>
      <w:r>
        <w:rPr>
          <w:rFonts w:eastAsia="宋体" w:ascii="宋体" w:hAnsi="宋体"/>
          <w:b/>
          <w:bCs/>
          <w:kern w:val="2"/>
          <w:sz w:val="24"/>
          <w:szCs w:val="24"/>
          <w:vertAlign w:val="superscript"/>
        </w:rPr>
        <w:t>1,2</w:t>
      </w:r>
      <w:r>
        <w:rPr>
          <w:rFonts w:ascii="宋体" w:hAnsi="宋体" w:eastAsia="宋体"/>
          <w:b/>
          <w:bCs/>
          <w:kern w:val="2"/>
          <w:sz w:val="24"/>
          <w:szCs w:val="24"/>
        </w:rPr>
        <w:t>统计表</w:t>
      </w:r>
    </w:p>
    <w:p>
      <w:pPr>
        <w:pStyle w:val="Normal"/>
        <w:rPr>
          <w:rFonts w:ascii="宋体" w:hAnsi="宋体" w:eastAsia="宋体"/>
          <w:kern w:val="2"/>
          <w:sz w:val="24"/>
          <w:szCs w:val="24"/>
        </w:rPr>
      </w:pPr>
      <w:r>
        <w:rPr/>
        <w:drawing>
          <wp:inline distT="0" distB="0" distL="0" distR="0">
            <wp:extent cx="5274310" cy="4860290"/>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5274310" cy="4860290"/>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：不同部门之间使用的能源品种不同，因此不同部门间同样大类能源的碳排放因子也有差别。</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：某种能源的碳排放因子</w:t>
      </w:r>
      <w:r>
        <w:rPr>
          <w:rFonts w:eastAsia="宋体" w:ascii="宋体" w:hAnsi="宋体"/>
          <w:kern w:val="2"/>
          <w:sz w:val="24"/>
          <w:szCs w:val="24"/>
        </w:rPr>
        <w:t>=</w:t>
      </w:r>
      <w:r>
        <w:rPr>
          <w:rFonts w:ascii="宋体" w:hAnsi="宋体" w:eastAsia="宋体"/>
          <w:kern w:val="2"/>
          <w:sz w:val="24"/>
          <w:szCs w:val="24"/>
        </w:rPr>
        <w:t>消费该能源产生的碳排放</w:t>
      </w:r>
      <w:r>
        <w:rPr>
          <w:rFonts w:eastAsia="宋体" w:ascii="宋体" w:hAnsi="宋体"/>
          <w:kern w:val="2"/>
          <w:sz w:val="24"/>
          <w:szCs w:val="24"/>
        </w:rPr>
        <w:t>/</w:t>
      </w:r>
      <w:r>
        <w:rPr>
          <w:rFonts w:ascii="宋体" w:hAnsi="宋体" w:eastAsia="宋体"/>
          <w:kern w:val="2"/>
          <w:sz w:val="24"/>
          <w:szCs w:val="24"/>
        </w:rPr>
        <w:t>该能源的消费量。数值栏中“</w:t>
      </w:r>
      <w:r>
        <w:rPr>
          <w:rFonts w:eastAsia="宋体" w:ascii="宋体" w:hAnsi="宋体"/>
          <w:kern w:val="2"/>
          <w:sz w:val="24"/>
          <w:szCs w:val="24"/>
        </w:rPr>
        <w:t>-”</w:t>
      </w:r>
      <w:r>
        <w:rPr>
          <w:rFonts w:ascii="宋体" w:hAnsi="宋体" w:eastAsia="宋体"/>
          <w:kern w:val="2"/>
          <w:sz w:val="24"/>
          <w:szCs w:val="24"/>
        </w:rPr>
        <w:t>表示该年该项能源未使用，无法计算实际的碳排放因子。</w:t>
      </w:r>
    </w:p>
    <w:p>
      <w:pPr>
        <w:pStyle w:val="Normal"/>
        <w:widowControl/>
        <w:jc w:val="left"/>
        <w:rPr>
          <w:rFonts w:ascii="宋体" w:hAnsi="宋体" w:eastAsia="宋体"/>
          <w:kern w:val="2"/>
          <w:sz w:val="24"/>
          <w:szCs w:val="24"/>
        </w:rPr>
      </w:pPr>
      <w:r>
        <w:rPr>
          <w:rFonts w:eastAsia="宋体" w:ascii="宋体" w:hAnsi="宋体"/>
          <w:kern w:val="2"/>
          <w:sz w:val="24"/>
          <w:szCs w:val="24"/>
        </w:rPr>
      </w:r>
      <w:r>
        <w:br w:type="page"/>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7</w:t>
      </w:r>
      <w:r>
        <w:rPr>
          <w:rFonts w:ascii="宋体" w:hAnsi="宋体" w:eastAsia="宋体"/>
          <w:b/>
          <w:bCs/>
          <w:kern w:val="2"/>
          <w:sz w:val="24"/>
          <w:szCs w:val="24"/>
        </w:rPr>
        <w:t>、某区域能源供应部门碳排放因子</w:t>
      </w:r>
      <w:r>
        <w:rPr>
          <w:rFonts w:eastAsia="宋体" w:ascii="宋体" w:hAnsi="宋体"/>
          <w:b/>
          <w:bCs/>
          <w:kern w:val="2"/>
          <w:sz w:val="24"/>
          <w:szCs w:val="24"/>
          <w:vertAlign w:val="superscript"/>
        </w:rPr>
        <w:t>1</w:t>
      </w:r>
      <w:r>
        <w:rPr>
          <w:rFonts w:ascii="宋体" w:hAnsi="宋体" w:eastAsia="宋体"/>
          <w:b/>
          <w:bCs/>
          <w:kern w:val="2"/>
          <w:sz w:val="24"/>
          <w:szCs w:val="24"/>
        </w:rPr>
        <w:t>统计表</w:t>
      </w:r>
    </w:p>
    <w:p>
      <w:pPr>
        <w:pStyle w:val="Normal"/>
        <w:rPr>
          <w:rFonts w:ascii="宋体" w:hAnsi="宋体" w:eastAsia="宋体"/>
          <w:kern w:val="2"/>
          <w:sz w:val="24"/>
          <w:szCs w:val="24"/>
        </w:rPr>
      </w:pPr>
      <w:r>
        <w:rPr/>
        <w:drawing>
          <wp:inline distT="0" distB="0" distL="0" distR="0">
            <wp:extent cx="5274310" cy="391731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tretch>
                      <a:fillRect/>
                    </a:stretch>
                  </pic:blipFill>
                  <pic:spPr bwMode="auto">
                    <a:xfrm>
                      <a:off x="0" y="0"/>
                      <a:ext cx="5274310" cy="391731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：此项为本地开展能源加工转换的碳排放因子。</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：损失的能源除电力和热力外不产生碳排放</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8</w:t>
      </w:r>
      <w:r>
        <w:rPr>
          <w:rFonts w:ascii="宋体" w:hAnsi="宋体" w:eastAsia="宋体"/>
          <w:b/>
          <w:bCs/>
          <w:kern w:val="2"/>
          <w:sz w:val="24"/>
          <w:szCs w:val="24"/>
        </w:rPr>
        <w:t>、区外来电排放因子</w:t>
      </w:r>
      <w:r>
        <w:rPr>
          <w:rFonts w:eastAsia="宋体" w:ascii="宋体" w:hAnsi="宋体"/>
          <w:b/>
          <w:bCs/>
          <w:kern w:val="2"/>
          <w:sz w:val="24"/>
          <w:szCs w:val="24"/>
          <w:vertAlign w:val="superscript"/>
        </w:rPr>
        <w:t>1</w:t>
      </w:r>
      <w:r>
        <w:rPr>
          <w:rFonts w:ascii="宋体" w:hAnsi="宋体" w:eastAsia="宋体"/>
          <w:b/>
          <w:bCs/>
          <w:kern w:val="2"/>
          <w:sz w:val="24"/>
          <w:szCs w:val="24"/>
        </w:rPr>
        <w:t>统计表</w:t>
      </w:r>
    </w:p>
    <w:p>
      <w:pPr>
        <w:pStyle w:val="Normal"/>
        <w:rPr>
          <w:rFonts w:ascii="宋体" w:hAnsi="宋体" w:eastAsia="宋体"/>
          <w:kern w:val="2"/>
          <w:sz w:val="24"/>
          <w:szCs w:val="24"/>
        </w:rPr>
      </w:pPr>
      <w:r>
        <w:rPr/>
        <w:drawing>
          <wp:inline distT="0" distB="0" distL="0" distR="0">
            <wp:extent cx="5274310" cy="318770"/>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tretch>
                      <a:fillRect/>
                    </a:stretch>
                  </pic:blipFill>
                  <pic:spPr bwMode="auto">
                    <a:xfrm>
                      <a:off x="0" y="0"/>
                      <a:ext cx="5274310" cy="318770"/>
                    </a:xfrm>
                    <a:prstGeom prst="rect">
                      <a:avLst/>
                    </a:prstGeom>
                  </pic:spPr>
                </pic:pic>
              </a:graphicData>
            </a:graphic>
          </wp:inline>
        </w:drawing>
      </w:r>
    </w:p>
    <w:p>
      <w:pPr>
        <w:pStyle w:val="Normal"/>
        <w:spacing w:lineRule="exact" w:line="400"/>
        <w:ind w:firstLine="480"/>
        <w:rPr>
          <w:rFonts w:cs="Times New Roman"/>
          <w:color w:val="222222"/>
          <w:sz w:val="20"/>
          <w:szCs w:val="20"/>
          <w:shd w:fill="FFFFFF" w:val="clear"/>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：电力消费的碳排放与电力产地的发电方式有关。外地调入电力的碳排放按照该电力产地的碳排放因子计算。</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26141.0809002257</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35461.3995586267</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37007.1413780019</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32013.9300295245</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27565.6198008531</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30178.5782014320</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31681.6005705065</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31969.7711993623</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31673.9454376005</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29471.4134101513</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28355.7372938627</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宋体">
    <w:charset w:val="01"/>
    <w:family w:val="auto"/>
    <w:pitch w:val="default"/>
  </w:font>
  <w:font w:name="YS Text">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sz w:val="18"/>
        <w:b w:val="false"/>
        <w:szCs w:val="18"/>
        <w:rFonts w:ascii="Times New Roman" w:hAnsi="Times New Roman" w:cs="Times New Roman"/>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VisitedInternetLink">
    <w:name w:val="FollowedHyperlink"/>
    <w:basedOn w:val="DefaultParagraphFont"/>
    <w:uiPriority w:val="99"/>
    <w:semiHidden/>
    <w:unhideWhenUsed/>
    <w:qFormat/>
    <w:rPr>
      <w:color w:val="954F72"/>
      <w:u w:val="single"/>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Style13" w:customStyle="1">
    <w:name w:val="页眉 字符"/>
    <w:basedOn w:val="DefaultParagraphFont"/>
    <w:link w:val="Header"/>
    <w:uiPriority w:val="99"/>
    <w:qFormat/>
    <w:rPr>
      <w:sz w:val="18"/>
      <w:szCs w:val="18"/>
    </w:rPr>
  </w:style>
  <w:style w:type="character" w:styleId="Style14" w:customStyle="1">
    <w:name w:val="页脚 字符"/>
    <w:basedOn w:val="DefaultParagraphFont"/>
    <w:link w:val="Footer"/>
    <w:uiPriority w:val="99"/>
    <w:qFormat/>
    <w:rPr>
      <w:sz w:val="18"/>
      <w:szCs w:val="18"/>
    </w:rPr>
  </w:style>
  <w:style w:type="character" w:styleId="Style15" w:customStyle="1">
    <w:name w:val="附录等一级小标题 字符"/>
    <w:basedOn w:val="1"/>
    <w:link w:val="Style20"/>
    <w:uiPriority w:val="0"/>
    <w:qFormat/>
    <w:rPr>
      <w:rFonts w:ascii="Times New Roman" w:hAnsi="Times New Roman" w:eastAsia="宋体"/>
      <w:bCs w:val="false"/>
      <w:kern w:val="2"/>
      <w:sz w:val="28"/>
      <w:szCs w:val="44"/>
    </w:rPr>
  </w:style>
  <w:style w:type="character" w:styleId="1" w:customStyle="1">
    <w:name w:val="标题 1 字符"/>
    <w:basedOn w:val="DefaultParagraphFont"/>
    <w:link w:val="Heading1"/>
    <w:uiPriority w:val="9"/>
    <w:qFormat/>
    <w:rPr>
      <w:b/>
      <w:bCs/>
      <w:kern w:val="2"/>
      <w:sz w:val="44"/>
      <w:szCs w:val="44"/>
    </w:rPr>
  </w:style>
  <w:style w:type="character" w:styleId="Style16" w:customStyle="1">
    <w:name w:val="引文 字符"/>
    <w:basedOn w:val="DefaultParagraphFont"/>
    <w:link w:val="Style21"/>
    <w:uiPriority w:val="0"/>
    <w:qFormat/>
    <w:rPr>
      <w:rFonts w:eastAsia="宋体" w:cs="Times New Roman"/>
      <w:sz w:val="20"/>
    </w:rPr>
  </w:style>
  <w:style w:type="character" w:styleId="Style17" w:customStyle="1">
    <w:name w:val="批注文字 字符"/>
    <w:basedOn w:val="DefaultParagraphFont"/>
    <w:link w:val="Annotationtext"/>
    <w:uiPriority w:val="99"/>
    <w:semiHidden/>
    <w:qFormat/>
    <w:rPr/>
  </w:style>
  <w:style w:type="character" w:styleId="Style18" w:customStyle="1">
    <w:name w:val="批注主题 字符"/>
    <w:basedOn w:val="Style17"/>
    <w:link w:val="Annotationsubject"/>
    <w:uiPriority w:val="99"/>
    <w:semiHidden/>
    <w:qFormat/>
    <w:rPr>
      <w:b/>
      <w:bCs/>
    </w:rPr>
  </w:style>
  <w:style w:type="character" w:styleId="Style19" w:customStyle="1">
    <w:name w:val="批注框文本 字符"/>
    <w:basedOn w:val="DefaultParagraphFont"/>
    <w:link w:val="BalloonText"/>
    <w:uiPriority w:val="99"/>
    <w:semiHidden/>
    <w:qFormat/>
    <w:rPr>
      <w:sz w:val="18"/>
      <w:szCs w:val="18"/>
    </w:rPr>
  </w:style>
  <w:style w:type="character" w:styleId="11" w:customStyle="1">
    <w:name w:val="未处理的提及1"/>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tyle19"/>
    <w:uiPriority w:val="99"/>
    <w:semiHidden/>
    <w:unhideWhenUsed/>
    <w:qFormat/>
    <w:pPr/>
    <w:rPr>
      <w:sz w:val="18"/>
      <w:szCs w:val="18"/>
    </w:rPr>
  </w:style>
  <w:style w:type="paragraph" w:styleId="Annotationtext">
    <w:name w:val="annotation text"/>
    <w:basedOn w:val="Normal"/>
    <w:link w:val="Style17"/>
    <w:uiPriority w:val="99"/>
    <w:semiHidden/>
    <w:unhideWhenUsed/>
    <w:qFormat/>
    <w:pPr>
      <w:jc w:val="left"/>
    </w:pPr>
    <w:rPr/>
  </w:style>
  <w:style w:type="paragraph" w:styleId="Annotationsubject">
    <w:name w:val="annotation subject"/>
    <w:basedOn w:val="Annotationtext"/>
    <w:next w:val="Annotationtext"/>
    <w:link w:val="Style18"/>
    <w:uiPriority w:val="99"/>
    <w:semiHidden/>
    <w:unhideWhenUsed/>
    <w:qFormat/>
    <w:pPr/>
    <w:rPr>
      <w:b/>
      <w:bCs/>
    </w:rPr>
  </w:style>
  <w:style w:type="paragraph" w:styleId="HeaderandFooter">
    <w:name w:val="Header and Footer"/>
    <w:basedOn w:val="Normal"/>
    <w:qFormat/>
    <w:pPr/>
    <w:rPr/>
  </w:style>
  <w:style w:type="paragraph" w:styleId="Footer">
    <w:name w:val="Footer"/>
    <w:basedOn w:val="Normal"/>
    <w:link w:val="Style14"/>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3"/>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uiPriority w:val="34"/>
    <w:qFormat/>
    <w:pPr>
      <w:ind w:firstLine="420"/>
    </w:pPr>
    <w:rPr/>
  </w:style>
  <w:style w:type="paragraph" w:styleId="Style20" w:customStyle="1">
    <w:name w:val="附录等一级小标题"/>
    <w:basedOn w:val="Heading1"/>
    <w:next w:val="Normal"/>
    <w:link w:val="Style15"/>
    <w:uiPriority w:val="0"/>
    <w:qFormat/>
    <w:pPr>
      <w:spacing w:lineRule="exact" w:line="440"/>
      <w:jc w:val="center"/>
    </w:pPr>
    <w:rPr>
      <w:rFonts w:ascii="Times New Roman" w:hAnsi="Times New Roman" w:eastAsia="宋体"/>
      <w:bCs w:val="false"/>
      <w:sz w:val="28"/>
    </w:rPr>
  </w:style>
  <w:style w:type="paragraph" w:styleId="Style21" w:customStyle="1">
    <w:name w:val="引文"/>
    <w:basedOn w:val="Normal"/>
    <w:link w:val="Style16"/>
    <w:uiPriority w:val="0"/>
    <w:qFormat/>
    <w:pPr>
      <w:spacing w:lineRule="auto" w:line="360"/>
      <w:ind w:left="340" w:hanging="340"/>
    </w:pPr>
    <w:rPr>
      <w:rFonts w:eastAsia="宋体" w:cs="Times New Roman"/>
      <w:sz w:val="20"/>
    </w:rPr>
  </w:style>
  <w:style w:type="paragraph" w:styleId="Msonormal" w:customStyle="1">
    <w:name w:val="msonormal"/>
    <w:basedOn w:val="Normal"/>
    <w:uiPriority w:val="0"/>
    <w:qFormat/>
    <w:pPr>
      <w:widowControl/>
      <w:spacing w:beforeAutospacing="1" w:afterAutospacing="1"/>
      <w:jc w:val="left"/>
    </w:pPr>
    <w:rPr>
      <w:rFonts w:ascii="宋体" w:hAnsi="宋体" w:eastAsia="宋体" w:cs="宋体"/>
      <w:kern w:val="0"/>
      <w:sz w:val="24"/>
      <w:szCs w:val="24"/>
    </w:rPr>
  </w:style>
  <w:style w:type="paragraph" w:styleId="Font5" w:customStyle="1">
    <w:name w:val="font5"/>
    <w:basedOn w:val="Normal"/>
    <w:uiPriority w:val="0"/>
    <w:qFormat/>
    <w:pPr>
      <w:widowControl/>
      <w:spacing w:beforeAutospacing="1" w:afterAutospacing="1"/>
      <w:jc w:val="left"/>
    </w:pPr>
    <w:rPr>
      <w:rFonts w:ascii="等线" w:hAnsi="等线" w:eastAsia="等线" w:cs="宋体"/>
      <w:kern w:val="0"/>
      <w:sz w:val="18"/>
      <w:szCs w:val="18"/>
    </w:rPr>
  </w:style>
  <w:style w:type="paragraph" w:styleId="Font6" w:customStyle="1">
    <w:name w:val="font6"/>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Xl65" w:customStyle="1">
    <w:name w:val="xl65"/>
    <w:basedOn w:val="Normal"/>
    <w:uiPriority w:val="0"/>
    <w:qFormat/>
    <w:pPr>
      <w:widowControl/>
      <w:spacing w:beforeAutospacing="1" w:afterAutospacing="1"/>
      <w:jc w:val="center"/>
      <w:textAlignment w:val="center"/>
    </w:pPr>
    <w:rPr>
      <w:rFonts w:ascii="宋体" w:hAnsi="宋体" w:eastAsia="宋体" w:cs="宋体"/>
      <w:kern w:val="0"/>
      <w:sz w:val="24"/>
      <w:szCs w:val="24"/>
    </w:rPr>
  </w:style>
  <w:style w:type="paragraph" w:styleId="Xl66" w:customStyle="1">
    <w:name w:val="xl66"/>
    <w:basedOn w:val="Normal"/>
    <w:uiPriority w:val="0"/>
    <w:qFormat/>
    <w:pPr>
      <w:widowControl/>
      <w:pBdr>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67" w:customStyle="1">
    <w:name w:val="xl67"/>
    <w:basedOn w:val="Normal"/>
    <w:uiPriority w:val="0"/>
    <w:qFormat/>
    <w:pPr>
      <w:widowControl/>
      <w:pBdr>
        <w:top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68" w:customStyle="1">
    <w:name w:val="xl68"/>
    <w:basedOn w:val="Normal"/>
    <w:uiPriority w:val="0"/>
    <w:qFormat/>
    <w:pPr>
      <w:widowControl/>
      <w:pBdr>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69" w:customStyle="1">
    <w:name w:val="xl69"/>
    <w:basedOn w:val="Normal"/>
    <w:uiPriority w:val="0"/>
    <w:qFormat/>
    <w:pPr>
      <w:widowControl/>
      <w:pBdr>
        <w:top w:val="single" w:sz="8" w:space="0" w:color="000000"/>
        <w:left w:val="single" w:sz="8" w:space="0" w:color="000000"/>
        <w:bottom w:val="single" w:sz="8" w:space="0" w:color="000000"/>
      </w:pBdr>
      <w:shd w:val="clear" w:color="000000" w:fill="FFFF00"/>
      <w:spacing w:beforeAutospacing="1" w:afterAutospacing="1"/>
      <w:jc w:val="center"/>
      <w:textAlignment w:val="center"/>
    </w:pPr>
    <w:rPr>
      <w:rFonts w:ascii="宋体" w:hAnsi="宋体" w:eastAsia="宋体" w:cs="宋体"/>
      <w:kern w:val="0"/>
      <w:sz w:val="24"/>
      <w:szCs w:val="24"/>
    </w:rPr>
  </w:style>
  <w:style w:type="paragraph" w:styleId="Xl70" w:customStyle="1">
    <w:name w:val="xl70"/>
    <w:basedOn w:val="Normal"/>
    <w:uiPriority w:val="0"/>
    <w:qFormat/>
    <w:pPr>
      <w:widowControl/>
      <w:pBdr>
        <w:top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1" w:customStyle="1">
    <w:name w:val="xl71"/>
    <w:basedOn w:val="Normal"/>
    <w:uiPriority w:val="0"/>
    <w:qFormat/>
    <w:pPr>
      <w:widowControl/>
      <w:pBdr>
        <w:top w:val="single" w:sz="8" w:space="0" w:color="000000"/>
        <w:left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2" w:customStyle="1">
    <w:name w:val="xl72"/>
    <w:basedOn w:val="Normal"/>
    <w:uiPriority w:val="0"/>
    <w:qFormat/>
    <w:pPr>
      <w:widowControl/>
      <w:pBdr>
        <w:left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3" w:customStyle="1">
    <w:name w:val="xl73"/>
    <w:basedOn w:val="Normal"/>
    <w:uiPriority w:val="0"/>
    <w:qFormat/>
    <w:pPr>
      <w:widowControl/>
      <w:pBdr>
        <w:left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4" w:customStyle="1">
    <w:name w:val="xl74"/>
    <w:basedOn w:val="Normal"/>
    <w:uiPriority w:val="0"/>
    <w:qFormat/>
    <w:pPr>
      <w:widowControl/>
      <w:pBdr>
        <w:top w:val="single" w:sz="4" w:space="0" w:color="000000"/>
        <w:left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5" w:customStyle="1">
    <w:name w:val="xl75"/>
    <w:basedOn w:val="Normal"/>
    <w:uiPriority w:val="0"/>
    <w:qFormat/>
    <w:pPr>
      <w:widowControl/>
      <w:pBdr>
        <w:top w:val="single" w:sz="8" w:space="0" w:color="000000"/>
        <w:lef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6" w:customStyle="1">
    <w:name w:val="xl76"/>
    <w:basedOn w:val="Normal"/>
    <w:uiPriority w:val="0"/>
    <w:qFormat/>
    <w:pPr>
      <w:widowControl/>
      <w:pBdr>
        <w:top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7" w:customStyle="1">
    <w:name w:val="xl77"/>
    <w:basedOn w:val="Normal"/>
    <w:uiPriority w:val="0"/>
    <w:qFormat/>
    <w:pPr>
      <w:widowControl/>
      <w:pBdr>
        <w:top w:val="single" w:sz="8"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8" w:customStyle="1">
    <w:name w:val="xl78"/>
    <w:basedOn w:val="Normal"/>
    <w:uiPriority w:val="0"/>
    <w:qFormat/>
    <w:pPr>
      <w:widowControl/>
      <w:pBdr>
        <w:top w:val="single" w:sz="8" w:space="0" w:color="000000"/>
        <w:bottom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9" w:customStyle="1">
    <w:name w:val="xl79"/>
    <w:basedOn w:val="Normal"/>
    <w:uiPriority w:val="0"/>
    <w:qFormat/>
    <w:pPr>
      <w:widowControl/>
      <w:pBdr>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0" w:customStyle="1">
    <w:name w:val="xl80"/>
    <w:basedOn w:val="Normal"/>
    <w:uiPriority w:val="0"/>
    <w:qFormat/>
    <w:pPr>
      <w:widowControl/>
      <w:pBdr>
        <w:bottom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1" w:customStyle="1">
    <w:name w:val="xl81"/>
    <w:basedOn w:val="Normal"/>
    <w:uiPriority w:val="0"/>
    <w:qFormat/>
    <w:pPr>
      <w:widowControl/>
      <w:pBdr>
        <w:top w:val="single" w:sz="8"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82" w:customStyle="1">
    <w:name w:val="xl82"/>
    <w:basedOn w:val="Normal"/>
    <w:uiPriority w:val="0"/>
    <w:qFormat/>
    <w:pPr>
      <w:widowControl/>
      <w:pBdr>
        <w:top w:val="single" w:sz="8" w:space="0" w:color="000000"/>
        <w:bottom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3" w:customStyle="1">
    <w:name w:val="xl83"/>
    <w:basedOn w:val="Normal"/>
    <w:uiPriority w:val="0"/>
    <w:qFormat/>
    <w:pPr>
      <w:widowControl/>
      <w:pBdr>
        <w:top w:val="single" w:sz="4" w:space="0" w:color="000000"/>
        <w:left w:val="single" w:sz="4"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84" w:customStyle="1">
    <w:name w:val="xl84"/>
    <w:basedOn w:val="Normal"/>
    <w:uiPriority w:val="0"/>
    <w:qFormat/>
    <w:pPr>
      <w:widowControl/>
      <w:pBdr>
        <w:top w:val="single" w:sz="4"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85" w:customStyle="1">
    <w:name w:val="xl85"/>
    <w:basedOn w:val="Normal"/>
    <w:uiPriority w:val="0"/>
    <w:qFormat/>
    <w:pPr>
      <w:widowControl/>
      <w:pBdr>
        <w:top w:val="single" w:sz="4" w:space="0" w:color="000000"/>
        <w:bottom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6" w:customStyle="1">
    <w:name w:val="xl86"/>
    <w:basedOn w:val="Normal"/>
    <w:uiPriority w:val="0"/>
    <w:qFormat/>
    <w:pPr>
      <w:widowControl/>
      <w:pBdr>
        <w:top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7" w:customStyle="1">
    <w:name w:val="xl87"/>
    <w:basedOn w:val="Normal"/>
    <w:uiPriority w:val="0"/>
    <w:qFormat/>
    <w:pPr>
      <w:widowControl/>
      <w:pBdr>
        <w:bottom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8" w:customStyle="1">
    <w:name w:val="xl88"/>
    <w:basedOn w:val="Normal"/>
    <w:uiPriority w:val="0"/>
    <w:qFormat/>
    <w:pPr>
      <w:widowControl/>
      <w:pBdr>
        <w:top w:val="single" w:sz="4" w:space="0" w:color="000000"/>
        <w:left w:val="single" w:sz="4"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9" w:customStyle="1">
    <w:name w:val="xl89"/>
    <w:basedOn w:val="Normal"/>
    <w:uiPriority w:val="0"/>
    <w:qFormat/>
    <w:pPr>
      <w:widowControl/>
      <w:pBdr>
        <w:top w:val="single" w:sz="4"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90" w:customStyle="1">
    <w:name w:val="xl90"/>
    <w:basedOn w:val="Normal"/>
    <w:uiPriority w:val="0"/>
    <w:qFormat/>
    <w:pPr>
      <w:widowControl/>
      <w:pBdr>
        <w:top w:val="single" w:sz="4" w:space="0" w:color="000000"/>
        <w:bottom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91" w:customStyle="1">
    <w:name w:val="xl91"/>
    <w:basedOn w:val="Normal"/>
    <w:uiPriority w:val="0"/>
    <w:qFormat/>
    <w:pPr>
      <w:widowControl/>
      <w:pBdr>
        <w:top w:val="single" w:sz="4" w:space="0" w:color="000000"/>
        <w:lef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2" w:customStyle="1">
    <w:name w:val="xl92"/>
    <w:basedOn w:val="Normal"/>
    <w:uiPriority w:val="0"/>
    <w:qFormat/>
    <w:pPr>
      <w:widowControl/>
      <w:pBdr>
        <w:lef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3" w:customStyle="1">
    <w:name w:val="xl93"/>
    <w:basedOn w:val="Normal"/>
    <w:uiPriority w:val="0"/>
    <w:qFormat/>
    <w:pPr>
      <w:widowControl/>
      <w:pBdr>
        <w:left w:val="single" w:sz="4"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4" w:customStyle="1">
    <w:name w:val="xl94"/>
    <w:basedOn w:val="Normal"/>
    <w:uiPriority w:val="0"/>
    <w:qFormat/>
    <w:pPr>
      <w:widowControl/>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5" w:customStyle="1">
    <w:name w:val="xl95"/>
    <w:basedOn w:val="Normal"/>
    <w:uiPriority w:val="0"/>
    <w:qFormat/>
    <w:pPr>
      <w:widowControl/>
      <w:pBdr>
        <w:left w:val="single" w:sz="4"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6" w:customStyle="1">
    <w:name w:val="xl96"/>
    <w:basedOn w:val="Normal"/>
    <w:uiPriority w:val="0"/>
    <w:qFormat/>
    <w:pPr>
      <w:widowControl/>
      <w:pBdr>
        <w:top w:val="single" w:sz="8" w:space="0" w:color="000000"/>
        <w:left w:val="single" w:sz="4"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7" w:customStyle="1">
    <w:name w:val="xl97"/>
    <w:basedOn w:val="Normal"/>
    <w:uiPriority w:val="0"/>
    <w:qFormat/>
    <w:pPr>
      <w:widowControl/>
      <w:pBdr>
        <w:top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8" w:customStyle="1">
    <w:name w:val="xl98"/>
    <w:basedOn w:val="Normal"/>
    <w:uiPriority w:val="0"/>
    <w:qFormat/>
    <w:pPr>
      <w:widowControl/>
      <w:pBdr>
        <w:top w:val="single" w:sz="8"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9" w:customStyle="1">
    <w:name w:val="xl99"/>
    <w:basedOn w:val="Normal"/>
    <w:uiPriority w:val="0"/>
    <w:qFormat/>
    <w:pPr>
      <w:widowControl/>
      <w:pBdr>
        <w:top w:val="single" w:sz="8" w:space="0" w:color="000000"/>
        <w:left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00" w:customStyle="1">
    <w:name w:val="xl100"/>
    <w:basedOn w:val="Normal"/>
    <w:uiPriority w:val="0"/>
    <w:qFormat/>
    <w:pPr>
      <w:widowControl/>
      <w:pBdr>
        <w:top w:val="single" w:sz="8" w:space="0" w:color="000000"/>
        <w:left w:val="single" w:sz="8"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01" w:customStyle="1">
    <w:name w:val="xl101"/>
    <w:basedOn w:val="Normal"/>
    <w:uiPriority w:val="0"/>
    <w:qFormat/>
    <w:pPr>
      <w:widowControl/>
      <w:pBdr>
        <w:top w:val="single" w:sz="4" w:space="0" w:color="000000"/>
        <w:left w:val="single" w:sz="4"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02" w:customStyle="1">
    <w:name w:val="xl102"/>
    <w:basedOn w:val="Normal"/>
    <w:uiPriority w:val="0"/>
    <w:qFormat/>
    <w:pPr>
      <w:widowControl/>
      <w:pBdr>
        <w:left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3" w:customStyle="1">
    <w:name w:val="xl103"/>
    <w:basedOn w:val="Normal"/>
    <w:uiPriority w:val="0"/>
    <w:qFormat/>
    <w:pPr>
      <w:widowControl/>
      <w:pBdr>
        <w:top w:val="single" w:sz="8"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4" w:customStyle="1">
    <w:name w:val="xl104"/>
    <w:basedOn w:val="Normal"/>
    <w:uiPriority w:val="0"/>
    <w:qFormat/>
    <w:pPr>
      <w:widowControl/>
      <w:pBdr>
        <w:top w:val="single" w:sz="8" w:space="0" w:color="000000"/>
        <w:left w:val="single" w:sz="4" w:space="0" w:color="000000"/>
        <w:bottom w:val="single" w:sz="8"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5" w:customStyle="1">
    <w:name w:val="xl105"/>
    <w:basedOn w:val="Normal"/>
    <w:uiPriority w:val="0"/>
    <w:qFormat/>
    <w:pPr>
      <w:widowControl/>
      <w:pBdr>
        <w:top w:val="single" w:sz="8" w:space="0" w:color="000000"/>
        <w:left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6" w:customStyle="1">
    <w:name w:val="xl106"/>
    <w:basedOn w:val="Normal"/>
    <w:uiPriority w:val="0"/>
    <w:qFormat/>
    <w:pPr>
      <w:widowControl/>
      <w:pBdr>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7" w:customStyle="1">
    <w:name w:val="xl107"/>
    <w:basedOn w:val="Normal"/>
    <w:uiPriority w:val="0"/>
    <w:qFormat/>
    <w:pPr>
      <w:widowControl/>
      <w:pBdr>
        <w:top w:val="single" w:sz="8" w:space="0" w:color="000000"/>
        <w:bottom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8" w:customStyle="1">
    <w:name w:val="xl108"/>
    <w:basedOn w:val="Normal"/>
    <w:uiPriority w:val="0"/>
    <w:qFormat/>
    <w:pPr>
      <w:widowControl/>
      <w:pBdr>
        <w:top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9" w:customStyle="1">
    <w:name w:val="xl109"/>
    <w:basedOn w:val="Normal"/>
    <w:uiPriority w:val="0"/>
    <w:qFormat/>
    <w:pPr>
      <w:widowControl/>
      <w:pBdr>
        <w:top w:val="single" w:sz="4" w:space="0" w:color="000000"/>
        <w:left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0" w:customStyle="1">
    <w:name w:val="xl110"/>
    <w:basedOn w:val="Normal"/>
    <w:uiPriority w:val="0"/>
    <w:qFormat/>
    <w:pPr>
      <w:widowControl/>
      <w:pBdr>
        <w:top w:val="single" w:sz="4" w:space="0" w:color="000000"/>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1" w:customStyle="1">
    <w:name w:val="xl111"/>
    <w:basedOn w:val="Normal"/>
    <w:uiPriority w:val="0"/>
    <w:qFormat/>
    <w:pPr>
      <w:widowControl/>
      <w:pBdr>
        <w:top w:val="single" w:sz="4" w:space="0" w:color="000000"/>
        <w:left w:val="single" w:sz="4" w:space="0" w:color="000000"/>
        <w:bottom w:val="single" w:sz="8"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2" w:customStyle="1">
    <w:name w:val="xl112"/>
    <w:basedOn w:val="Normal"/>
    <w:uiPriority w:val="0"/>
    <w:qFormat/>
    <w:pPr>
      <w:widowControl/>
      <w:pBdr>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3" w:customStyle="1">
    <w:name w:val="xl113"/>
    <w:basedOn w:val="Normal"/>
    <w:uiPriority w:val="0"/>
    <w:qFormat/>
    <w:pPr>
      <w:widowControl/>
      <w:pBdr>
        <w:left w:val="single" w:sz="4"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114" w:customStyle="1">
    <w:name w:val="xl114"/>
    <w:basedOn w:val="Normal"/>
    <w:uiPriority w:val="0"/>
    <w:qFormat/>
    <w:pPr>
      <w:widowControl/>
      <w:pBdr>
        <w:left w:val="single" w:sz="4" w:space="0" w:color="000000"/>
        <w:bottom w:val="single" w:sz="8"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5" w:customStyle="1">
    <w:name w:val="xl115"/>
    <w:basedOn w:val="Normal"/>
    <w:uiPriority w:val="0"/>
    <w:qFormat/>
    <w:pPr>
      <w:widowControl/>
      <w:pBdr>
        <w:left w:val="single" w:sz="8" w:space="0" w:color="000000"/>
        <w:right w:val="single" w:sz="4" w:space="0" w:color="000000"/>
      </w:pBdr>
      <w:shd w:val="clear" w:color="000000" w:fill="FCE4D6"/>
      <w:spacing w:beforeAutospacing="1" w:afterAutospacing="1"/>
      <w:jc w:val="center"/>
      <w:textAlignment w:val="center"/>
    </w:pPr>
    <w:rPr>
      <w:rFonts w:ascii="宋体" w:hAnsi="宋体" w:eastAsia="宋体" w:cs="宋体"/>
      <w:kern w:val="0"/>
      <w:sz w:val="24"/>
      <w:szCs w:val="24"/>
    </w:rPr>
  </w:style>
  <w:style w:type="paragraph" w:styleId="Xl116" w:customStyle="1">
    <w:name w:val="xl116"/>
    <w:basedOn w:val="Normal"/>
    <w:uiPriority w:val="0"/>
    <w:qFormat/>
    <w:pPr>
      <w:widowControl/>
      <w:pBdr>
        <w:left w:val="single" w:sz="8" w:space="0" w:color="000000"/>
        <w:bottom w:val="single" w:sz="8" w:space="0" w:color="000000"/>
        <w:right w:val="single" w:sz="4" w:space="0" w:color="000000"/>
      </w:pBdr>
      <w:shd w:val="clear" w:color="000000" w:fill="FCE4D6"/>
      <w:spacing w:beforeAutospacing="1" w:afterAutospacing="1"/>
      <w:jc w:val="center"/>
      <w:textAlignment w:val="center"/>
    </w:pPr>
    <w:rPr>
      <w:rFonts w:ascii="宋体" w:hAnsi="宋体" w:eastAsia="宋体" w:cs="宋体"/>
      <w:kern w:val="0"/>
      <w:sz w:val="24"/>
      <w:szCs w:val="24"/>
    </w:rPr>
  </w:style>
  <w:style w:type="paragraph" w:styleId="Xl117" w:customStyle="1">
    <w:name w:val="xl117"/>
    <w:basedOn w:val="Normal"/>
    <w:uiPriority w:val="0"/>
    <w:qFormat/>
    <w:pPr>
      <w:widowControl/>
      <w:pBdr>
        <w:top w:val="single" w:sz="8" w:space="0" w:color="000000"/>
        <w:left w:val="single" w:sz="8" w:space="0" w:color="000000"/>
      </w:pBdr>
      <w:shd w:val="clear" w:color="000000" w:fill="FFE699"/>
      <w:spacing w:beforeAutospacing="1" w:afterAutospacing="1"/>
      <w:jc w:val="center"/>
      <w:textAlignment w:val="center"/>
    </w:pPr>
    <w:rPr>
      <w:rFonts w:ascii="宋体" w:hAnsi="宋体" w:eastAsia="宋体" w:cs="宋体"/>
      <w:kern w:val="0"/>
      <w:sz w:val="24"/>
      <w:szCs w:val="24"/>
    </w:rPr>
  </w:style>
  <w:style w:type="paragraph" w:styleId="Xl118" w:customStyle="1">
    <w:name w:val="xl118"/>
    <w:basedOn w:val="Normal"/>
    <w:uiPriority w:val="0"/>
    <w:qFormat/>
    <w:pPr>
      <w:widowControl/>
      <w:pBdr>
        <w:left w:val="single" w:sz="8" w:space="0" w:color="000000"/>
      </w:pBdr>
      <w:shd w:val="clear" w:color="000000" w:fill="FFE699"/>
      <w:spacing w:beforeAutospacing="1" w:afterAutospacing="1"/>
      <w:jc w:val="center"/>
      <w:textAlignment w:val="center"/>
    </w:pPr>
    <w:rPr>
      <w:rFonts w:ascii="宋体" w:hAnsi="宋体" w:eastAsia="宋体" w:cs="宋体"/>
      <w:kern w:val="0"/>
      <w:sz w:val="24"/>
      <w:szCs w:val="24"/>
    </w:rPr>
  </w:style>
  <w:style w:type="paragraph" w:styleId="Xl119" w:customStyle="1">
    <w:name w:val="xl119"/>
    <w:basedOn w:val="Normal"/>
    <w:uiPriority w:val="0"/>
    <w:qFormat/>
    <w:pPr>
      <w:widowControl/>
      <w:pBdr>
        <w:left w:val="single" w:sz="8" w:space="0" w:color="000000"/>
        <w:bottom w:val="single" w:sz="8" w:space="0" w:color="000000"/>
      </w:pBdr>
      <w:shd w:val="clear" w:color="000000" w:fill="FFE699"/>
      <w:spacing w:beforeAutospacing="1" w:afterAutospacing="1"/>
      <w:jc w:val="center"/>
      <w:textAlignment w:val="center"/>
    </w:pPr>
    <w:rPr>
      <w:rFonts w:ascii="宋体" w:hAnsi="宋体" w:eastAsia="宋体" w:cs="宋体"/>
      <w:kern w:val="0"/>
      <w:sz w:val="24"/>
      <w:szCs w:val="24"/>
    </w:rPr>
  </w:style>
  <w:style w:type="paragraph" w:styleId="Xl120" w:customStyle="1">
    <w:name w:val="xl120"/>
    <w:basedOn w:val="Normal"/>
    <w:uiPriority w:val="0"/>
    <w:qFormat/>
    <w:pPr>
      <w:widowControl/>
      <w:pBdr>
        <w:top w:val="single" w:sz="8" w:space="0" w:color="000000"/>
        <w:lef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21" w:customStyle="1">
    <w:name w:val="xl121"/>
    <w:basedOn w:val="Normal"/>
    <w:uiPriority w:val="0"/>
    <w:qFormat/>
    <w:pPr>
      <w:widowControl/>
      <w:pBdr>
        <w:top w:val="single" w:sz="8" w:space="0" w:color="000000"/>
        <w:left w:val="single" w:sz="8" w:space="0" w:color="000000"/>
        <w:right w:val="single" w:sz="4" w:space="0" w:color="000000"/>
      </w:pBdr>
      <w:shd w:val="clear" w:color="000000" w:fill="F8CBAD"/>
      <w:spacing w:beforeAutospacing="1" w:afterAutospacing="1"/>
      <w:jc w:val="center"/>
      <w:textAlignment w:val="center"/>
    </w:pPr>
    <w:rPr>
      <w:rFonts w:ascii="宋体" w:hAnsi="宋体" w:eastAsia="宋体" w:cs="宋体"/>
      <w:kern w:val="0"/>
      <w:sz w:val="24"/>
      <w:szCs w:val="24"/>
    </w:rPr>
  </w:style>
  <w:style w:type="paragraph" w:styleId="Xl122" w:customStyle="1">
    <w:name w:val="xl122"/>
    <w:basedOn w:val="Normal"/>
    <w:uiPriority w:val="0"/>
    <w:qFormat/>
    <w:pPr>
      <w:widowControl/>
      <w:pBdr>
        <w:left w:val="single" w:sz="8" w:space="0" w:color="000000"/>
        <w:right w:val="single" w:sz="4" w:space="0" w:color="000000"/>
      </w:pBdr>
      <w:shd w:val="clear" w:color="000000" w:fill="F8CBAD"/>
      <w:spacing w:beforeAutospacing="1" w:afterAutospacing="1"/>
      <w:jc w:val="center"/>
      <w:textAlignment w:val="center"/>
    </w:pPr>
    <w:rPr>
      <w:rFonts w:ascii="宋体" w:hAnsi="宋体" w:eastAsia="宋体" w:cs="宋体"/>
      <w:kern w:val="0"/>
      <w:sz w:val="24"/>
      <w:szCs w:val="24"/>
    </w:rPr>
  </w:style>
  <w:style w:type="paragraph" w:styleId="Xl123" w:customStyle="1">
    <w:name w:val="xl123"/>
    <w:basedOn w:val="Normal"/>
    <w:uiPriority w:val="0"/>
    <w:qFormat/>
    <w:pPr>
      <w:widowControl/>
      <w:pBdr>
        <w:left w:val="single" w:sz="8" w:space="0" w:color="000000"/>
        <w:bottom w:val="single" w:sz="8" w:space="0" w:color="000000"/>
        <w:right w:val="single" w:sz="4" w:space="0" w:color="000000"/>
      </w:pBdr>
      <w:shd w:val="clear" w:color="000000" w:fill="F8CBAD"/>
      <w:spacing w:beforeAutospacing="1" w:afterAutospacing="1"/>
      <w:jc w:val="center"/>
      <w:textAlignment w:val="center"/>
    </w:pPr>
    <w:rPr>
      <w:rFonts w:ascii="宋体" w:hAnsi="宋体" w:eastAsia="宋体" w:cs="宋体"/>
      <w:kern w:val="0"/>
      <w:sz w:val="24"/>
      <w:szCs w:val="24"/>
    </w:rPr>
  </w:style>
  <w:style w:type="paragraph" w:styleId="Xl124" w:customStyle="1">
    <w:name w:val="xl124"/>
    <w:basedOn w:val="Normal"/>
    <w:uiPriority w:val="0"/>
    <w:qFormat/>
    <w:pPr>
      <w:widowControl/>
      <w:pBdr>
        <w:top w:val="single" w:sz="8" w:space="0" w:color="000000"/>
        <w:left w:val="single" w:sz="8" w:space="0" w:color="000000"/>
        <w:right w:val="single" w:sz="4" w:space="0" w:color="000000"/>
      </w:pBdr>
      <w:shd w:val="clear" w:color="000000" w:fill="C6E0B4"/>
      <w:spacing w:beforeAutospacing="1" w:afterAutospacing="1"/>
      <w:jc w:val="center"/>
      <w:textAlignment w:val="center"/>
    </w:pPr>
    <w:rPr>
      <w:rFonts w:ascii="宋体" w:hAnsi="宋体" w:eastAsia="宋体" w:cs="宋体"/>
      <w:kern w:val="0"/>
      <w:sz w:val="24"/>
      <w:szCs w:val="24"/>
    </w:rPr>
  </w:style>
  <w:style w:type="paragraph" w:styleId="Xl125" w:customStyle="1">
    <w:name w:val="xl125"/>
    <w:basedOn w:val="Normal"/>
    <w:uiPriority w:val="0"/>
    <w:qFormat/>
    <w:pPr>
      <w:widowControl/>
      <w:pBdr>
        <w:left w:val="single" w:sz="8" w:space="0" w:color="000000"/>
        <w:right w:val="single" w:sz="4" w:space="0" w:color="000000"/>
      </w:pBdr>
      <w:shd w:val="clear" w:color="000000" w:fill="C6E0B4"/>
      <w:spacing w:beforeAutospacing="1" w:afterAutospacing="1"/>
      <w:jc w:val="center"/>
      <w:textAlignment w:val="center"/>
    </w:pPr>
    <w:rPr>
      <w:rFonts w:ascii="宋体" w:hAnsi="宋体" w:eastAsia="宋体" w:cs="宋体"/>
      <w:kern w:val="0"/>
      <w:sz w:val="24"/>
      <w:szCs w:val="24"/>
    </w:rPr>
  </w:style>
  <w:style w:type="paragraph" w:styleId="Font0" w:customStyle="1">
    <w:name w:val="font0"/>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Font7" w:customStyle="1">
    <w:name w:val="font7"/>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Font8" w:customStyle="1">
    <w:name w:val="font8"/>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Xl63" w:customStyle="1">
    <w:name w:val="xl63"/>
    <w:basedOn w:val="Normal"/>
    <w:uiPriority w:val="0"/>
    <w:qFormat/>
    <w:pPr>
      <w:widowControl/>
      <w:spacing w:beforeAutospacing="1" w:afterAutospacing="1"/>
      <w:jc w:val="center"/>
      <w:textAlignment w:val="center"/>
    </w:pPr>
    <w:rPr>
      <w:rFonts w:ascii="宋体" w:hAnsi="宋体" w:eastAsia="宋体" w:cs="宋体"/>
      <w:kern w:val="0"/>
      <w:sz w:val="24"/>
      <w:szCs w:val="24"/>
    </w:rPr>
  </w:style>
  <w:style w:type="paragraph" w:styleId="Xl64" w:customStyle="1">
    <w:name w:val="xl64"/>
    <w:basedOn w:val="Normal"/>
    <w:uiPriority w:val="0"/>
    <w:qFormat/>
    <w:pPr>
      <w:widowControl/>
      <w:pBdr>
        <w:bottom w:val="single" w:sz="8" w:space="0" w:color="000000"/>
      </w:pBdr>
      <w:spacing w:beforeAutospacing="1" w:afterAutospacing="1"/>
      <w:jc w:val="center"/>
      <w:textAlignment w:val="center"/>
    </w:pPr>
    <w:rPr>
      <w:rFonts w:ascii="宋体" w:hAnsi="宋体" w:eastAsia="宋体" w:cs="宋体"/>
      <w:kern w:val="0"/>
      <w:sz w:val="24"/>
      <w:szCs w:val="24"/>
    </w:rPr>
  </w:style>
  <w:style w:type="table" w:default="1" w:styleId="4">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LibreOffice/7.3.7.2$Linux_X86_64 LibreOffice_project/30$Build-2</Application>
  <AppVersion>15.0000</AppVersion>
  <Pages>12</Pages>
  <Words>7056</Words>
  <Characters>7625</Characters>
  <CharactersWithSpaces>7664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2023-08-26T13:15:00Z</dcterms:created>
  <dc:creator>Administrator</dc:creator>
  <dc:description/>
  <dc:language>en-US</dc:language>
  <cp:lastModifiedBy/>
  <cp:lastPrinted>2023-01-15T11:50:00Z</cp:lastPrinted>
  <dcterms:modified xsi:type="dcterms:W3CDTF">2023-09-24T23:56:45Z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FD20B47CB30A4B36ACDEDF162BF95078_12</vt:lpwstr>
  </property>
  <property fmtid="{D5CDD505-2E9C-101B-9397-08002B2CF9AE}" pid="3" name="KSOProductBuildVer">
    <vt:lpwstr>1033-11.1.0.11698</vt:lpwstr>
  </property>
</Properties>
</file>