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60E88">
      <w:pPr>
        <w:widowControl w:val="0"/>
        <w:spacing w:before="120" w:beforeLines="50" w:after="120" w:afterLines="50"/>
        <w:rPr>
          <w:rFonts w:asciiTheme="minorEastAsia" w:hAnsiTheme="minorEastAsia" w:eastAsiaTheme="minorEastAsia"/>
          <w:b/>
          <w:sz w:val="84"/>
          <w:szCs w:val="84"/>
          <w:lang w:eastAsia="zh-CN"/>
          <w14:ligatures w14:val="standardContextual"/>
        </w:rPr>
      </w:pPr>
      <w:bookmarkStart w:id="0" w:name="软件分析设计与建模实验"/>
      <w:bookmarkStart w:id="1" w:name="atm-系统课程作业提交文档"/>
      <w:r>
        <w:rPr>
          <w:rFonts w:asciiTheme="minorEastAsia" w:hAnsiTheme="minorEastAsia"/>
        </w:rPr>
        <w:drawing>
          <wp:anchor distT="0" distB="0" distL="114300" distR="114300" simplePos="0" relativeHeight="251659264" behindDoc="0" locked="0" layoutInCell="1" allowOverlap="1">
            <wp:simplePos x="0" y="0"/>
            <wp:positionH relativeFrom="column">
              <wp:posOffset>455930</wp:posOffset>
            </wp:positionH>
            <wp:positionV relativeFrom="paragraph">
              <wp:posOffset>-635</wp:posOffset>
            </wp:positionV>
            <wp:extent cx="685800" cy="685800"/>
            <wp:effectExtent l="0" t="0" r="0" b="0"/>
            <wp:wrapSquare wrapText="bothSides"/>
            <wp:docPr id="247167803" name="图片 2" descr="1smevus1otq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7803" name="图片 2" descr="1smevus1otq84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85800" cy="685800"/>
                    </a:xfrm>
                    <a:prstGeom prst="rect">
                      <a:avLst/>
                    </a:prstGeom>
                    <a:noFill/>
                    <a:ln>
                      <a:noFill/>
                    </a:ln>
                  </pic:spPr>
                </pic:pic>
              </a:graphicData>
            </a:graphic>
          </wp:anchor>
        </w:drawing>
      </w:r>
      <w:r>
        <w:rPr>
          <w:rFonts w:asciiTheme="minorEastAsia" w:hAnsiTheme="minorEastAsia"/>
        </w:rPr>
        <w:drawing>
          <wp:anchor distT="0" distB="0" distL="114300" distR="114300" simplePos="0" relativeHeight="251660288" behindDoc="0" locked="0" layoutInCell="1" allowOverlap="1">
            <wp:simplePos x="0" y="0"/>
            <wp:positionH relativeFrom="column">
              <wp:posOffset>2338070</wp:posOffset>
            </wp:positionH>
            <wp:positionV relativeFrom="paragraph">
              <wp:posOffset>0</wp:posOffset>
            </wp:positionV>
            <wp:extent cx="3086100" cy="714375"/>
            <wp:effectExtent l="0" t="0" r="0" b="9525"/>
            <wp:wrapSquare wrapText="bothSides"/>
            <wp:docPr id="2" name="图片 1" descr="1smegrv1fikf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smegrv1fikfal"/>
                    <pic:cNvPicPr>
                      <a:picLocks noChangeAspect="1" noChangeArrowheads="1"/>
                    </pic:cNvPicPr>
                  </pic:nvPicPr>
                  <pic:blipFill>
                    <a:blip r:embed="rId7">
                      <a:extLst>
                        <a:ext uri="{28A0092B-C50C-407E-A947-70E740481C1C}">
                          <a14:useLocalDpi xmlns:a14="http://schemas.microsoft.com/office/drawing/2010/main" val="0"/>
                        </a:ext>
                      </a:extLst>
                    </a:blip>
                    <a:srcRect r="50" b="24193"/>
                    <a:stretch>
                      <a:fillRect/>
                    </a:stretch>
                  </pic:blipFill>
                  <pic:spPr>
                    <a:xfrm>
                      <a:off x="0" y="0"/>
                      <a:ext cx="3086100" cy="714375"/>
                    </a:xfrm>
                    <a:prstGeom prst="rect">
                      <a:avLst/>
                    </a:prstGeom>
                    <a:noFill/>
                    <a:ln>
                      <a:noFill/>
                    </a:ln>
                  </pic:spPr>
                </pic:pic>
              </a:graphicData>
            </a:graphic>
          </wp:anchor>
        </w:drawing>
      </w:r>
      <w:r>
        <w:rPr>
          <w:rFonts w:hint="eastAsia" w:asciiTheme="minorEastAsia" w:hAnsiTheme="minorEastAsia" w:eastAsiaTheme="minorEastAsia"/>
          <w:b/>
          <w:sz w:val="84"/>
          <w:szCs w:val="84"/>
          <w:lang w:eastAsia="zh-CN"/>
          <w14:ligatures w14:val="standardContextual"/>
        </w:rPr>
        <w:t xml:space="preserve"> </w:t>
      </w:r>
    </w:p>
    <w:p w14:paraId="06C1A036">
      <w:pPr>
        <w:spacing w:before="120" w:beforeLines="50" w:after="120" w:afterLines="50"/>
        <w:jc w:val="center"/>
        <w:rPr>
          <w:rFonts w:asciiTheme="minorEastAsia" w:hAnsiTheme="minorEastAsia" w:eastAsiaTheme="minorEastAsia"/>
          <w:b/>
          <w:sz w:val="84"/>
          <w:szCs w:val="84"/>
          <w:lang w:eastAsia="zh-CN"/>
        </w:rPr>
      </w:pPr>
    </w:p>
    <w:p w14:paraId="25BF82C6">
      <w:pPr>
        <w:spacing w:before="120" w:beforeLines="50" w:after="120" w:afterLines="50"/>
        <w:jc w:val="center"/>
        <w:rPr>
          <w:rFonts w:asciiTheme="minorEastAsia" w:hAnsiTheme="minorEastAsia" w:eastAsiaTheme="minorEastAsia"/>
          <w:b/>
          <w:sz w:val="84"/>
          <w:szCs w:val="84"/>
          <w:lang w:eastAsia="zh-CN"/>
        </w:rPr>
      </w:pPr>
      <w:r>
        <w:rPr>
          <w:rFonts w:hint="eastAsia" w:asciiTheme="minorEastAsia" w:hAnsiTheme="minorEastAsia"/>
          <w:b/>
          <w:sz w:val="84"/>
          <w:szCs w:val="84"/>
        </w:rPr>
        <w:t>实 验 报 告</w:t>
      </w:r>
    </w:p>
    <w:p w14:paraId="3F08AB50">
      <w:pPr>
        <w:widowControl w:val="0"/>
        <w:spacing w:after="0"/>
        <w:jc w:val="center"/>
        <w:rPr>
          <w:rFonts w:ascii="等线" w:hAnsi="等线" w:eastAsia="等线" w:cs="Times New Roman"/>
          <w:b/>
          <w:color w:val="FF0000"/>
          <w:sz w:val="32"/>
          <w:szCs w:val="32"/>
          <w:lang w:eastAsia="zh-CN"/>
          <w14:ligatures w14:val="standardContextual"/>
        </w:rPr>
      </w:pPr>
    </w:p>
    <w:tbl>
      <w:tblPr>
        <w:tblStyle w:val="24"/>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908"/>
        <w:gridCol w:w="5425"/>
      </w:tblGrid>
      <w:tr w14:paraId="2E285B1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7" w:hRule="atLeast"/>
          <w:jc w:val="center"/>
        </w:trPr>
        <w:tc>
          <w:tcPr>
            <w:tcW w:w="1908" w:type="dxa"/>
            <w:tcBorders>
              <w:top w:val="nil"/>
              <w:left w:val="nil"/>
              <w:bottom w:val="nil"/>
              <w:right w:val="nil"/>
            </w:tcBorders>
            <w:vAlign w:val="center"/>
          </w:tcPr>
          <w:p w14:paraId="4AA0FD8B">
            <w:pPr>
              <w:widowControl w:val="0"/>
              <w:spacing w:after="0" w:line="360" w:lineRule="exact"/>
              <w:jc w:val="both"/>
              <w:rPr>
                <w:rFonts w:ascii="等线" w:hAnsi="等线" w:eastAsia="等线" w:cs="Times New Roman"/>
                <w:b/>
                <w:sz w:val="30"/>
                <w:szCs w:val="30"/>
                <w:lang w:eastAsia="zh-CN"/>
                <w14:ligatures w14:val="standardContextual"/>
              </w:rPr>
            </w:pPr>
            <w:r>
              <w:rPr>
                <w:rFonts w:hint="eastAsia" w:ascii="等线" w:hAnsi="等线" w:eastAsia="等线" w:cs="Times New Roman"/>
                <w:b/>
                <w:spacing w:val="20"/>
                <w:sz w:val="30"/>
                <w:szCs w:val="30"/>
                <w:lang w:eastAsia="zh-CN"/>
                <w14:ligatures w14:val="standardContextual"/>
              </w:rPr>
              <w:t>课程名称：</w:t>
            </w:r>
          </w:p>
        </w:tc>
        <w:tc>
          <w:tcPr>
            <w:tcW w:w="5425" w:type="dxa"/>
            <w:tcBorders>
              <w:top w:val="nil"/>
              <w:left w:val="nil"/>
              <w:bottom w:val="single" w:color="auto" w:sz="4" w:space="0"/>
              <w:right w:val="nil"/>
            </w:tcBorders>
            <w:vAlign w:val="center"/>
          </w:tcPr>
          <w:p w14:paraId="1D2BA367">
            <w:pPr>
              <w:widowControl w:val="0"/>
              <w:spacing w:after="0"/>
              <w:jc w:val="both"/>
              <w:rPr>
                <w:rFonts w:ascii="等线" w:hAnsi="等线" w:eastAsia="等线" w:cs="Times New Roman"/>
                <w:b/>
                <w:sz w:val="30"/>
                <w:szCs w:val="30"/>
                <w:lang w:eastAsia="zh-CN"/>
                <w14:ligatures w14:val="standardContextual"/>
              </w:rPr>
            </w:pPr>
            <w:bookmarkStart w:id="2" w:name="_Hlk166919194"/>
            <w:r>
              <w:rPr>
                <w:rFonts w:hint="eastAsia" w:ascii="等线" w:hAnsi="等线" w:eastAsia="等线" w:cs="Times New Roman"/>
                <w:b/>
                <w:sz w:val="30"/>
                <w:szCs w:val="30"/>
                <w:lang w:eastAsia="zh-CN"/>
                <w14:ligatures w14:val="standardContextual"/>
              </w:rPr>
              <w:t>软件分析设计与建模</w:t>
            </w:r>
            <w:bookmarkEnd w:id="2"/>
          </w:p>
        </w:tc>
      </w:tr>
      <w:tr w14:paraId="4BB5E85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7" w:hRule="atLeast"/>
          <w:jc w:val="center"/>
        </w:trPr>
        <w:tc>
          <w:tcPr>
            <w:tcW w:w="1908" w:type="dxa"/>
            <w:tcBorders>
              <w:top w:val="nil"/>
              <w:left w:val="nil"/>
              <w:bottom w:val="nil"/>
              <w:right w:val="nil"/>
            </w:tcBorders>
            <w:vAlign w:val="center"/>
          </w:tcPr>
          <w:p w14:paraId="5D3B75CB">
            <w:pPr>
              <w:widowControl w:val="0"/>
              <w:spacing w:after="0" w:line="360" w:lineRule="exact"/>
              <w:jc w:val="both"/>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学生姓名：</w:t>
            </w:r>
          </w:p>
        </w:tc>
        <w:tc>
          <w:tcPr>
            <w:tcW w:w="5425" w:type="dxa"/>
            <w:tcBorders>
              <w:top w:val="single" w:color="auto" w:sz="4" w:space="0"/>
              <w:left w:val="nil"/>
              <w:bottom w:val="single" w:color="auto" w:sz="4" w:space="0"/>
              <w:right w:val="nil"/>
            </w:tcBorders>
            <w:vAlign w:val="center"/>
          </w:tcPr>
          <w:p w14:paraId="4D22D0ED">
            <w:pPr>
              <w:widowControl w:val="0"/>
              <w:spacing w:after="0"/>
              <w:jc w:val="both"/>
              <w:rPr>
                <w:rFonts w:ascii="等线" w:hAnsi="等线" w:eastAsia="等线" w:cs="Times New Roman"/>
                <w:b/>
                <w:sz w:val="30"/>
                <w:szCs w:val="30"/>
                <w:lang w:eastAsia="zh-CN"/>
                <w14:ligatures w14:val="standardContextual"/>
              </w:rPr>
            </w:pPr>
            <w:r>
              <w:rPr>
                <w:rFonts w:ascii="等线" w:hAnsi="等线" w:eastAsia="等线" w:cs="Times New Roman"/>
                <w:b/>
                <w:sz w:val="30"/>
                <w:szCs w:val="30"/>
                <w:lang w:eastAsia="zh-CN"/>
                <w14:ligatures w14:val="standardContextual"/>
              </w:rPr>
              <w:t>马启凡、叶炳良、周子栋、庄子杰</w:t>
            </w:r>
          </w:p>
        </w:tc>
      </w:tr>
      <w:tr w14:paraId="1ECC62F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7" w:hRule="atLeast"/>
          <w:jc w:val="center"/>
        </w:trPr>
        <w:tc>
          <w:tcPr>
            <w:tcW w:w="1908" w:type="dxa"/>
            <w:tcBorders>
              <w:top w:val="nil"/>
              <w:left w:val="nil"/>
              <w:bottom w:val="nil"/>
              <w:right w:val="nil"/>
            </w:tcBorders>
            <w:vAlign w:val="center"/>
          </w:tcPr>
          <w:p w14:paraId="1C9E4B90">
            <w:pPr>
              <w:widowControl w:val="0"/>
              <w:spacing w:after="0" w:line="360" w:lineRule="exact"/>
              <w:jc w:val="center"/>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学生学号：</w:t>
            </w:r>
          </w:p>
        </w:tc>
        <w:tc>
          <w:tcPr>
            <w:tcW w:w="5425" w:type="dxa"/>
            <w:tcBorders>
              <w:top w:val="single" w:color="auto" w:sz="4" w:space="0"/>
              <w:left w:val="nil"/>
              <w:bottom w:val="single" w:color="auto" w:sz="4" w:space="0"/>
              <w:right w:val="nil"/>
            </w:tcBorders>
            <w:vAlign w:val="center"/>
          </w:tcPr>
          <w:p w14:paraId="7FC58882">
            <w:pPr>
              <w:widowControl w:val="0"/>
              <w:spacing w:after="0" w:line="360" w:lineRule="exact"/>
              <w:jc w:val="both"/>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202430551135（马）</w:t>
            </w:r>
          </w:p>
          <w:p w14:paraId="5812E214">
            <w:pPr>
              <w:widowControl w:val="0"/>
              <w:spacing w:after="0" w:line="360" w:lineRule="exact"/>
              <w:jc w:val="both"/>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202430552848（叶）</w:t>
            </w:r>
          </w:p>
          <w:p w14:paraId="67780709">
            <w:pPr>
              <w:widowControl w:val="0"/>
              <w:spacing w:after="0" w:line="360" w:lineRule="exact"/>
              <w:jc w:val="both"/>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202430553005（周）</w:t>
            </w:r>
          </w:p>
          <w:p w14:paraId="02B2C215">
            <w:pPr>
              <w:widowControl w:val="0"/>
              <w:spacing w:after="0" w:line="360" w:lineRule="exact"/>
              <w:jc w:val="both"/>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202430552224（庄）</w:t>
            </w:r>
          </w:p>
        </w:tc>
      </w:tr>
      <w:tr w14:paraId="12FDD66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7" w:hRule="atLeast"/>
          <w:jc w:val="center"/>
        </w:trPr>
        <w:tc>
          <w:tcPr>
            <w:tcW w:w="1908" w:type="dxa"/>
            <w:tcBorders>
              <w:top w:val="nil"/>
              <w:left w:val="nil"/>
              <w:bottom w:val="nil"/>
              <w:right w:val="nil"/>
            </w:tcBorders>
            <w:vAlign w:val="center"/>
          </w:tcPr>
          <w:p w14:paraId="21FE6911">
            <w:pPr>
              <w:widowControl w:val="0"/>
              <w:spacing w:after="0" w:line="360" w:lineRule="exact"/>
              <w:jc w:val="both"/>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学生专业：</w:t>
            </w:r>
          </w:p>
        </w:tc>
        <w:tc>
          <w:tcPr>
            <w:tcW w:w="5425" w:type="dxa"/>
            <w:tcBorders>
              <w:top w:val="single" w:color="auto" w:sz="4" w:space="0"/>
              <w:left w:val="nil"/>
              <w:bottom w:val="single" w:color="auto" w:sz="4" w:space="0"/>
              <w:right w:val="nil"/>
            </w:tcBorders>
            <w:vAlign w:val="center"/>
          </w:tcPr>
          <w:p w14:paraId="381183E6">
            <w:pPr>
              <w:widowControl w:val="0"/>
              <w:spacing w:after="0" w:line="360" w:lineRule="exact"/>
              <w:jc w:val="both"/>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软件工程1班</w:t>
            </w:r>
          </w:p>
        </w:tc>
      </w:tr>
      <w:tr w14:paraId="42657CE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7" w:hRule="atLeast"/>
          <w:jc w:val="center"/>
        </w:trPr>
        <w:tc>
          <w:tcPr>
            <w:tcW w:w="1908" w:type="dxa"/>
            <w:tcBorders>
              <w:top w:val="nil"/>
              <w:left w:val="nil"/>
              <w:bottom w:val="nil"/>
              <w:right w:val="nil"/>
            </w:tcBorders>
            <w:vAlign w:val="center"/>
          </w:tcPr>
          <w:p w14:paraId="2F175B67">
            <w:pPr>
              <w:widowControl w:val="0"/>
              <w:spacing w:after="0"/>
              <w:jc w:val="both"/>
              <w:rPr>
                <w:rFonts w:ascii="等线" w:hAnsi="等线" w:eastAsia="等线" w:cs="Times New Roman"/>
                <w:b/>
                <w:spacing w:val="20"/>
                <w:sz w:val="30"/>
                <w:szCs w:val="30"/>
                <w:lang w:eastAsia="zh-CN"/>
                <w14:ligatures w14:val="standardContextual"/>
              </w:rPr>
            </w:pPr>
            <w:r>
              <w:rPr>
                <w:rFonts w:hint="eastAsia" w:ascii="等线" w:hAnsi="等线" w:eastAsia="等线" w:cs="Times New Roman"/>
                <w:b/>
                <w:spacing w:val="20"/>
                <w:sz w:val="30"/>
                <w:szCs w:val="30"/>
                <w:lang w:eastAsia="zh-CN"/>
                <w14:ligatures w14:val="standardContextual"/>
              </w:rPr>
              <w:t>开课学期：</w:t>
            </w:r>
          </w:p>
        </w:tc>
        <w:tc>
          <w:tcPr>
            <w:tcW w:w="5425" w:type="dxa"/>
            <w:tcBorders>
              <w:top w:val="single" w:color="auto" w:sz="4" w:space="0"/>
              <w:left w:val="nil"/>
              <w:bottom w:val="single" w:color="auto" w:sz="4" w:space="0"/>
              <w:right w:val="nil"/>
            </w:tcBorders>
            <w:vAlign w:val="center"/>
          </w:tcPr>
          <w:p w14:paraId="2E1A4F6B">
            <w:pPr>
              <w:widowControl w:val="0"/>
              <w:spacing w:after="0"/>
              <w:jc w:val="both"/>
              <w:rPr>
                <w:rFonts w:ascii="等线" w:hAnsi="等线" w:eastAsia="等线" w:cs="Times New Roman"/>
                <w:b/>
                <w:sz w:val="30"/>
                <w:szCs w:val="30"/>
                <w:lang w:eastAsia="zh-CN"/>
                <w14:ligatures w14:val="standardContextual"/>
              </w:rPr>
            </w:pPr>
            <w:r>
              <w:rPr>
                <w:rFonts w:ascii="等线" w:hAnsi="等线" w:eastAsia="等线" w:cs="Times New Roman"/>
                <w:b/>
                <w:sz w:val="30"/>
                <w:szCs w:val="30"/>
                <w:lang w:eastAsia="zh-CN"/>
                <w14:ligatures w14:val="standardContextual"/>
              </w:rPr>
              <w:t>20</w:t>
            </w:r>
            <w:r>
              <w:rPr>
                <w:rFonts w:hint="eastAsia" w:ascii="等线" w:hAnsi="等线" w:eastAsia="等线" w:cs="Times New Roman"/>
                <w:b/>
                <w:sz w:val="30"/>
                <w:szCs w:val="30"/>
                <w:lang w:eastAsia="zh-CN"/>
                <w14:ligatures w14:val="standardContextual"/>
              </w:rPr>
              <w:t>25-2026第二学期</w:t>
            </w:r>
          </w:p>
        </w:tc>
      </w:tr>
    </w:tbl>
    <w:p w14:paraId="4A75C398">
      <w:pPr>
        <w:widowControl w:val="0"/>
        <w:spacing w:before="120" w:beforeLines="50" w:after="120" w:afterLines="50"/>
        <w:jc w:val="both"/>
        <w:rPr>
          <w:rFonts w:ascii="等线" w:hAnsi="等线" w:eastAsia="等线" w:cs="Times New Roman"/>
          <w:b/>
          <w:sz w:val="30"/>
          <w:szCs w:val="30"/>
          <w:lang w:eastAsia="zh-CN"/>
          <w14:ligatures w14:val="standardContextual"/>
        </w:rPr>
      </w:pPr>
      <w:r>
        <w:rPr>
          <w:rFonts w:hint="eastAsia" w:ascii="等线" w:hAnsi="等线" w:eastAsia="等线" w:cs="Times New Roman"/>
          <w:b/>
          <w:sz w:val="30"/>
          <w:szCs w:val="30"/>
          <w:lang w:eastAsia="zh-CN"/>
          <w14:ligatures w14:val="standardContextual"/>
        </w:rPr>
        <w:t xml:space="preserve"> </w:t>
      </w:r>
    </w:p>
    <w:p w14:paraId="22DD8CF7">
      <w:pPr>
        <w:widowControl w:val="0"/>
        <w:spacing w:after="0" w:line="480" w:lineRule="exact"/>
        <w:jc w:val="center"/>
        <w:rPr>
          <w:rFonts w:ascii="等线" w:hAnsi="等线" w:eastAsia="等线" w:cs="Times New Roman"/>
          <w:b/>
          <w:sz w:val="32"/>
          <w:szCs w:val="32"/>
          <w:lang w:eastAsia="zh-CN"/>
          <w14:ligatures w14:val="standardContextual"/>
        </w:rPr>
      </w:pPr>
      <w:r>
        <w:rPr>
          <w:rFonts w:hint="eastAsia" w:ascii="等线" w:hAnsi="等线" w:eastAsia="等线" w:cs="Times New Roman"/>
          <w:b/>
          <w:sz w:val="32"/>
          <w:szCs w:val="32"/>
          <w:lang w:eastAsia="zh-CN"/>
          <w14:ligatures w14:val="standardContextual"/>
        </w:rPr>
        <w:t xml:space="preserve">                        </w:t>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 xml:space="preserve">     软件学院</w:t>
      </w:r>
    </w:p>
    <w:p w14:paraId="2875A50A">
      <w:pPr>
        <w:widowControl w:val="0"/>
        <w:spacing w:after="0" w:line="480" w:lineRule="exact"/>
        <w:jc w:val="center"/>
        <w:rPr>
          <w:rFonts w:ascii="等线" w:hAnsi="等线" w:eastAsia="等线" w:cs="Times New Roman"/>
          <w:b/>
          <w:sz w:val="32"/>
          <w:szCs w:val="32"/>
          <w:lang w:eastAsia="zh-CN"/>
          <w14:ligatures w14:val="standardContextual"/>
        </w:rPr>
      </w:pPr>
      <w:r>
        <w:rPr>
          <w:rFonts w:hint="eastAsia" w:ascii="等线" w:hAnsi="等线" w:eastAsia="等线" w:cs="Times New Roman"/>
          <w:b/>
          <w:sz w:val="32"/>
          <w:szCs w:val="32"/>
          <w:lang w:eastAsia="zh-CN"/>
          <w14:ligatures w14:val="standardContextual"/>
        </w:rPr>
        <w:t xml:space="preserve">                     </w:t>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ab/>
      </w:r>
      <w:r>
        <w:rPr>
          <w:rFonts w:hint="eastAsia" w:ascii="等线" w:hAnsi="等线" w:eastAsia="等线" w:cs="Times New Roman"/>
          <w:b/>
          <w:sz w:val="32"/>
          <w:szCs w:val="32"/>
          <w:lang w:eastAsia="zh-CN"/>
          <w14:ligatures w14:val="standardContextual"/>
        </w:rPr>
        <w:t xml:space="preserve"> 2026年4月</w:t>
      </w:r>
    </w:p>
    <w:p w14:paraId="44494B25">
      <w:pPr>
        <w:widowControl w:val="0"/>
        <w:adjustRightInd w:val="0"/>
        <w:spacing w:before="100" w:after="100"/>
        <w:jc w:val="center"/>
        <w:rPr>
          <w:rFonts w:ascii="Times New Roman" w:hAnsi="Times New Roman" w:eastAsia="黑体" w:cs="Times New Roman"/>
          <w:kern w:val="2"/>
          <w:sz w:val="36"/>
        </w:rPr>
      </w:pPr>
    </w:p>
    <w:p w14:paraId="4AD4B477">
      <w:pPr>
        <w:widowControl w:val="0"/>
        <w:adjustRightInd w:val="0"/>
        <w:spacing w:before="100" w:after="100"/>
        <w:jc w:val="center"/>
        <w:rPr>
          <w:rFonts w:ascii="Times New Roman" w:hAnsi="Times New Roman" w:eastAsia="黑体" w:cs="Times New Roman"/>
          <w:kern w:val="2"/>
          <w:sz w:val="36"/>
        </w:rPr>
      </w:pPr>
    </w:p>
    <w:p w14:paraId="6C92E896">
      <w:pPr>
        <w:widowControl w:val="0"/>
        <w:adjustRightInd w:val="0"/>
        <w:spacing w:before="100" w:after="100"/>
        <w:jc w:val="both"/>
        <w:rPr>
          <w:rFonts w:ascii="Times New Roman" w:hAnsi="Times New Roman" w:eastAsia="黑体" w:cs="Times New Roman"/>
          <w:kern w:val="2"/>
          <w:sz w:val="36"/>
        </w:rPr>
      </w:pPr>
    </w:p>
    <w:bookmarkEnd w:id="0"/>
    <w:bookmarkEnd w:id="1"/>
    <w:sdt>
      <w:sdtPr>
        <w:rPr>
          <w:rFonts w:ascii="宋体" w:hAnsi="宋体" w:eastAsia="宋体" w:cstheme="minorBidi"/>
          <w:sz w:val="21"/>
          <w:szCs w:val="24"/>
          <w:lang w:val="en-US" w:eastAsia="en-US" w:bidi="ar-SA"/>
        </w:rPr>
        <w:id w:val="147465937"/>
        <w15:color w:val="DBDBDB"/>
        <w:docPartObj>
          <w:docPartGallery w:val="Table of Contents"/>
          <w:docPartUnique/>
        </w:docPartObj>
      </w:sdtPr>
      <w:sdtEndPr>
        <w:rPr>
          <w:rFonts w:asciiTheme="minorHAnsi" w:hAnsiTheme="minorHAnsi" w:eastAsiaTheme="minorHAnsi" w:cstheme="minorBidi"/>
          <w:sz w:val="24"/>
          <w:szCs w:val="24"/>
          <w:lang w:val="en-US" w:eastAsia="en-US" w:bidi="ar-SA"/>
        </w:rPr>
      </w:sdtEndPr>
      <w:sdtContent>
        <w:p w14:paraId="5C95032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0A1B9F1">
          <w:pPr>
            <w:pStyle w:val="18"/>
            <w:tabs>
              <w:tab w:val="right" w:leader="dot" w:pos="9179"/>
            </w:tabs>
          </w:pPr>
          <w:r>
            <w:rPr>
              <w:rFonts w:asciiTheme="minorHAnsi" w:hAnsiTheme="minorHAnsi" w:eastAsiaTheme="minorHAnsi" w:cstheme="minorBidi"/>
              <w:sz w:val="24"/>
              <w:szCs w:val="24"/>
              <w:lang w:val="en-US" w:eastAsia="en-US" w:bidi="ar-SA"/>
            </w:rPr>
            <w:fldChar w:fldCharType="begin"/>
          </w:r>
          <w:r>
            <w:rPr>
              <w:rFonts w:asciiTheme="minorHAnsi" w:hAnsiTheme="minorHAnsi" w:eastAsiaTheme="minorHAnsi" w:cstheme="minorBidi"/>
              <w:sz w:val="24"/>
              <w:szCs w:val="24"/>
              <w:lang w:val="en-US" w:eastAsia="en-US" w:bidi="ar-SA"/>
            </w:rPr>
            <w:instrText xml:space="preserve">TOC \o "1-9" \h \u </w:instrText>
          </w:r>
          <w:r>
            <w:rPr>
              <w:rFonts w:asciiTheme="minorHAnsi" w:hAnsiTheme="minorHAnsi" w:eastAsiaTheme="minorHAnsi" w:cstheme="minorBidi"/>
              <w:sz w:val="24"/>
              <w:szCs w:val="24"/>
              <w:lang w:val="en-US" w:eastAsia="en-US" w:bidi="ar-SA"/>
            </w:rPr>
            <w:fldChar w:fldCharType="separate"/>
          </w: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_Toc4983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cs="Times New Roman"/>
              <w:kern w:val="44"/>
              <w:szCs w:val="44"/>
            </w:rPr>
            <w:t>第一章 初始阶段</w:t>
          </w:r>
          <w:r>
            <w:tab/>
          </w:r>
          <w:r>
            <w:fldChar w:fldCharType="begin"/>
          </w:r>
          <w:r>
            <w:instrText xml:space="preserve"> PAGEREF _Toc4983 \h </w:instrText>
          </w:r>
          <w:r>
            <w:fldChar w:fldCharType="separate"/>
          </w:r>
          <w:r>
            <w:t>3</w:t>
          </w:r>
          <w:r>
            <w:fldChar w:fldCharType="end"/>
          </w:r>
          <w:r>
            <w:rPr>
              <w:rFonts w:asciiTheme="minorHAnsi" w:hAnsiTheme="minorHAnsi" w:eastAsiaTheme="minorHAnsi" w:cstheme="minorBidi"/>
              <w:szCs w:val="24"/>
              <w:lang w:val="en-US" w:eastAsia="en-US" w:bidi="ar-SA"/>
            </w:rPr>
            <w:fldChar w:fldCharType="end"/>
          </w:r>
        </w:p>
        <w:p w14:paraId="649A3E20">
          <w:pPr>
            <w:pStyle w:val="18"/>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_Toc18241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rPr>
            <w:t>1.1 系统背景</w:t>
          </w:r>
          <w:r>
            <w:tab/>
          </w:r>
          <w:r>
            <w:fldChar w:fldCharType="begin"/>
          </w:r>
          <w:r>
            <w:instrText xml:space="preserve"> PAGEREF _Toc18241 \h </w:instrText>
          </w:r>
          <w:r>
            <w:fldChar w:fldCharType="separate"/>
          </w:r>
          <w:r>
            <w:t>3</w:t>
          </w:r>
          <w:r>
            <w:fldChar w:fldCharType="end"/>
          </w:r>
          <w:r>
            <w:rPr>
              <w:rFonts w:asciiTheme="minorHAnsi" w:hAnsiTheme="minorHAnsi" w:eastAsiaTheme="minorHAnsi" w:cstheme="minorBidi"/>
              <w:szCs w:val="24"/>
              <w:lang w:val="en-US" w:eastAsia="en-US" w:bidi="ar-SA"/>
            </w:rPr>
            <w:fldChar w:fldCharType="end"/>
          </w:r>
        </w:p>
        <w:p w14:paraId="51A98BC2">
          <w:pPr>
            <w:pStyle w:val="18"/>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_Toc10148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1.2 参与者识别</w:t>
          </w:r>
          <w:r>
            <w:tab/>
          </w:r>
          <w:r>
            <w:fldChar w:fldCharType="begin"/>
          </w:r>
          <w:r>
            <w:instrText xml:space="preserve"> PAGEREF _Toc10148 \h </w:instrText>
          </w:r>
          <w:r>
            <w:fldChar w:fldCharType="separate"/>
          </w:r>
          <w:r>
            <w:t>5</w:t>
          </w:r>
          <w:r>
            <w:fldChar w:fldCharType="end"/>
          </w:r>
          <w:r>
            <w:rPr>
              <w:rFonts w:asciiTheme="minorHAnsi" w:hAnsiTheme="minorHAnsi" w:eastAsiaTheme="minorHAnsi" w:cstheme="minorBidi"/>
              <w:szCs w:val="24"/>
              <w:lang w:val="en-US" w:eastAsia="en-US" w:bidi="ar-SA"/>
            </w:rPr>
            <w:fldChar w:fldCharType="end"/>
          </w:r>
        </w:p>
        <w:p w14:paraId="61A0A0E4">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_Toc12325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1.2.1 客户</w:t>
          </w:r>
          <w:r>
            <w:tab/>
          </w:r>
          <w:r>
            <w:fldChar w:fldCharType="begin"/>
          </w:r>
          <w:r>
            <w:instrText xml:space="preserve"> PAGEREF _Toc12325 \h </w:instrText>
          </w:r>
          <w:r>
            <w:fldChar w:fldCharType="separate"/>
          </w:r>
          <w:r>
            <w:t>5</w:t>
          </w:r>
          <w:r>
            <w:fldChar w:fldCharType="end"/>
          </w:r>
          <w:r>
            <w:rPr>
              <w:rFonts w:asciiTheme="minorHAnsi" w:hAnsiTheme="minorHAnsi" w:eastAsiaTheme="minorHAnsi" w:cstheme="minorBidi"/>
              <w:szCs w:val="24"/>
              <w:lang w:val="en-US" w:eastAsia="en-US" w:bidi="ar-SA"/>
            </w:rPr>
            <w:fldChar w:fldCharType="end"/>
          </w:r>
        </w:p>
        <w:p w14:paraId="6FBD30AA">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_Toc727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1.2.2 银行核心系统</w:t>
          </w:r>
          <w:r>
            <w:tab/>
          </w:r>
          <w:r>
            <w:fldChar w:fldCharType="begin"/>
          </w:r>
          <w:r>
            <w:instrText xml:space="preserve"> PAGEREF _Toc727 \h </w:instrText>
          </w:r>
          <w:r>
            <w:fldChar w:fldCharType="separate"/>
          </w:r>
          <w:r>
            <w:t>5</w:t>
          </w:r>
          <w:r>
            <w:fldChar w:fldCharType="end"/>
          </w:r>
          <w:r>
            <w:rPr>
              <w:rFonts w:asciiTheme="minorHAnsi" w:hAnsiTheme="minorHAnsi" w:eastAsiaTheme="minorHAnsi" w:cstheme="minorBidi"/>
              <w:szCs w:val="24"/>
              <w:lang w:val="en-US" w:eastAsia="en-US" w:bidi="ar-SA"/>
            </w:rPr>
            <w:fldChar w:fldCharType="end"/>
          </w:r>
        </w:p>
        <w:p w14:paraId="0EB1EEB2">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_Toc19086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1.2.3 ATM 设备</w:t>
          </w:r>
          <w:r>
            <w:tab/>
          </w:r>
          <w:r>
            <w:fldChar w:fldCharType="begin"/>
          </w:r>
          <w:r>
            <w:instrText xml:space="preserve"> PAGEREF _Toc19086 \h </w:instrText>
          </w:r>
          <w:r>
            <w:fldChar w:fldCharType="separate"/>
          </w:r>
          <w:r>
            <w:t>6</w:t>
          </w:r>
          <w:r>
            <w:fldChar w:fldCharType="end"/>
          </w:r>
          <w:r>
            <w:rPr>
              <w:rFonts w:asciiTheme="minorHAnsi" w:hAnsiTheme="minorHAnsi" w:eastAsiaTheme="minorHAnsi" w:cstheme="minorBidi"/>
              <w:szCs w:val="24"/>
              <w:lang w:val="en-US" w:eastAsia="en-US" w:bidi="ar-SA"/>
            </w:rPr>
            <w:fldChar w:fldCharType="end"/>
          </w:r>
        </w:p>
        <w:p w14:paraId="5C87121F">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_Toc26289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1.2.4 管理员（可选参与者）</w:t>
          </w:r>
          <w:r>
            <w:tab/>
          </w:r>
          <w:r>
            <w:fldChar w:fldCharType="begin"/>
          </w:r>
          <w:r>
            <w:instrText xml:space="preserve"> PAGEREF _Toc26289 \h </w:instrText>
          </w:r>
          <w:r>
            <w:fldChar w:fldCharType="separate"/>
          </w:r>
          <w:r>
            <w:t>6</w:t>
          </w:r>
          <w:r>
            <w:fldChar w:fldCharType="end"/>
          </w:r>
          <w:r>
            <w:rPr>
              <w:rFonts w:asciiTheme="minorHAnsi" w:hAnsiTheme="minorHAnsi" w:eastAsiaTheme="minorHAnsi" w:cstheme="minorBidi"/>
              <w:szCs w:val="24"/>
              <w:lang w:val="en-US" w:eastAsia="en-US" w:bidi="ar-SA"/>
            </w:rPr>
            <w:fldChar w:fldCharType="end"/>
          </w:r>
        </w:p>
        <w:p w14:paraId="0D6F6DF7">
          <w:pPr>
            <w:pStyle w:val="18"/>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_Toc24669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1.3 系统边界与功能范围</w:t>
          </w:r>
          <w:r>
            <w:tab/>
          </w:r>
          <w:r>
            <w:fldChar w:fldCharType="begin"/>
          </w:r>
          <w:r>
            <w:instrText xml:space="preserve"> PAGEREF _Toc24669 \h </w:instrText>
          </w:r>
          <w:r>
            <w:fldChar w:fldCharType="separate"/>
          </w:r>
          <w:r>
            <w:t>7</w:t>
          </w:r>
          <w:r>
            <w:fldChar w:fldCharType="end"/>
          </w:r>
          <w:r>
            <w:rPr>
              <w:rFonts w:asciiTheme="minorHAnsi" w:hAnsiTheme="minorHAnsi" w:eastAsiaTheme="minorHAnsi" w:cstheme="minorBidi"/>
              <w:szCs w:val="24"/>
              <w:lang w:val="en-US" w:eastAsia="en-US" w:bidi="ar-SA"/>
            </w:rPr>
            <w:fldChar w:fldCharType="end"/>
          </w:r>
        </w:p>
        <w:p w14:paraId="67EE2976">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_Toc20814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1.3.1 术语表（Glossary）</w:t>
          </w:r>
          <w:r>
            <w:tab/>
          </w:r>
          <w:r>
            <w:fldChar w:fldCharType="begin"/>
          </w:r>
          <w:r>
            <w:instrText xml:space="preserve"> PAGEREF _Toc20814 \h </w:instrText>
          </w:r>
          <w:r>
            <w:fldChar w:fldCharType="separate"/>
          </w:r>
          <w:r>
            <w:t>7</w:t>
          </w:r>
          <w:r>
            <w:fldChar w:fldCharType="end"/>
          </w:r>
          <w:r>
            <w:rPr>
              <w:rFonts w:asciiTheme="minorHAnsi" w:hAnsiTheme="minorHAnsi" w:eastAsiaTheme="minorHAnsi" w:cstheme="minorBidi"/>
              <w:szCs w:val="24"/>
              <w:lang w:val="en-US" w:eastAsia="en-US" w:bidi="ar-SA"/>
            </w:rPr>
            <w:fldChar w:fldCharType="end"/>
          </w:r>
        </w:p>
        <w:p w14:paraId="75EDBFF1">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_Toc19473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1.3.</w:t>
          </w:r>
          <w:r>
            <w:rPr>
              <w:rFonts w:hint="eastAsia" w:ascii="Times New Roman" w:hAnsi="Times New Roman" w:eastAsia="黑体"/>
              <w:lang w:val="en-US" w:eastAsia="zh-CN"/>
            </w:rPr>
            <w:t>2</w:t>
          </w:r>
          <w:r>
            <w:rPr>
              <w:rFonts w:ascii="Times New Roman" w:hAnsi="Times New Roman" w:eastAsia="黑体"/>
              <w:lang w:eastAsia="zh-CN"/>
            </w:rPr>
            <w:t xml:space="preserve"> </w:t>
          </w:r>
          <w:r>
            <w:rPr>
              <w:rFonts w:hint="eastAsia" w:ascii="Times New Roman" w:hAnsi="Times New Roman" w:eastAsia="黑体"/>
              <w:lang w:val="en-US" w:eastAsia="zh-CN"/>
            </w:rPr>
            <w:t>系统功能边界说明</w:t>
          </w:r>
          <w:r>
            <w:tab/>
          </w:r>
          <w:r>
            <w:fldChar w:fldCharType="begin"/>
          </w:r>
          <w:r>
            <w:instrText xml:space="preserve"> PAGEREF _Toc19473 \h </w:instrText>
          </w:r>
          <w:r>
            <w:fldChar w:fldCharType="separate"/>
          </w:r>
          <w:r>
            <w:t>10</w:t>
          </w:r>
          <w:r>
            <w:fldChar w:fldCharType="end"/>
          </w:r>
          <w:r>
            <w:rPr>
              <w:rFonts w:asciiTheme="minorHAnsi" w:hAnsiTheme="minorHAnsi" w:eastAsiaTheme="minorHAnsi" w:cstheme="minorBidi"/>
              <w:szCs w:val="24"/>
              <w:lang w:val="en-US" w:eastAsia="en-US" w:bidi="ar-SA"/>
            </w:rPr>
            <w:fldChar w:fldCharType="end"/>
          </w:r>
        </w:p>
        <w:p w14:paraId="3E93F1AC">
          <w:pPr>
            <w:pStyle w:val="18"/>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_Toc31924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1.4 用例图</w:t>
          </w:r>
          <w:r>
            <w:tab/>
          </w:r>
          <w:r>
            <w:fldChar w:fldCharType="begin"/>
          </w:r>
          <w:r>
            <w:instrText xml:space="preserve"> PAGEREF _Toc31924 \h </w:instrText>
          </w:r>
          <w:r>
            <w:fldChar w:fldCharType="separate"/>
          </w:r>
          <w:r>
            <w:t>11</w:t>
          </w:r>
          <w:r>
            <w:fldChar w:fldCharType="end"/>
          </w:r>
          <w:r>
            <w:rPr>
              <w:rFonts w:asciiTheme="minorHAnsi" w:hAnsiTheme="minorHAnsi" w:eastAsiaTheme="minorHAnsi" w:cstheme="minorBidi"/>
              <w:szCs w:val="24"/>
              <w:lang w:val="en-US" w:eastAsia="en-US" w:bidi="ar-SA"/>
            </w:rPr>
            <w:fldChar w:fldCharType="end"/>
          </w:r>
        </w:p>
        <w:p w14:paraId="1CE704E8">
          <w:pPr>
            <w:pStyle w:val="18"/>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_Toc10999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1.5 核心用例规约</w:t>
          </w:r>
          <w:r>
            <w:tab/>
          </w:r>
          <w:r>
            <w:fldChar w:fldCharType="begin"/>
          </w:r>
          <w:r>
            <w:instrText xml:space="preserve"> PAGEREF _Toc10999 \h </w:instrText>
          </w:r>
          <w:r>
            <w:fldChar w:fldCharType="separate"/>
          </w:r>
          <w:r>
            <w:t>12</w:t>
          </w:r>
          <w:r>
            <w:fldChar w:fldCharType="end"/>
          </w:r>
          <w:r>
            <w:rPr>
              <w:rFonts w:asciiTheme="minorHAnsi" w:hAnsiTheme="minorHAnsi" w:eastAsiaTheme="minorHAnsi" w:cstheme="minorBidi"/>
              <w:szCs w:val="24"/>
              <w:lang w:val="en-US" w:eastAsia="en-US" w:bidi="ar-SA"/>
            </w:rPr>
            <w:fldChar w:fldCharType="end"/>
          </w:r>
        </w:p>
        <w:p w14:paraId="2FB0B3FB">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_Toc14043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1.5.1 用例一：登录认证</w:t>
          </w:r>
          <w:r>
            <w:tab/>
          </w:r>
          <w:r>
            <w:fldChar w:fldCharType="begin"/>
          </w:r>
          <w:r>
            <w:instrText xml:space="preserve"> PAGEREF _Toc14043 \h </w:instrText>
          </w:r>
          <w:r>
            <w:fldChar w:fldCharType="separate"/>
          </w:r>
          <w:r>
            <w:t>13</w:t>
          </w:r>
          <w:r>
            <w:fldChar w:fldCharType="end"/>
          </w:r>
          <w:r>
            <w:rPr>
              <w:rFonts w:asciiTheme="minorHAnsi" w:hAnsiTheme="minorHAnsi" w:eastAsiaTheme="minorHAnsi" w:cstheme="minorBidi"/>
              <w:szCs w:val="24"/>
              <w:lang w:val="en-US" w:eastAsia="en-US" w:bidi="ar-SA"/>
            </w:rPr>
            <w:fldChar w:fldCharType="end"/>
          </w:r>
        </w:p>
        <w:p w14:paraId="621FB765">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_Toc2459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1.5.2 用例二：查询余额</w:t>
          </w:r>
          <w:r>
            <w:tab/>
          </w:r>
          <w:r>
            <w:fldChar w:fldCharType="begin"/>
          </w:r>
          <w:r>
            <w:instrText xml:space="preserve"> PAGEREF _Toc2459 \h </w:instrText>
          </w:r>
          <w:r>
            <w:fldChar w:fldCharType="separate"/>
          </w:r>
          <w:r>
            <w:t>14</w:t>
          </w:r>
          <w:r>
            <w:fldChar w:fldCharType="end"/>
          </w:r>
          <w:r>
            <w:rPr>
              <w:rFonts w:asciiTheme="minorHAnsi" w:hAnsiTheme="minorHAnsi" w:eastAsiaTheme="minorHAnsi" w:cstheme="minorBidi"/>
              <w:szCs w:val="24"/>
              <w:lang w:val="en-US" w:eastAsia="en-US" w:bidi="ar-SA"/>
            </w:rPr>
            <w:fldChar w:fldCharType="end"/>
          </w:r>
        </w:p>
        <w:p w14:paraId="13004E7A">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_Toc16068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1.5.3 用例三：取款</w:t>
          </w:r>
          <w:r>
            <w:tab/>
          </w:r>
          <w:r>
            <w:fldChar w:fldCharType="begin"/>
          </w:r>
          <w:r>
            <w:instrText xml:space="preserve"> PAGEREF _Toc16068 \h </w:instrText>
          </w:r>
          <w:r>
            <w:fldChar w:fldCharType="separate"/>
          </w:r>
          <w:r>
            <w:t>15</w:t>
          </w:r>
          <w:r>
            <w:fldChar w:fldCharType="end"/>
          </w:r>
          <w:r>
            <w:rPr>
              <w:rFonts w:asciiTheme="minorHAnsi" w:hAnsiTheme="minorHAnsi" w:eastAsiaTheme="minorHAnsi" w:cstheme="minorBidi"/>
              <w:szCs w:val="24"/>
              <w:lang w:val="en-US" w:eastAsia="en-US" w:bidi="ar-SA"/>
            </w:rPr>
            <w:fldChar w:fldCharType="end"/>
          </w:r>
        </w:p>
        <w:p w14:paraId="12D67FC5">
          <w:pPr>
            <w:pStyle w:val="22"/>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_Toc9465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1.5.4 用例四：转账</w:t>
          </w:r>
          <w:r>
            <w:tab/>
          </w:r>
          <w:r>
            <w:fldChar w:fldCharType="begin"/>
          </w:r>
          <w:r>
            <w:instrText xml:space="preserve"> PAGEREF _Toc9465 \h </w:instrText>
          </w:r>
          <w:r>
            <w:fldChar w:fldCharType="separate"/>
          </w:r>
          <w:r>
            <w:t>16</w:t>
          </w:r>
          <w:r>
            <w:fldChar w:fldCharType="end"/>
          </w:r>
          <w:r>
            <w:rPr>
              <w:rFonts w:asciiTheme="minorHAnsi" w:hAnsiTheme="minorHAnsi" w:eastAsiaTheme="minorHAnsi" w:cstheme="minorBidi"/>
              <w:szCs w:val="24"/>
              <w:lang w:val="en-US" w:eastAsia="en-US" w:bidi="ar-SA"/>
            </w:rPr>
            <w:fldChar w:fldCharType="end"/>
          </w:r>
        </w:p>
        <w:p w14:paraId="6117B154">
          <w:pPr>
            <w:pStyle w:val="18"/>
            <w:tabs>
              <w:tab w:val="right" w:leader="dot" w:pos="9179"/>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_Toc30589 </w:instrText>
          </w:r>
          <w:r>
            <w:rPr>
              <w:rFonts w:asciiTheme="minorHAnsi" w:hAnsiTheme="minorHAnsi" w:eastAsiaTheme="minorHAnsi" w:cstheme="minorBidi"/>
              <w:szCs w:val="24"/>
              <w:lang w:val="en-US" w:eastAsia="en-US" w:bidi="ar-SA"/>
            </w:rPr>
            <w:fldChar w:fldCharType="separate"/>
          </w:r>
          <w:r>
            <w:rPr>
              <w:rFonts w:ascii="Times New Roman" w:hAnsi="Times New Roman" w:eastAsia="黑体"/>
              <w:lang w:eastAsia="zh-CN"/>
            </w:rPr>
            <w:t>1.6 本章小结</w:t>
          </w:r>
          <w:r>
            <w:rPr>
              <w:rFonts w:hint="eastAsia" w:ascii="Times New Roman" w:hAnsi="Times New Roman" w:eastAsia="黑体"/>
              <w:lang w:val="en-US" w:eastAsia="zh-CN"/>
            </w:rPr>
            <w:t>与补充说明</w:t>
          </w:r>
          <w:r>
            <w:tab/>
          </w:r>
          <w:r>
            <w:fldChar w:fldCharType="begin"/>
          </w:r>
          <w:r>
            <w:instrText xml:space="preserve"> PAGEREF _Toc30589 \h </w:instrText>
          </w:r>
          <w:r>
            <w:fldChar w:fldCharType="separate"/>
          </w:r>
          <w:r>
            <w:t>18</w:t>
          </w:r>
          <w:r>
            <w:fldChar w:fldCharType="end"/>
          </w:r>
          <w:r>
            <w:rPr>
              <w:rFonts w:asciiTheme="minorHAnsi" w:hAnsiTheme="minorHAnsi" w:eastAsiaTheme="minorHAnsi" w:cstheme="minorBidi"/>
              <w:szCs w:val="24"/>
              <w:lang w:val="en-US" w:eastAsia="en-US" w:bidi="ar-SA"/>
            </w:rPr>
            <w:fldChar w:fldCharType="end"/>
          </w:r>
        </w:p>
        <w:p w14:paraId="270E8586">
          <w:pPr>
            <w:rPr>
              <w:rFonts w:asciiTheme="minorHAnsi" w:hAnsiTheme="minorHAnsi" w:eastAsiaTheme="minorHAnsi" w:cstheme="minorBidi"/>
              <w:sz w:val="24"/>
              <w:szCs w:val="24"/>
              <w:lang w:val="en-US" w:eastAsia="en-US" w:bidi="ar-SA"/>
            </w:rPr>
          </w:pPr>
          <w:r>
            <w:rPr>
              <w:rFonts w:asciiTheme="minorHAnsi" w:hAnsiTheme="minorHAnsi" w:eastAsiaTheme="minorHAnsi" w:cstheme="minorBidi"/>
              <w:szCs w:val="24"/>
              <w:lang w:val="en-US" w:eastAsia="en-US" w:bidi="ar-SA"/>
            </w:rPr>
            <w:fldChar w:fldCharType="end"/>
          </w:r>
        </w:p>
      </w:sdtContent>
    </w:sdt>
    <w:p w14:paraId="4BD15783">
      <w:pPr>
        <w:rPr>
          <w:rFonts w:asciiTheme="minorHAnsi" w:hAnsiTheme="minorHAnsi" w:eastAsiaTheme="minorHAnsi" w:cstheme="minorBidi"/>
          <w:sz w:val="24"/>
          <w:szCs w:val="24"/>
          <w:lang w:val="en-US" w:eastAsia="en-US" w:bidi="ar-SA"/>
        </w:rPr>
      </w:pPr>
    </w:p>
    <w:p w14:paraId="4FA1E35D">
      <w:pPr>
        <w:adjustRightInd w:val="0"/>
        <w:spacing w:before="320" w:line="300" w:lineRule="auto"/>
        <w:jc w:val="both"/>
        <w:outlineLvl w:val="9"/>
        <w:rPr>
          <w:rFonts w:ascii="Times New Roman" w:hAnsi="Times New Roman" w:eastAsia="黑体" w:cs="Times New Roman"/>
          <w:color w:val="000000"/>
          <w:kern w:val="44"/>
          <w:sz w:val="32"/>
          <w:szCs w:val="44"/>
        </w:rPr>
      </w:pPr>
      <w:bookmarkStart w:id="34" w:name="_GoBack"/>
      <w:bookmarkEnd w:id="34"/>
    </w:p>
    <w:p w14:paraId="6C9D9D6E">
      <w:pPr>
        <w:adjustRightInd w:val="0"/>
        <w:spacing w:before="320" w:line="300" w:lineRule="auto"/>
        <w:jc w:val="both"/>
        <w:outlineLvl w:val="9"/>
        <w:rPr>
          <w:rFonts w:ascii="Times New Roman" w:hAnsi="Times New Roman" w:eastAsia="黑体" w:cs="Times New Roman"/>
          <w:color w:val="000000"/>
          <w:kern w:val="44"/>
          <w:sz w:val="32"/>
          <w:szCs w:val="44"/>
        </w:rPr>
      </w:pPr>
    </w:p>
    <w:p w14:paraId="3E8C9255">
      <w:pPr>
        <w:adjustRightInd w:val="0"/>
        <w:spacing w:before="320" w:line="300" w:lineRule="auto"/>
        <w:jc w:val="both"/>
        <w:outlineLvl w:val="9"/>
        <w:rPr>
          <w:rFonts w:ascii="Times New Roman" w:hAnsi="Times New Roman" w:eastAsia="黑体" w:cs="Times New Roman"/>
          <w:color w:val="000000"/>
          <w:kern w:val="44"/>
          <w:sz w:val="32"/>
          <w:szCs w:val="44"/>
        </w:rPr>
      </w:pPr>
    </w:p>
    <w:p w14:paraId="49796298">
      <w:pPr>
        <w:adjustRightInd w:val="0"/>
        <w:spacing w:before="320" w:line="300" w:lineRule="auto"/>
        <w:jc w:val="both"/>
        <w:outlineLvl w:val="9"/>
        <w:rPr>
          <w:rFonts w:ascii="Times New Roman" w:hAnsi="Times New Roman" w:eastAsia="黑体" w:cs="Times New Roman"/>
          <w:color w:val="000000"/>
          <w:kern w:val="44"/>
          <w:sz w:val="32"/>
          <w:szCs w:val="44"/>
        </w:rPr>
      </w:pPr>
    </w:p>
    <w:p w14:paraId="6AF0EB8A">
      <w:pPr>
        <w:adjustRightInd w:val="0"/>
        <w:spacing w:before="320" w:line="300" w:lineRule="auto"/>
        <w:jc w:val="both"/>
        <w:outlineLvl w:val="9"/>
        <w:rPr>
          <w:rFonts w:ascii="Times New Roman" w:hAnsi="Times New Roman" w:eastAsia="黑体" w:cs="Times New Roman"/>
          <w:color w:val="000000"/>
          <w:kern w:val="44"/>
          <w:sz w:val="32"/>
          <w:szCs w:val="44"/>
        </w:rPr>
      </w:pPr>
    </w:p>
    <w:p w14:paraId="0FB6CE16">
      <w:pPr>
        <w:spacing w:before="280" w:after="160"/>
        <w:outlineLvl w:val="9"/>
        <w:rPr>
          <w:rFonts w:hint="eastAsia" w:ascii="Times New Roman" w:hAnsi="Times New Roman" w:eastAsia="黑体"/>
          <w:b/>
          <w:sz w:val="36"/>
          <w:lang w:val="en-US" w:eastAsia="zh-CN"/>
        </w:rPr>
      </w:pPr>
      <w:r>
        <w:rPr>
          <w:rFonts w:hint="eastAsia" w:ascii="Times New Roman" w:hAnsi="Times New Roman" w:eastAsia="黑体"/>
          <w:b/>
          <w:sz w:val="36"/>
          <w:lang w:val="en-US" w:eastAsia="zh-CN"/>
        </w:rPr>
        <w:t>迭代整体计划</w:t>
      </w:r>
    </w:p>
    <w:p w14:paraId="26D1048E">
      <w:pPr>
        <w:adjustRightInd w:val="0"/>
        <w:spacing w:before="320" w:line="300" w:lineRule="auto"/>
        <w:jc w:val="both"/>
        <w:outlineLvl w:val="9"/>
        <w:rPr>
          <w:rFonts w:ascii="Times New Roman" w:hAnsi="Times New Roman" w:eastAsia="黑体" w:cs="Times New Roman"/>
          <w:color w:val="000000"/>
          <w:kern w:val="44"/>
          <w:sz w:val="32"/>
          <w:szCs w:val="44"/>
        </w:rPr>
      </w:pPr>
      <w:r>
        <w:drawing>
          <wp:inline distT="0" distB="0" distL="114300" distR="114300">
            <wp:extent cx="5880100" cy="2395220"/>
            <wp:effectExtent l="0" t="0" r="571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880100" cy="2395220"/>
                    </a:xfrm>
                    <a:prstGeom prst="rect">
                      <a:avLst/>
                    </a:prstGeom>
                    <a:noFill/>
                    <a:ln>
                      <a:noFill/>
                    </a:ln>
                  </pic:spPr>
                </pic:pic>
              </a:graphicData>
            </a:graphic>
          </wp:inline>
        </w:drawing>
      </w:r>
    </w:p>
    <w:p w14:paraId="4ABD1D2F">
      <w:pPr>
        <w:adjustRightInd w:val="0"/>
        <w:spacing w:before="320" w:line="300" w:lineRule="auto"/>
        <w:jc w:val="both"/>
        <w:outlineLvl w:val="0"/>
        <w:rPr>
          <w:rFonts w:ascii="Times New Roman" w:hAnsi="Times New Roman" w:eastAsia="黑体" w:cs="Times New Roman"/>
          <w:color w:val="000000"/>
          <w:kern w:val="44"/>
          <w:szCs w:val="44"/>
        </w:rPr>
      </w:pPr>
      <w:bookmarkStart w:id="3" w:name="_Toc4983"/>
      <w:r>
        <w:rPr>
          <w:rFonts w:ascii="Times New Roman" w:hAnsi="Times New Roman" w:eastAsia="黑体" w:cs="Times New Roman"/>
          <w:color w:val="000000"/>
          <w:kern w:val="44"/>
          <w:sz w:val="32"/>
          <w:szCs w:val="44"/>
        </w:rPr>
        <w:t>第一章 初始阶段</w:t>
      </w:r>
      <w:bookmarkEnd w:id="3"/>
    </w:p>
    <w:p w14:paraId="54155F87">
      <w:pPr>
        <w:spacing w:before="280" w:after="160"/>
        <w:outlineLvl w:val="0"/>
      </w:pPr>
      <w:bookmarkStart w:id="4" w:name="_Toc26621"/>
      <w:bookmarkStart w:id="5" w:name="_Toc18241"/>
      <w:r>
        <w:rPr>
          <w:rFonts w:ascii="Times New Roman" w:hAnsi="Times New Roman" w:eastAsia="黑体"/>
          <w:b/>
          <w:sz w:val="36"/>
        </w:rPr>
        <w:t>1.1 系统背景</w:t>
      </w:r>
      <w:bookmarkEnd w:id="4"/>
      <w:bookmarkEnd w:id="5"/>
    </w:p>
    <w:p w14:paraId="52FE9482">
      <w:pPr>
        <w:spacing w:after="120" w:line="360" w:lineRule="auto"/>
        <w:ind w:firstLine="420"/>
        <w:jc w:val="both"/>
        <w:rPr>
          <w:lang w:eastAsia="zh-CN"/>
        </w:rPr>
      </w:pPr>
      <w:r>
        <w:rPr>
          <w:rFonts w:ascii="Times New Roman" w:hAnsi="Times New Roman" w:eastAsia="宋体"/>
          <w:lang w:eastAsia="zh-CN"/>
        </w:rPr>
        <w:t>ATM 自动取款机系统是银行面向客户提供自助金融服务的重要终端。客户通过 ATM 可以在非柜台场景下完成取款、存款、查询余额、转账、修改密码、打印凭条和退卡等业务，从而缓解人工柜台压力，提高服务效率，并改善客户在常规营业时间之外的自助服务体验。</w:t>
      </w:r>
    </w:p>
    <w:p w14:paraId="0B943099">
      <w:pPr>
        <w:spacing w:after="120" w:line="360" w:lineRule="auto"/>
        <w:ind w:firstLine="420"/>
        <w:jc w:val="both"/>
        <w:rPr>
          <w:lang w:eastAsia="zh-CN"/>
        </w:rPr>
      </w:pPr>
      <w:r>
        <w:rPr>
          <w:rFonts w:ascii="Times New Roman" w:hAnsi="Times New Roman" w:eastAsia="宋体"/>
          <w:lang w:eastAsia="zh-CN"/>
        </w:rPr>
        <w:t>本课程作业以虚拟 ATM 系统为研究对象，结合《软件分析设计与建模实验要求》和既有 UML 作业方案，在“先分析建模、后迭代细化”的思路下推进。项目采用前后端分离架构：前端使用 Vue 3、Vite、Vue Router、Pinia、Axios，后端使用 Java 17、Spring Boot、Spring Web、Validation、MyBatis，数据存储采用 MySQL，建模与接口说明采用 Markdown、Mermaid 和 OpenAPI。</w:t>
      </w:r>
    </w:p>
    <w:p w14:paraId="4F190A3D">
      <w:pPr>
        <w:spacing w:after="120" w:line="360" w:lineRule="auto"/>
        <w:ind w:firstLine="420"/>
        <w:jc w:val="both"/>
        <w:rPr>
          <w:lang w:eastAsia="zh-CN"/>
        </w:rPr>
      </w:pPr>
      <w:r>
        <w:rPr>
          <w:rFonts w:ascii="Times New Roman" w:hAnsi="Times New Roman" w:eastAsia="宋体"/>
          <w:lang w:eastAsia="zh-CN"/>
        </w:rPr>
        <w:t>结合《UML 和模式应用》第二部分“初始阶段”的观点，初始阶段并不是一次性定义全部需求，也不是在项目一开始就形成可靠预算和完整计划；它更像是一个较短的起始步骤，用来建立项目共同设想、划定基本范围、识别关键业务案例、发现重要风险，并判断项目是否值得继续深入。对 ATM 系统而言，本章的任务不是把所有功能都详细写完，而是在课程要求允许的粒度下，把后续细化迭代真正需要的“骨架”先搭起来。</w:t>
      </w:r>
    </w:p>
    <w:tbl>
      <w:tblPr>
        <w:tblStyle w:val="24"/>
        <w:tblW w:w="0" w:type="auto"/>
        <w:jc w:val="center"/>
        <w:tblLayout w:type="autofit"/>
        <w:tblCellMar>
          <w:top w:w="0" w:type="dxa"/>
          <w:left w:w="108" w:type="dxa"/>
          <w:bottom w:w="0" w:type="dxa"/>
          <w:right w:w="108" w:type="dxa"/>
        </w:tblCellMar>
      </w:tblPr>
      <w:tblGrid>
        <w:gridCol w:w="9179"/>
      </w:tblGrid>
      <w:tr w14:paraId="4444609A">
        <w:tblPrEx>
          <w:tblCellMar>
            <w:top w:w="0" w:type="dxa"/>
            <w:left w:w="108" w:type="dxa"/>
            <w:bottom w:w="0" w:type="dxa"/>
            <w:right w:w="108" w:type="dxa"/>
          </w:tblCellMar>
        </w:tblPrEx>
        <w:trPr>
          <w:jc w:val="center"/>
        </w:trPr>
        <w:tc>
          <w:tcPr>
            <w:tcW w:w="9179" w:type="dxa"/>
            <w:tcBorders>
              <w:top w:val="single" w:color="D9DFEA" w:sz="8" w:space="0"/>
              <w:left w:val="single" w:color="D9DFEA" w:sz="8" w:space="0"/>
              <w:bottom w:val="single" w:color="D9DFEA" w:sz="8" w:space="0"/>
              <w:right w:val="single" w:color="D9DFEA" w:sz="8" w:space="0"/>
            </w:tcBorders>
            <w:shd w:val="clear" w:color="auto" w:fill="F2F5FA"/>
            <w:tcMar>
              <w:top w:w="120" w:type="dxa"/>
              <w:left w:w="160" w:type="dxa"/>
              <w:bottom w:w="120" w:type="dxa"/>
              <w:right w:w="160" w:type="dxa"/>
            </w:tcMar>
          </w:tcPr>
          <w:p w14:paraId="0EAAA9E5">
            <w:pPr>
              <w:spacing w:after="0" w:line="300" w:lineRule="auto"/>
              <w:jc w:val="both"/>
              <w:rPr>
                <w:lang w:eastAsia="zh-CN"/>
              </w:rPr>
            </w:pPr>
            <w:r>
              <w:rPr>
                <w:rFonts w:ascii="Times New Roman" w:hAnsi="Times New Roman" w:eastAsia="宋体"/>
                <w:sz w:val="23"/>
                <w:lang w:eastAsia="zh-CN"/>
              </w:rPr>
              <w:t>按照课本关于初始阶段的说明，本阶段关注的是“建立共同设想、形成合理范围、抓住关键用例与关键约束”，而不是提前穷尽全部需求。对于 ATM 课程项目，这意味着应优先识别登录认证、余额查询、取款、转账等对架构和业务最关键的场景，并为后续细化迭代保留扩展空间。</w:t>
            </w:r>
          </w:p>
        </w:tc>
      </w:tr>
    </w:tbl>
    <w:p w14:paraId="0E3AC672">
      <w:pPr>
        <w:rPr>
          <w:lang w:eastAsia="zh-CN"/>
        </w:rPr>
      </w:pPr>
    </w:p>
    <w:p w14:paraId="7FDBB65D">
      <w:pPr>
        <w:spacing w:after="120" w:line="360" w:lineRule="auto"/>
        <w:ind w:firstLine="420"/>
        <w:jc w:val="both"/>
        <w:rPr>
          <w:lang w:eastAsia="zh-CN"/>
        </w:rPr>
      </w:pPr>
      <w:r>
        <w:rPr>
          <w:rFonts w:ascii="Times New Roman" w:hAnsi="Times New Roman" w:eastAsia="宋体"/>
          <w:lang w:eastAsia="zh-CN"/>
        </w:rPr>
        <w:t>本系统的建设目标包括：建立一个可演示的 ATM 业务原型系统；支持 ATM 核心业务流程的分析与建模；为后续三次细化迭代提供统一的需求基础；保证 UML 模型、接口设计与后续代码实现能够相互对应。同时，依据实验要求，系统将在完整业务语义下展开分析，但在后续实现中优先围绕显示模块及其与认证、账户、交易服务之间的交互关系进行深化。</w:t>
      </w:r>
    </w:p>
    <w:p w14:paraId="2AEFFB68">
      <w:pPr>
        <w:spacing w:after="120" w:line="360" w:lineRule="auto"/>
        <w:ind w:firstLine="420"/>
        <w:jc w:val="both"/>
        <w:rPr>
          <w:lang w:eastAsia="zh-CN"/>
        </w:rPr>
      </w:pPr>
      <w:r>
        <w:rPr>
          <w:rFonts w:ascii="Times New Roman" w:hAnsi="Times New Roman" w:eastAsia="宋体"/>
          <w:lang w:eastAsia="zh-CN"/>
        </w:rPr>
        <w:t>结合课本对“初始阶段制品”的描述和课程实验的分阶段交付要求，本章形成的主要成果可概括为下表。它们共同承担了“建立项目共同语言、明确边界、抓住关键场景、暴露主要风险”的职责，并将作为第二章及以后各迭代文档的输入。</w:t>
      </w:r>
    </w:p>
    <w:tbl>
      <w:tblPr>
        <w:tblStyle w:val="24"/>
        <w:tblW w:w="9395" w:type="dxa"/>
        <w:jc w:val="center"/>
        <w:tblLayout w:type="autofit"/>
        <w:tblCellMar>
          <w:top w:w="0" w:type="dxa"/>
          <w:left w:w="108" w:type="dxa"/>
          <w:bottom w:w="0" w:type="dxa"/>
          <w:right w:w="108" w:type="dxa"/>
        </w:tblCellMar>
      </w:tblPr>
      <w:tblGrid>
        <w:gridCol w:w="1855"/>
        <w:gridCol w:w="2290"/>
        <w:gridCol w:w="5250"/>
      </w:tblGrid>
      <w:tr w14:paraId="518C31F1">
        <w:tblPrEx>
          <w:tblCellMar>
            <w:top w:w="0" w:type="dxa"/>
            <w:left w:w="108" w:type="dxa"/>
            <w:bottom w:w="0" w:type="dxa"/>
            <w:right w:w="108" w:type="dxa"/>
          </w:tblCellMar>
        </w:tblPrEx>
        <w:trPr>
          <w:trHeight w:val="0" w:hRule="atLeast"/>
          <w:tblHeader/>
          <w:jc w:val="center"/>
        </w:trPr>
        <w:tc>
          <w:tcPr>
            <w:tcW w:w="1855" w:type="dxa"/>
            <w:tcBorders>
              <w:top w:val="single" w:color="BFC7D5" w:sz="12" w:space="0"/>
              <w:left w:val="nil"/>
              <w:bottom w:val="nil"/>
              <w:right w:val="nil"/>
            </w:tcBorders>
            <w:shd w:val="clear" w:color="auto" w:fill="E9EEF7"/>
            <w:noWrap w:val="0"/>
            <w:tcMar>
              <w:top w:w="100" w:type="dxa"/>
              <w:left w:w="120" w:type="dxa"/>
              <w:bottom w:w="100" w:type="dxa"/>
              <w:right w:w="120" w:type="dxa"/>
            </w:tcMar>
            <w:vAlign w:val="center"/>
          </w:tcPr>
          <w:p w14:paraId="538C94BB">
            <w:pPr>
              <w:snapToGrid w:val="0"/>
              <w:ind w:left="0" w:leftChars="0" w:right="0" w:rightChars="0" w:firstLine="0" w:firstLineChars="0"/>
              <w:jc w:val="center"/>
              <w:rPr>
                <w:rFonts w:ascii="Times New Roman" w:eastAsia="黑体"/>
                <w:b/>
                <w:sz w:val="23"/>
              </w:rPr>
            </w:pPr>
            <w:r>
              <w:rPr>
                <w:rFonts w:ascii="Times New Roman" w:hAnsi="Times New Roman" w:eastAsia="黑体"/>
                <w:b/>
                <w:sz w:val="23"/>
              </w:rPr>
              <w:t>制品</w:t>
            </w:r>
          </w:p>
        </w:tc>
        <w:tc>
          <w:tcPr>
            <w:tcW w:w="2290" w:type="dxa"/>
            <w:tcBorders>
              <w:top w:val="single" w:color="BFC7D5" w:sz="12" w:space="0"/>
              <w:left w:val="nil"/>
              <w:bottom w:val="nil"/>
              <w:right w:val="nil"/>
            </w:tcBorders>
            <w:shd w:val="clear" w:color="auto" w:fill="E9EEF7"/>
            <w:noWrap w:val="0"/>
            <w:tcMar>
              <w:top w:w="100" w:type="dxa"/>
              <w:left w:w="120" w:type="dxa"/>
              <w:bottom w:w="100" w:type="dxa"/>
              <w:right w:w="120" w:type="dxa"/>
            </w:tcMar>
            <w:vAlign w:val="center"/>
          </w:tcPr>
          <w:p w14:paraId="53329C81">
            <w:pPr>
              <w:snapToGrid w:val="0"/>
              <w:ind w:left="0" w:leftChars="0" w:right="0" w:rightChars="0" w:firstLine="0" w:firstLineChars="0"/>
              <w:jc w:val="center"/>
              <w:rPr>
                <w:rFonts w:ascii="Times New Roman" w:eastAsia="黑体"/>
                <w:b/>
                <w:sz w:val="23"/>
              </w:rPr>
            </w:pPr>
            <w:r>
              <w:rPr>
                <w:rFonts w:ascii="Times New Roman" w:hAnsi="Times New Roman" w:eastAsia="黑体"/>
                <w:b/>
                <w:sz w:val="23"/>
              </w:rPr>
              <w:t>在本文档中的对应</w:t>
            </w:r>
          </w:p>
        </w:tc>
        <w:tc>
          <w:tcPr>
            <w:tcW w:w="5250" w:type="dxa"/>
            <w:tcBorders>
              <w:top w:val="single" w:color="BFC7D5" w:sz="12" w:space="0"/>
              <w:left w:val="nil"/>
              <w:bottom w:val="nil"/>
              <w:right w:val="nil"/>
            </w:tcBorders>
            <w:shd w:val="clear" w:color="auto" w:fill="E9EEF7"/>
            <w:noWrap w:val="0"/>
            <w:tcMar>
              <w:top w:w="100" w:type="dxa"/>
              <w:left w:w="120" w:type="dxa"/>
              <w:bottom w:w="100" w:type="dxa"/>
              <w:right w:w="120" w:type="dxa"/>
            </w:tcMar>
            <w:vAlign w:val="center"/>
          </w:tcPr>
          <w:p w14:paraId="57AAE125">
            <w:pPr>
              <w:snapToGrid w:val="0"/>
              <w:ind w:left="0" w:leftChars="0" w:right="0" w:rightChars="0" w:firstLine="0" w:firstLineChars="0"/>
              <w:jc w:val="center"/>
              <w:rPr>
                <w:rFonts w:ascii="Times New Roman" w:eastAsia="黑体"/>
                <w:b/>
                <w:sz w:val="23"/>
              </w:rPr>
            </w:pPr>
            <w:r>
              <w:rPr>
                <w:rFonts w:ascii="Times New Roman" w:hAnsi="Times New Roman" w:eastAsia="黑体"/>
                <w:b/>
                <w:sz w:val="23"/>
              </w:rPr>
              <w:t>作用说明</w:t>
            </w:r>
          </w:p>
        </w:tc>
      </w:tr>
      <w:tr w14:paraId="2BD7179A">
        <w:tblPrEx>
          <w:tblCellMar>
            <w:top w:w="0" w:type="dxa"/>
            <w:left w:w="108" w:type="dxa"/>
            <w:bottom w:w="0" w:type="dxa"/>
            <w:right w:w="108" w:type="dxa"/>
          </w:tblCellMar>
        </w:tblPrEx>
        <w:trPr>
          <w:trHeight w:val="0" w:hRule="atLeast"/>
          <w:jc w:val="center"/>
        </w:trPr>
        <w:tc>
          <w:tcPr>
            <w:tcW w:w="1855" w:type="dxa"/>
            <w:tcBorders>
              <w:top w:val="single" w:color="BFC7D5" w:sz="4" w:space="0"/>
              <w:left w:val="nil"/>
              <w:bottom w:val="nil"/>
              <w:right w:val="nil"/>
            </w:tcBorders>
            <w:noWrap w:val="0"/>
            <w:tcMar>
              <w:top w:w="100" w:type="dxa"/>
              <w:left w:w="120" w:type="dxa"/>
              <w:bottom w:w="100" w:type="dxa"/>
              <w:right w:w="120" w:type="dxa"/>
            </w:tcMar>
            <w:vAlign w:val="center"/>
          </w:tcPr>
          <w:p w14:paraId="0A64BACD">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设想与系统背景</w:t>
            </w:r>
          </w:p>
        </w:tc>
        <w:tc>
          <w:tcPr>
            <w:tcW w:w="2290" w:type="dxa"/>
            <w:tcBorders>
              <w:top w:val="single" w:color="BFC7D5" w:sz="4" w:space="0"/>
              <w:left w:val="nil"/>
              <w:bottom w:val="nil"/>
              <w:right w:val="nil"/>
            </w:tcBorders>
            <w:noWrap w:val="0"/>
            <w:tcMar>
              <w:top w:w="100" w:type="dxa"/>
              <w:left w:w="120" w:type="dxa"/>
              <w:bottom w:w="100" w:type="dxa"/>
              <w:right w:w="120" w:type="dxa"/>
            </w:tcMar>
            <w:vAlign w:val="center"/>
          </w:tcPr>
          <w:p w14:paraId="555F128D">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1.1 系统背景</w:t>
            </w:r>
          </w:p>
        </w:tc>
        <w:tc>
          <w:tcPr>
            <w:tcW w:w="5250" w:type="dxa"/>
            <w:tcBorders>
              <w:top w:val="single" w:color="BFC7D5" w:sz="4" w:space="0"/>
              <w:left w:val="nil"/>
              <w:bottom w:val="nil"/>
              <w:right w:val="nil"/>
            </w:tcBorders>
            <w:noWrap w:val="0"/>
            <w:tcMar>
              <w:top w:w="100" w:type="dxa"/>
              <w:left w:w="120" w:type="dxa"/>
              <w:bottom w:w="100" w:type="dxa"/>
              <w:right w:w="120" w:type="dxa"/>
            </w:tcMar>
            <w:vAlign w:val="center"/>
          </w:tcPr>
          <w:p w14:paraId="3B57A163">
            <w:pPr>
              <w:snapToGrid w:val="0"/>
              <w:spacing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sz w:val="21"/>
                <w:lang w:eastAsia="zh-CN"/>
              </w:rPr>
              <w:t>用于建立项目共同设想，说明 ATM 系统建设动因、价值目标与课程交付定位。</w:t>
            </w:r>
          </w:p>
        </w:tc>
      </w:tr>
      <w:tr w14:paraId="7AFE6F31">
        <w:tblPrEx>
          <w:tblCellMar>
            <w:top w:w="0" w:type="dxa"/>
            <w:left w:w="108" w:type="dxa"/>
            <w:bottom w:w="0" w:type="dxa"/>
            <w:right w:w="108" w:type="dxa"/>
          </w:tblCellMar>
        </w:tblPrEx>
        <w:trPr>
          <w:trHeight w:val="0" w:hRule="atLeast"/>
          <w:jc w:val="center"/>
        </w:trPr>
        <w:tc>
          <w:tcPr>
            <w:tcW w:w="1855" w:type="dxa"/>
            <w:tcBorders>
              <w:top w:val="nil"/>
              <w:left w:val="nil"/>
              <w:bottom w:val="nil"/>
              <w:right w:val="nil"/>
            </w:tcBorders>
            <w:noWrap w:val="0"/>
            <w:tcMar>
              <w:top w:w="100" w:type="dxa"/>
              <w:left w:w="120" w:type="dxa"/>
              <w:bottom w:w="100" w:type="dxa"/>
              <w:right w:w="120" w:type="dxa"/>
            </w:tcMar>
            <w:vAlign w:val="center"/>
          </w:tcPr>
          <w:p w14:paraId="75B1311B">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用例模型</w:t>
            </w:r>
          </w:p>
        </w:tc>
        <w:tc>
          <w:tcPr>
            <w:tcW w:w="2290" w:type="dxa"/>
            <w:tcBorders>
              <w:top w:val="nil"/>
              <w:left w:val="nil"/>
              <w:bottom w:val="nil"/>
              <w:right w:val="nil"/>
            </w:tcBorders>
            <w:noWrap w:val="0"/>
            <w:tcMar>
              <w:top w:w="100" w:type="dxa"/>
              <w:left w:w="120" w:type="dxa"/>
              <w:bottom w:w="100" w:type="dxa"/>
              <w:right w:w="120" w:type="dxa"/>
            </w:tcMar>
            <w:vAlign w:val="center"/>
          </w:tcPr>
          <w:p w14:paraId="29B5C18F">
            <w:pPr>
              <w:snapToGrid w:val="0"/>
              <w:spacing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sz w:val="21"/>
                <w:lang w:eastAsia="zh-CN"/>
              </w:rPr>
              <w:t>1.4 用例图、1.5 核心用例规约</w:t>
            </w:r>
          </w:p>
        </w:tc>
        <w:tc>
          <w:tcPr>
            <w:tcW w:w="5250" w:type="dxa"/>
            <w:tcBorders>
              <w:top w:val="nil"/>
              <w:left w:val="nil"/>
              <w:bottom w:val="nil"/>
              <w:right w:val="nil"/>
            </w:tcBorders>
            <w:noWrap w:val="0"/>
            <w:tcMar>
              <w:top w:w="100" w:type="dxa"/>
              <w:left w:w="120" w:type="dxa"/>
              <w:bottom w:w="100" w:type="dxa"/>
              <w:right w:w="120" w:type="dxa"/>
            </w:tcMar>
            <w:vAlign w:val="center"/>
          </w:tcPr>
          <w:p w14:paraId="3CCF6264">
            <w:pPr>
              <w:snapToGrid w:val="0"/>
              <w:spacing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sz w:val="21"/>
                <w:lang w:eastAsia="zh-CN"/>
              </w:rPr>
              <w:t>用于识别主要参与者及用户目标，并优先细化对架构和业务影响最大的代表性用例。</w:t>
            </w:r>
          </w:p>
        </w:tc>
      </w:tr>
      <w:tr w14:paraId="242AA8E6">
        <w:tblPrEx>
          <w:tblCellMar>
            <w:top w:w="0" w:type="dxa"/>
            <w:left w:w="108" w:type="dxa"/>
            <w:bottom w:w="0" w:type="dxa"/>
            <w:right w:w="108" w:type="dxa"/>
          </w:tblCellMar>
        </w:tblPrEx>
        <w:trPr>
          <w:trHeight w:val="0" w:hRule="atLeast"/>
          <w:jc w:val="center"/>
        </w:trPr>
        <w:tc>
          <w:tcPr>
            <w:tcW w:w="1855" w:type="dxa"/>
            <w:tcBorders>
              <w:top w:val="nil"/>
              <w:left w:val="nil"/>
              <w:bottom w:val="nil"/>
              <w:right w:val="nil"/>
            </w:tcBorders>
            <w:noWrap w:val="0"/>
            <w:tcMar>
              <w:top w:w="100" w:type="dxa"/>
              <w:left w:w="120" w:type="dxa"/>
              <w:bottom w:w="100" w:type="dxa"/>
              <w:right w:w="120" w:type="dxa"/>
            </w:tcMar>
            <w:vAlign w:val="center"/>
          </w:tcPr>
          <w:p w14:paraId="0DFC94FA">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补充性规格说明</w:t>
            </w:r>
          </w:p>
        </w:tc>
        <w:tc>
          <w:tcPr>
            <w:tcW w:w="2290" w:type="dxa"/>
            <w:tcBorders>
              <w:top w:val="nil"/>
              <w:left w:val="nil"/>
              <w:bottom w:val="nil"/>
              <w:right w:val="nil"/>
            </w:tcBorders>
            <w:noWrap w:val="0"/>
            <w:tcMar>
              <w:top w:w="100" w:type="dxa"/>
              <w:left w:w="120" w:type="dxa"/>
              <w:bottom w:w="100" w:type="dxa"/>
              <w:right w:w="120" w:type="dxa"/>
            </w:tcMar>
            <w:vAlign w:val="center"/>
          </w:tcPr>
          <w:p w14:paraId="2DEBFD22">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1.3 系统边界与功能范围</w:t>
            </w:r>
          </w:p>
        </w:tc>
        <w:tc>
          <w:tcPr>
            <w:tcW w:w="5250" w:type="dxa"/>
            <w:tcBorders>
              <w:top w:val="nil"/>
              <w:left w:val="nil"/>
              <w:bottom w:val="nil"/>
              <w:right w:val="nil"/>
            </w:tcBorders>
            <w:noWrap w:val="0"/>
            <w:tcMar>
              <w:top w:w="100" w:type="dxa"/>
              <w:left w:w="120" w:type="dxa"/>
              <w:bottom w:w="100" w:type="dxa"/>
              <w:right w:w="120" w:type="dxa"/>
            </w:tcMar>
            <w:vAlign w:val="center"/>
          </w:tcPr>
          <w:p w14:paraId="515AD1AD">
            <w:pPr>
              <w:snapToGrid w:val="0"/>
              <w:spacing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sz w:val="21"/>
                <w:lang w:eastAsia="zh-CN"/>
              </w:rPr>
              <w:t>记录用例之外的重要约束，尤其是 FURPS+ 视角下的初始非功能需求与接口约束。</w:t>
            </w:r>
          </w:p>
        </w:tc>
      </w:tr>
      <w:tr w14:paraId="6903AC3F">
        <w:tblPrEx>
          <w:tblCellMar>
            <w:top w:w="0" w:type="dxa"/>
            <w:left w:w="108" w:type="dxa"/>
            <w:bottom w:w="0" w:type="dxa"/>
            <w:right w:w="108" w:type="dxa"/>
          </w:tblCellMar>
        </w:tblPrEx>
        <w:trPr>
          <w:trHeight w:val="0" w:hRule="atLeast"/>
          <w:jc w:val="center"/>
        </w:trPr>
        <w:tc>
          <w:tcPr>
            <w:tcW w:w="1855" w:type="dxa"/>
            <w:tcBorders>
              <w:top w:val="nil"/>
              <w:left w:val="nil"/>
              <w:bottom w:val="nil"/>
              <w:right w:val="nil"/>
            </w:tcBorders>
            <w:noWrap w:val="0"/>
            <w:tcMar>
              <w:top w:w="100" w:type="dxa"/>
              <w:left w:w="120" w:type="dxa"/>
              <w:bottom w:w="100" w:type="dxa"/>
              <w:right w:w="120" w:type="dxa"/>
            </w:tcMar>
            <w:vAlign w:val="center"/>
          </w:tcPr>
          <w:p w14:paraId="139E4B3C">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词汇与领域术语</w:t>
            </w:r>
          </w:p>
        </w:tc>
        <w:tc>
          <w:tcPr>
            <w:tcW w:w="2290" w:type="dxa"/>
            <w:tcBorders>
              <w:top w:val="nil"/>
              <w:left w:val="nil"/>
              <w:bottom w:val="nil"/>
              <w:right w:val="nil"/>
            </w:tcBorders>
            <w:noWrap w:val="0"/>
            <w:tcMar>
              <w:top w:w="100" w:type="dxa"/>
              <w:left w:w="120" w:type="dxa"/>
              <w:bottom w:w="100" w:type="dxa"/>
              <w:right w:w="120" w:type="dxa"/>
            </w:tcMar>
            <w:vAlign w:val="center"/>
          </w:tcPr>
          <w:p w14:paraId="3AB901CE">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1.1、1.2、1.3 相关术语说明</w:t>
            </w:r>
          </w:p>
        </w:tc>
        <w:tc>
          <w:tcPr>
            <w:tcW w:w="5250" w:type="dxa"/>
            <w:tcBorders>
              <w:top w:val="nil"/>
              <w:left w:val="nil"/>
              <w:bottom w:val="nil"/>
              <w:right w:val="nil"/>
            </w:tcBorders>
            <w:noWrap w:val="0"/>
            <w:tcMar>
              <w:top w:w="100" w:type="dxa"/>
              <w:left w:w="120" w:type="dxa"/>
              <w:bottom w:w="100" w:type="dxa"/>
              <w:right w:w="120" w:type="dxa"/>
            </w:tcMar>
            <w:vAlign w:val="center"/>
          </w:tcPr>
          <w:p w14:paraId="668720D6">
            <w:pPr>
              <w:snapToGrid w:val="0"/>
              <w:spacing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sz w:val="21"/>
                <w:lang w:eastAsia="zh-CN"/>
              </w:rPr>
              <w:t>保证“账户、会话、交易流水、银行核心系统”等关键概念在小组内部表达一致。</w:t>
            </w:r>
          </w:p>
        </w:tc>
      </w:tr>
      <w:tr w14:paraId="48710339">
        <w:tblPrEx>
          <w:tblCellMar>
            <w:top w:w="0" w:type="dxa"/>
            <w:left w:w="108" w:type="dxa"/>
            <w:bottom w:w="0" w:type="dxa"/>
            <w:right w:w="108" w:type="dxa"/>
          </w:tblCellMar>
        </w:tblPrEx>
        <w:trPr>
          <w:trHeight w:val="0" w:hRule="atLeast"/>
          <w:jc w:val="center"/>
        </w:trPr>
        <w:tc>
          <w:tcPr>
            <w:tcW w:w="1855" w:type="dxa"/>
            <w:tcBorders>
              <w:top w:val="nil"/>
              <w:left w:val="nil"/>
              <w:bottom w:val="nil"/>
              <w:right w:val="nil"/>
            </w:tcBorders>
            <w:noWrap w:val="0"/>
            <w:tcMar>
              <w:top w:w="100" w:type="dxa"/>
              <w:left w:w="120" w:type="dxa"/>
              <w:bottom w:w="100" w:type="dxa"/>
              <w:right w:w="120" w:type="dxa"/>
            </w:tcMar>
            <w:vAlign w:val="center"/>
          </w:tcPr>
          <w:p w14:paraId="4CF3EC6A">
            <w:pPr>
              <w:snapToGrid w:val="0"/>
              <w:spacing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sz w:val="21"/>
                <w:lang w:eastAsia="zh-CN"/>
              </w:rPr>
              <w:t>风险与初始迭代关注点</w:t>
            </w:r>
          </w:p>
        </w:tc>
        <w:tc>
          <w:tcPr>
            <w:tcW w:w="2290" w:type="dxa"/>
            <w:tcBorders>
              <w:top w:val="nil"/>
              <w:left w:val="nil"/>
              <w:bottom w:val="nil"/>
              <w:right w:val="nil"/>
            </w:tcBorders>
            <w:noWrap w:val="0"/>
            <w:tcMar>
              <w:top w:w="100" w:type="dxa"/>
              <w:left w:w="120" w:type="dxa"/>
              <w:bottom w:w="100" w:type="dxa"/>
              <w:right w:w="120" w:type="dxa"/>
            </w:tcMar>
            <w:vAlign w:val="center"/>
          </w:tcPr>
          <w:p w14:paraId="44C17E3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1.3、1.5 分析说明</w:t>
            </w:r>
          </w:p>
        </w:tc>
        <w:tc>
          <w:tcPr>
            <w:tcW w:w="5250" w:type="dxa"/>
            <w:tcBorders>
              <w:top w:val="nil"/>
              <w:left w:val="nil"/>
              <w:bottom w:val="nil"/>
              <w:right w:val="nil"/>
            </w:tcBorders>
            <w:noWrap w:val="0"/>
            <w:tcMar>
              <w:top w:w="100" w:type="dxa"/>
              <w:left w:w="120" w:type="dxa"/>
              <w:bottom w:w="100" w:type="dxa"/>
              <w:right w:w="120" w:type="dxa"/>
            </w:tcMar>
            <w:vAlign w:val="center"/>
          </w:tcPr>
          <w:p w14:paraId="4E12F5EA">
            <w:pPr>
              <w:snapToGrid w:val="0"/>
              <w:spacing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sz w:val="21"/>
                <w:lang w:eastAsia="zh-CN"/>
              </w:rPr>
              <w:t>聚焦认证、交易一致性、设备故障、网络异常等高风险点，为后续细化迭代排序。</w:t>
            </w:r>
          </w:p>
        </w:tc>
      </w:tr>
      <w:tr w14:paraId="070FA4FD">
        <w:tblPrEx>
          <w:tblCellMar>
            <w:top w:w="0" w:type="dxa"/>
            <w:left w:w="108" w:type="dxa"/>
            <w:bottom w:w="0" w:type="dxa"/>
            <w:right w:w="108" w:type="dxa"/>
          </w:tblCellMar>
        </w:tblPrEx>
        <w:trPr>
          <w:trHeight w:val="0" w:hRule="atLeast"/>
          <w:jc w:val="center"/>
        </w:trPr>
        <w:tc>
          <w:tcPr>
            <w:tcW w:w="1855" w:type="dxa"/>
            <w:tcBorders>
              <w:top w:val="nil"/>
              <w:left w:val="nil"/>
              <w:bottom w:val="single" w:color="BFC7D5" w:sz="12" w:space="0"/>
              <w:right w:val="nil"/>
            </w:tcBorders>
            <w:noWrap w:val="0"/>
            <w:tcMar>
              <w:top w:w="100" w:type="dxa"/>
              <w:left w:w="120" w:type="dxa"/>
              <w:bottom w:w="100" w:type="dxa"/>
              <w:right w:w="120" w:type="dxa"/>
            </w:tcMar>
            <w:vAlign w:val="center"/>
          </w:tcPr>
          <w:p w14:paraId="32958D28">
            <w:pPr>
              <w:snapToGrid w:val="0"/>
              <w:spacing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sz w:val="21"/>
                <w:lang w:eastAsia="zh-CN"/>
              </w:rPr>
              <w:t>初步计划与分阶段交付依据</w:t>
            </w:r>
          </w:p>
        </w:tc>
        <w:tc>
          <w:tcPr>
            <w:tcW w:w="2290" w:type="dxa"/>
            <w:tcBorders>
              <w:top w:val="nil"/>
              <w:left w:val="nil"/>
              <w:bottom w:val="single" w:color="BFC7D5" w:sz="12" w:space="0"/>
              <w:right w:val="nil"/>
            </w:tcBorders>
            <w:noWrap w:val="0"/>
            <w:tcMar>
              <w:top w:w="100" w:type="dxa"/>
              <w:left w:w="120" w:type="dxa"/>
              <w:bottom w:w="100" w:type="dxa"/>
              <w:right w:w="120" w:type="dxa"/>
            </w:tcMar>
            <w:vAlign w:val="center"/>
          </w:tcPr>
          <w:p w14:paraId="2E54FD2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1.1、1.6</w:t>
            </w:r>
          </w:p>
        </w:tc>
        <w:tc>
          <w:tcPr>
            <w:tcW w:w="5250" w:type="dxa"/>
            <w:tcBorders>
              <w:top w:val="nil"/>
              <w:left w:val="nil"/>
              <w:bottom w:val="single" w:color="BFC7D5" w:sz="12" w:space="0"/>
              <w:right w:val="nil"/>
            </w:tcBorders>
            <w:noWrap w:val="0"/>
            <w:tcMar>
              <w:top w:w="100" w:type="dxa"/>
              <w:left w:w="120" w:type="dxa"/>
              <w:bottom w:w="100" w:type="dxa"/>
              <w:right w:w="120" w:type="dxa"/>
            </w:tcMar>
            <w:vAlign w:val="center"/>
          </w:tcPr>
          <w:p w14:paraId="0D801E1B">
            <w:pPr>
              <w:snapToGrid w:val="0"/>
              <w:spacing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sz w:val="21"/>
                <w:lang w:eastAsia="zh-CN"/>
              </w:rPr>
              <w:t>与实验要求中的“按 UP 过程分阶段完善文档”保持一致，为后续细化迭代留出扩展空间。</w:t>
            </w:r>
          </w:p>
        </w:tc>
      </w:tr>
    </w:tbl>
    <w:p w14:paraId="7E3933B5">
      <w:pPr>
        <w:rPr>
          <w:lang w:eastAsia="zh-CN"/>
        </w:rPr>
      </w:pPr>
    </w:p>
    <w:p w14:paraId="738190A0">
      <w:pPr>
        <w:spacing w:after="120" w:line="360" w:lineRule="auto"/>
        <w:ind w:firstLine="420"/>
        <w:jc w:val="both"/>
        <w:rPr>
          <w:lang w:eastAsia="zh-CN"/>
        </w:rPr>
      </w:pPr>
      <w:r>
        <w:rPr>
          <w:rFonts w:ascii="Times New Roman" w:hAnsi="Times New Roman" w:eastAsia="宋体"/>
          <w:lang w:eastAsia="zh-CN"/>
        </w:rPr>
        <w:t>根据既有作业方案，系统后续将围绕插卡登录、密码验证、查询余额、取款、存款、转账、修改密码、打印凭条和退卡等核心功能逐步展开。本章作为初始阶段文档，不追求一次性完成全部功能说明，而是优先完成系统背景说明、参与者识别、系统边界界定、总体用例视图及关键用例规约，为后续分析类图、活动图、顺序图和设计模型奠定基础。</w:t>
      </w:r>
    </w:p>
    <w:p w14:paraId="4C963D4A">
      <w:pPr>
        <w:spacing w:before="280" w:after="160"/>
        <w:outlineLvl w:val="0"/>
        <w:rPr>
          <w:lang w:eastAsia="zh-CN"/>
        </w:rPr>
      </w:pPr>
      <w:bookmarkStart w:id="6" w:name="_Toc17642"/>
      <w:bookmarkStart w:id="7" w:name="_Toc10148"/>
      <w:r>
        <w:rPr>
          <w:rFonts w:ascii="Times New Roman" w:hAnsi="Times New Roman" w:eastAsia="黑体"/>
          <w:b/>
          <w:sz w:val="36"/>
          <w:lang w:eastAsia="zh-CN"/>
        </w:rPr>
        <w:t>1.2 参与者识别</w:t>
      </w:r>
      <w:bookmarkEnd w:id="6"/>
      <w:bookmarkEnd w:id="7"/>
    </w:p>
    <w:p w14:paraId="3ABA20C4">
      <w:pPr>
        <w:spacing w:after="120" w:line="360" w:lineRule="auto"/>
        <w:ind w:firstLine="420"/>
        <w:jc w:val="both"/>
        <w:rPr>
          <w:lang w:eastAsia="zh-CN"/>
        </w:rPr>
      </w:pPr>
      <w:r>
        <w:rPr>
          <w:rFonts w:ascii="Times New Roman" w:hAnsi="Times New Roman" w:eastAsia="宋体"/>
          <w:lang w:eastAsia="zh-CN"/>
        </w:rPr>
        <w:t>在用例建模中，参与者是位于“被讨论系统”之外、与系统发生交互并具有明确目标或职责的外部实体。它可以是人、外部系统、组织，甚至是对系统施加约束的运行环境。因而，识别参与者的关键不在于“谁出现在图上”，而在于“谁对系统提出目标、请求服务、提供支撑或触发约束”。结合 ATM 业务场景和课程作业范围，本系统的主要参与者如下。</w:t>
      </w:r>
    </w:p>
    <w:p w14:paraId="1187D3BA">
      <w:pPr>
        <w:spacing w:before="200" w:after="100"/>
        <w:outlineLvl w:val="1"/>
        <w:rPr>
          <w:lang w:eastAsia="zh-CN"/>
        </w:rPr>
      </w:pPr>
      <w:bookmarkStart w:id="8" w:name="_Toc148"/>
      <w:bookmarkStart w:id="9" w:name="_Toc12325"/>
      <w:r>
        <w:rPr>
          <w:rFonts w:ascii="Times New Roman" w:hAnsi="Times New Roman" w:eastAsia="黑体"/>
          <w:b/>
          <w:sz w:val="28"/>
          <w:lang w:eastAsia="zh-CN"/>
        </w:rPr>
        <w:t>1.2.1 客户</w:t>
      </w:r>
      <w:bookmarkEnd w:id="8"/>
      <w:bookmarkEnd w:id="9"/>
    </w:p>
    <w:p w14:paraId="22D235DA">
      <w:pPr>
        <w:spacing w:after="120" w:line="360" w:lineRule="auto"/>
        <w:ind w:firstLine="420"/>
        <w:jc w:val="both"/>
        <w:rPr>
          <w:lang w:eastAsia="zh-CN"/>
        </w:rPr>
      </w:pPr>
      <w:r>
        <w:rPr>
          <w:rFonts w:ascii="Times New Roman" w:hAnsi="Times New Roman" w:eastAsia="宋体"/>
          <w:lang w:eastAsia="zh-CN"/>
        </w:rPr>
        <w:t>客户是 ATM 系统的主要直接参与者，也是最典型的“用户目标驱动型”参与者。客户通过插卡、输入密码、选择菜单和确认操作，与 ATM 完成交互，其目标通常不是“操作某个按钮”，而是完成诸如取款、查询余额、转账、修改密码和打印凭条等具体业务。按照用例思维，客户关注的是“能否顺利完成目标”，因此本章后续用例规约也将以客户目标为中心组织。</w:t>
      </w:r>
    </w:p>
    <w:p w14:paraId="7568B745">
      <w:pPr>
        <w:spacing w:after="60" w:line="336" w:lineRule="auto"/>
        <w:ind w:left="420" w:hanging="283"/>
        <w:jc w:val="both"/>
        <w:rPr>
          <w:lang w:eastAsia="zh-CN"/>
        </w:rPr>
      </w:pPr>
      <w:r>
        <w:rPr>
          <w:rFonts w:ascii="Times New Roman" w:hAnsi="Times New Roman" w:eastAsia="宋体"/>
          <w:lang w:eastAsia="zh-CN"/>
        </w:rPr>
        <w:t>• 登录认证与建立会话。</w:t>
      </w:r>
    </w:p>
    <w:p w14:paraId="4D4BD26B">
      <w:pPr>
        <w:spacing w:after="60" w:line="336" w:lineRule="auto"/>
        <w:ind w:left="420" w:hanging="283"/>
        <w:jc w:val="both"/>
        <w:rPr>
          <w:lang w:eastAsia="zh-CN"/>
        </w:rPr>
      </w:pPr>
      <w:r>
        <w:rPr>
          <w:rFonts w:ascii="Times New Roman" w:hAnsi="Times New Roman" w:eastAsia="宋体"/>
          <w:lang w:eastAsia="zh-CN"/>
        </w:rPr>
        <w:t>• 查询当前账户余额与基础账户信息。</w:t>
      </w:r>
    </w:p>
    <w:p w14:paraId="70D4328D">
      <w:pPr>
        <w:spacing w:after="60" w:line="336" w:lineRule="auto"/>
        <w:ind w:left="420" w:hanging="283"/>
        <w:jc w:val="both"/>
        <w:rPr>
          <w:lang w:eastAsia="zh-CN"/>
        </w:rPr>
      </w:pPr>
      <w:r>
        <w:rPr>
          <w:rFonts w:ascii="Times New Roman" w:hAnsi="Times New Roman" w:eastAsia="宋体"/>
          <w:lang w:eastAsia="zh-CN"/>
        </w:rPr>
        <w:t>• 执行取款、存款、转账等交易。</w:t>
      </w:r>
    </w:p>
    <w:p w14:paraId="17A449B4">
      <w:pPr>
        <w:spacing w:after="60" w:line="336" w:lineRule="auto"/>
        <w:ind w:left="420" w:hanging="283"/>
        <w:jc w:val="both"/>
        <w:rPr>
          <w:lang w:eastAsia="zh-CN"/>
        </w:rPr>
      </w:pPr>
      <w:r>
        <w:rPr>
          <w:rFonts w:ascii="Times New Roman" w:hAnsi="Times New Roman" w:eastAsia="宋体"/>
          <w:lang w:eastAsia="zh-CN"/>
        </w:rPr>
        <w:t>• 修改密码、打印凭条、退卡并安全结束会话。</w:t>
      </w:r>
    </w:p>
    <w:p w14:paraId="14AC493F">
      <w:pPr>
        <w:spacing w:before="200" w:after="100"/>
        <w:outlineLvl w:val="1"/>
        <w:rPr>
          <w:lang w:eastAsia="zh-CN"/>
        </w:rPr>
      </w:pPr>
      <w:bookmarkStart w:id="10" w:name="_Toc25779"/>
      <w:bookmarkStart w:id="11" w:name="_Toc727"/>
      <w:r>
        <w:rPr>
          <w:rFonts w:ascii="Times New Roman" w:hAnsi="Times New Roman" w:eastAsia="黑体"/>
          <w:b/>
          <w:sz w:val="28"/>
          <w:lang w:eastAsia="zh-CN"/>
        </w:rPr>
        <w:t>1.2.2 银行核心系统</w:t>
      </w:r>
      <w:bookmarkEnd w:id="10"/>
      <w:bookmarkEnd w:id="11"/>
    </w:p>
    <w:p w14:paraId="3082BAF9">
      <w:pPr>
        <w:spacing w:after="120" w:line="360" w:lineRule="auto"/>
        <w:ind w:firstLine="420"/>
        <w:jc w:val="both"/>
        <w:rPr>
          <w:lang w:eastAsia="zh-CN"/>
        </w:rPr>
      </w:pPr>
      <w:r>
        <w:rPr>
          <w:rFonts w:ascii="Times New Roman" w:hAnsi="Times New Roman" w:eastAsia="宋体"/>
          <w:lang w:eastAsia="zh-CN"/>
        </w:rPr>
        <w:t>银行核心系统是 ATM 的外部支撑参与者，本身不直接操作 ATM 界面，但会对认证、账户与交易处理结果产生决定性影响。它承担的职责包括银行卡与密码校验、账户信息查询、余额核对、交易处理确认、交易流水留痕等。由于它位于 ATM 系统边界之外，因此在分析中应被视为外部系统接口，而不是 ATM 内部对象。</w:t>
      </w:r>
    </w:p>
    <w:p w14:paraId="224BA811">
      <w:pPr>
        <w:spacing w:after="60" w:line="336" w:lineRule="auto"/>
        <w:ind w:left="420" w:hanging="283"/>
        <w:jc w:val="both"/>
        <w:rPr>
          <w:lang w:eastAsia="zh-CN"/>
        </w:rPr>
      </w:pPr>
      <w:r>
        <w:rPr>
          <w:rFonts w:ascii="Times New Roman" w:hAnsi="Times New Roman" w:eastAsia="宋体"/>
          <w:lang w:eastAsia="zh-CN"/>
        </w:rPr>
        <w:t>• 校验银行卡状态、账户状态及密码合法性。</w:t>
      </w:r>
    </w:p>
    <w:p w14:paraId="4B7B6433">
      <w:pPr>
        <w:spacing w:after="60" w:line="336" w:lineRule="auto"/>
        <w:ind w:left="420" w:hanging="283"/>
        <w:jc w:val="both"/>
        <w:rPr>
          <w:lang w:eastAsia="zh-CN"/>
        </w:rPr>
      </w:pPr>
      <w:r>
        <w:rPr>
          <w:rFonts w:ascii="Times New Roman" w:hAnsi="Times New Roman" w:eastAsia="宋体"/>
          <w:lang w:eastAsia="zh-CN"/>
        </w:rPr>
        <w:t>• 提供账户余额、账户基本信息及目标账户校验能力。</w:t>
      </w:r>
    </w:p>
    <w:p w14:paraId="57BFD211">
      <w:pPr>
        <w:spacing w:after="60" w:line="336" w:lineRule="auto"/>
        <w:ind w:left="420" w:hanging="283"/>
        <w:jc w:val="both"/>
        <w:rPr>
          <w:lang w:eastAsia="zh-CN"/>
        </w:rPr>
      </w:pPr>
      <w:r>
        <w:rPr>
          <w:rFonts w:ascii="Times New Roman" w:hAnsi="Times New Roman" w:eastAsia="宋体"/>
          <w:lang w:eastAsia="zh-CN"/>
        </w:rPr>
        <w:t>• 支持取款、存款、转账等交易的提交与结果返回。</w:t>
      </w:r>
    </w:p>
    <w:p w14:paraId="74EAB256">
      <w:pPr>
        <w:spacing w:after="60" w:line="336" w:lineRule="auto"/>
        <w:ind w:left="420" w:hanging="283"/>
        <w:jc w:val="both"/>
        <w:rPr>
          <w:lang w:eastAsia="zh-CN"/>
        </w:rPr>
      </w:pPr>
      <w:r>
        <w:rPr>
          <w:rFonts w:ascii="Times New Roman" w:hAnsi="Times New Roman" w:eastAsia="宋体"/>
          <w:lang w:eastAsia="zh-CN"/>
        </w:rPr>
        <w:t>• 记录关键交易流水，为审计和对账提供依据。</w:t>
      </w:r>
    </w:p>
    <w:p w14:paraId="6AC8771D">
      <w:pPr>
        <w:spacing w:before="200" w:after="100"/>
        <w:outlineLvl w:val="1"/>
        <w:rPr>
          <w:lang w:eastAsia="zh-CN"/>
        </w:rPr>
      </w:pPr>
      <w:bookmarkStart w:id="12" w:name="_Toc1968"/>
      <w:bookmarkStart w:id="13" w:name="_Toc19086"/>
      <w:r>
        <w:rPr>
          <w:rFonts w:ascii="Times New Roman" w:hAnsi="Times New Roman" w:eastAsia="黑体"/>
          <w:b/>
          <w:sz w:val="28"/>
          <w:lang w:eastAsia="zh-CN"/>
        </w:rPr>
        <w:t>1.2.3 ATM 设备</w:t>
      </w:r>
      <w:bookmarkEnd w:id="12"/>
      <w:bookmarkEnd w:id="13"/>
    </w:p>
    <w:p w14:paraId="278E86B4">
      <w:pPr>
        <w:spacing w:after="120" w:line="360" w:lineRule="auto"/>
        <w:ind w:firstLine="420"/>
        <w:jc w:val="both"/>
        <w:rPr>
          <w:lang w:eastAsia="zh-CN"/>
        </w:rPr>
      </w:pPr>
      <w:r>
        <w:rPr>
          <w:rFonts w:ascii="Times New Roman" w:hAnsi="Times New Roman" w:eastAsia="宋体"/>
          <w:lang w:eastAsia="zh-CN"/>
        </w:rPr>
        <w:t>严格来说，ATM 设备本身更接近系统运行环境与边界资源，而非典型的“外部业务参与者”；但在 ATM 场景中，读卡器、键盘、屏幕、吐钞模块和打印模块都对业务执行结果有直接影响，因此在课程建模中仍有必要对其进行显式说明。将其单独识别出来，有助于后续在顺序图、状态图或设计模型中划分“界面控制、设备控制、业务服务”的职责边界。</w:t>
      </w:r>
    </w:p>
    <w:p w14:paraId="21D261E9">
      <w:pPr>
        <w:spacing w:after="60" w:line="336" w:lineRule="auto"/>
        <w:ind w:left="420" w:hanging="283"/>
        <w:jc w:val="both"/>
        <w:rPr>
          <w:lang w:eastAsia="zh-CN"/>
        </w:rPr>
      </w:pPr>
      <w:r>
        <w:rPr>
          <w:rFonts w:ascii="Times New Roman" w:hAnsi="Times New Roman" w:eastAsia="宋体"/>
          <w:lang w:eastAsia="zh-CN"/>
        </w:rPr>
        <w:t>• 接收客户输入，展示菜单、提示与结果信息。</w:t>
      </w:r>
    </w:p>
    <w:p w14:paraId="1F02FC2A">
      <w:pPr>
        <w:spacing w:after="60" w:line="336" w:lineRule="auto"/>
        <w:ind w:left="420" w:hanging="283"/>
        <w:jc w:val="both"/>
        <w:rPr>
          <w:lang w:eastAsia="zh-CN"/>
        </w:rPr>
      </w:pPr>
      <w:r>
        <w:rPr>
          <w:rFonts w:ascii="Times New Roman" w:hAnsi="Times New Roman" w:eastAsia="宋体"/>
          <w:lang w:eastAsia="zh-CN"/>
        </w:rPr>
        <w:t>• 执行读卡、吐钞、打印凭条和退卡等设备动作。</w:t>
      </w:r>
    </w:p>
    <w:p w14:paraId="5090ACE6">
      <w:pPr>
        <w:spacing w:after="60" w:line="336" w:lineRule="auto"/>
        <w:ind w:left="420" w:hanging="283"/>
        <w:jc w:val="both"/>
        <w:rPr>
          <w:lang w:eastAsia="zh-CN"/>
        </w:rPr>
      </w:pPr>
      <w:r>
        <w:rPr>
          <w:rFonts w:ascii="Times New Roman" w:hAnsi="Times New Roman" w:eastAsia="宋体"/>
          <w:lang w:eastAsia="zh-CN"/>
        </w:rPr>
        <w:t>• 反馈设备状态，如现金不足、打印机异常、读卡失败等。</w:t>
      </w:r>
    </w:p>
    <w:p w14:paraId="5945E4FF">
      <w:pPr>
        <w:spacing w:before="200" w:after="100"/>
        <w:outlineLvl w:val="1"/>
        <w:rPr>
          <w:lang w:eastAsia="zh-CN"/>
        </w:rPr>
      </w:pPr>
      <w:bookmarkStart w:id="14" w:name="_Toc12961"/>
      <w:bookmarkStart w:id="15" w:name="_Toc26289"/>
      <w:r>
        <w:rPr>
          <w:rFonts w:ascii="Times New Roman" w:hAnsi="Times New Roman" w:eastAsia="黑体"/>
          <w:b/>
          <w:sz w:val="28"/>
          <w:lang w:eastAsia="zh-CN"/>
        </w:rPr>
        <w:t>1.2.4 管理员（可选参与者）</w:t>
      </w:r>
      <w:bookmarkEnd w:id="14"/>
      <w:bookmarkEnd w:id="15"/>
    </w:p>
    <w:p w14:paraId="696EE4A0">
      <w:pPr>
        <w:spacing w:after="120" w:line="360" w:lineRule="auto"/>
        <w:ind w:firstLine="420"/>
        <w:jc w:val="both"/>
        <w:rPr>
          <w:lang w:eastAsia="zh-CN"/>
        </w:rPr>
      </w:pPr>
      <w:r>
        <w:rPr>
          <w:rFonts w:ascii="Times New Roman" w:hAnsi="Times New Roman" w:eastAsia="宋体"/>
          <w:lang w:eastAsia="zh-CN"/>
        </w:rPr>
        <w:t>管理员不是本次初始阶段的核心参与者，但在扩展场景中是不可忽视的运维角色。其职责包括设备状态检查、现金补充、故障处理、日志查看和基础配置维护。考虑到课程项目后续可能扩展到系统管理、异常处理与部署演示，本章保留管理员作为可扩展角色，但暂不把它列为关键用例规约对象。</w:t>
      </w:r>
    </w:p>
    <w:p w14:paraId="5E45ADBB">
      <w:pPr>
        <w:spacing w:after="120" w:line="360" w:lineRule="auto"/>
        <w:ind w:firstLine="420"/>
        <w:jc w:val="both"/>
        <w:rPr>
          <w:lang w:eastAsia="zh-CN"/>
        </w:rPr>
      </w:pPr>
      <w:r>
        <w:rPr>
          <w:rFonts w:ascii="Times New Roman" w:hAnsi="Times New Roman" w:eastAsia="宋体"/>
          <w:lang w:eastAsia="zh-CN"/>
        </w:rPr>
        <w:t>综上，本项目可将客户视为主要参与者，将银行核心系统视为外部支撑参与者，将 ATM 设备视为重要的边界与运行资源，将管理员视为可选的维护参与者。这样的识别方式既符合 ATM 业务实际，也有利于后续建模时明确“系统内部职责”和“系统外部依赖”的分界。</w:t>
      </w:r>
    </w:p>
    <w:p w14:paraId="3226D672">
      <w:pPr>
        <w:spacing w:before="280" w:after="160"/>
        <w:outlineLvl w:val="0"/>
        <w:rPr>
          <w:rFonts w:ascii="Times New Roman" w:hAnsi="Times New Roman" w:eastAsia="黑体"/>
          <w:b/>
          <w:sz w:val="36"/>
          <w:lang w:eastAsia="zh-CN"/>
        </w:rPr>
      </w:pPr>
      <w:bookmarkStart w:id="16" w:name="_Toc12357"/>
      <w:bookmarkStart w:id="17" w:name="_Toc24669"/>
      <w:r>
        <w:rPr>
          <w:rFonts w:ascii="Times New Roman" w:hAnsi="Times New Roman" w:eastAsia="黑体"/>
          <w:b/>
          <w:sz w:val="36"/>
          <w:lang w:eastAsia="zh-CN"/>
        </w:rPr>
        <w:t>1.3 系统边界与功能范围</w:t>
      </w:r>
      <w:bookmarkEnd w:id="16"/>
      <w:bookmarkEnd w:id="17"/>
    </w:p>
    <w:p w14:paraId="575B672D">
      <w:pPr>
        <w:spacing w:before="200" w:after="100"/>
        <w:outlineLvl w:val="1"/>
        <w:rPr>
          <w:rFonts w:ascii="Times New Roman" w:hAnsi="Times New Roman" w:eastAsia="黑体"/>
          <w:b/>
          <w:sz w:val="28"/>
          <w:lang w:eastAsia="zh-CN"/>
        </w:rPr>
      </w:pPr>
      <w:bookmarkStart w:id="18" w:name="_Toc20814"/>
      <w:r>
        <w:rPr>
          <w:rFonts w:ascii="Times New Roman" w:hAnsi="Times New Roman" w:eastAsia="黑体"/>
          <w:b/>
          <w:sz w:val="28"/>
          <w:lang w:eastAsia="zh-CN"/>
        </w:rPr>
        <w:t>1.3.1 术语表（Glossary）</w:t>
      </w:r>
      <w:bookmarkEnd w:id="18"/>
    </w:p>
    <w:p w14:paraId="4DF68C85">
      <w:pPr>
        <w:spacing w:after="120" w:line="360" w:lineRule="auto"/>
        <w:ind w:firstLine="420"/>
        <w:jc w:val="both"/>
        <w:rPr>
          <w:rFonts w:ascii="Times New Roman" w:hAnsi="Times New Roman" w:eastAsia="宋体"/>
          <w:lang w:eastAsia="zh-CN"/>
        </w:rPr>
      </w:pPr>
      <w:r>
        <w:rPr>
          <w:rFonts w:ascii="Times New Roman" w:hAnsi="Times New Roman" w:eastAsia="宋体"/>
          <w:lang w:eastAsia="zh-CN"/>
        </w:rPr>
        <w:t>为保证小组成员在 ATM 系统分析、建模与后续实现过程中对关键概念的理解保持一致，现对本文涉及的核心术语说明如下。</w:t>
      </w:r>
    </w:p>
    <w:tbl>
      <w:tblPr>
        <w:tblW w:w="939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6"/>
        <w:gridCol w:w="2739"/>
        <w:gridCol w:w="4960"/>
      </w:tblGrid>
      <w:tr w14:paraId="33D6F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651" w:type="dxa"/>
            <w:tcBorders>
              <w:top w:val="single" w:color="auto" w:sz="12" w:space="0"/>
              <w:left w:val="nil"/>
              <w:bottom w:val="nil"/>
              <w:right w:val="nil"/>
            </w:tcBorders>
            <w:shd w:val="clear"/>
            <w:noWrap w:val="0"/>
            <w:tcMar>
              <w:top w:w="-1" w:type="dxa"/>
              <w:left w:w="-1" w:type="dxa"/>
              <w:bottom w:w="-1" w:type="dxa"/>
              <w:right w:w="-1" w:type="dxa"/>
            </w:tcMar>
            <w:vAlign w:val="center"/>
          </w:tcPr>
          <w:p w14:paraId="63E6C83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术语</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14454D35">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英文/对应表达</w:t>
            </w:r>
          </w:p>
        </w:tc>
        <w:tc>
          <w:tcPr>
            <w:tcW w:w="4915" w:type="dxa"/>
            <w:tcBorders>
              <w:top w:val="single" w:color="auto" w:sz="12" w:space="0"/>
              <w:left w:val="nil"/>
              <w:bottom w:val="nil"/>
              <w:right w:val="nil"/>
            </w:tcBorders>
            <w:shd w:val="clear"/>
            <w:noWrap w:val="0"/>
            <w:tcMar>
              <w:top w:w="-1" w:type="dxa"/>
              <w:left w:w="-1" w:type="dxa"/>
              <w:bottom w:w="-1" w:type="dxa"/>
              <w:right w:w="-1" w:type="dxa"/>
            </w:tcMar>
            <w:vAlign w:val="center"/>
          </w:tcPr>
          <w:p w14:paraId="640C163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定义说明</w:t>
            </w:r>
          </w:p>
        </w:tc>
      </w:tr>
      <w:tr w14:paraId="5C933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single" w:color="auto" w:sz="4" w:space="0"/>
              <w:left w:val="nil"/>
              <w:bottom w:val="nil"/>
              <w:right w:val="nil"/>
            </w:tcBorders>
            <w:shd w:val="clear"/>
            <w:noWrap w:val="0"/>
            <w:tcMar>
              <w:top w:w="-1" w:type="dxa"/>
              <w:left w:w="-1" w:type="dxa"/>
              <w:bottom w:w="-1" w:type="dxa"/>
              <w:right w:w="-1" w:type="dxa"/>
            </w:tcMar>
            <w:vAlign w:val="center"/>
          </w:tcPr>
          <w:p w14:paraId="07CD3B4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ATM系统</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623BFDD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ATM System</w:t>
            </w:r>
          </w:p>
        </w:tc>
        <w:tc>
          <w:tcPr>
            <w:tcW w:w="4915" w:type="dxa"/>
            <w:tcBorders>
              <w:top w:val="single" w:color="auto" w:sz="4" w:space="0"/>
              <w:left w:val="nil"/>
              <w:bottom w:val="nil"/>
              <w:right w:val="nil"/>
            </w:tcBorders>
            <w:shd w:val="clear"/>
            <w:noWrap w:val="0"/>
            <w:tcMar>
              <w:top w:w="-1" w:type="dxa"/>
              <w:left w:w="-1" w:type="dxa"/>
              <w:bottom w:w="-1" w:type="dxa"/>
              <w:right w:w="-1" w:type="dxa"/>
            </w:tcMar>
            <w:vAlign w:val="center"/>
          </w:tcPr>
          <w:p w14:paraId="3AF5347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指本项目所讨论的自动取款机业务系统，负责会话控制、认证协调、账户查询、交易处理、设备控制及结果反馈。</w:t>
            </w:r>
          </w:p>
        </w:tc>
      </w:tr>
      <w:tr w14:paraId="048C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2DA3D02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客户</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4629F4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Customer</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4166D34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指使用 ATM 设备办理业务的直接用户，是系统的主要参与者。</w:t>
            </w:r>
          </w:p>
        </w:tc>
      </w:tr>
      <w:tr w14:paraId="2BB63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0323F37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银行核心系统</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D1BB52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Bank Core System</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6561F9C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指位于 ATM 系统边界之外的外部支撑系统，负责账户校验、密码验证、余额查询、交易处理与流水记录等。</w:t>
            </w:r>
          </w:p>
        </w:tc>
      </w:tr>
      <w:tr w14:paraId="740EA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27144A9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ATM设备</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44BCC3C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ATM Device</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54751FB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 ATM 的物理设备及其外围部件，如读卡器、键盘、显示屏、吐钞模块、凭条打印模块等，是系统运行的重要边界资源。</w:t>
            </w:r>
          </w:p>
        </w:tc>
      </w:tr>
      <w:tr w14:paraId="49D6E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1893E62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管理员</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47428FF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Administrator</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375A702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指负责 ATM 设备维护、现金补充、故障处理和日志查看的运维角色，在本阶段属于可选参与者。</w:t>
            </w:r>
          </w:p>
        </w:tc>
      </w:tr>
      <w:tr w14:paraId="70666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3CDBC38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会话</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EEE534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Session</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2599916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指客户从登录认证成功开始，到退卡或超时结束之间形成的一次有效交互过程。会话存在期间客户才能访问相关业务功能。</w:t>
            </w:r>
          </w:p>
        </w:tc>
      </w:tr>
      <w:tr w14:paraId="137B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6F8E705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登录认证</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131AE2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Authentication / Login</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35B8166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指客户通过插卡和输入密码完成身份校验的过程，其结果决定是否允许进入系统主菜单。</w:t>
            </w:r>
          </w:p>
        </w:tc>
      </w:tr>
      <w:tr w14:paraId="3598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1AEF3A3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身份验证</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02B5F5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Identity Verification</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616857D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指系统对客户银行卡状态、账户状态及密码合法性进行检查与确认的行为，是登录成功的前提。</w:t>
            </w:r>
          </w:p>
        </w:tc>
      </w:tr>
      <w:tr w14:paraId="7074A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69CC7BE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银行卡</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4C37E7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Bank Card</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477ACD5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指客户用于在 ATM 上发起身份认证和办理业务的实体介质，系统需识别其卡号、状态及可用性。</w:t>
            </w:r>
          </w:p>
        </w:tc>
      </w:tr>
      <w:tr w14:paraId="72BE6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5843E65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密码</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5B1869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PIN / Password</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74C219A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指客户登录 ATM 时输入的敏感认证信息，用于证明身份合法性，系统应采用遮蔽方式显示并限制重试次数。</w:t>
            </w:r>
          </w:p>
        </w:tc>
      </w:tr>
      <w:tr w14:paraId="55FB0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07E5AB1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主菜单</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C110A9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Main Menu</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3EFB776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指客户登录成功后看到的业务导航界面，用于选择查询余额、取款、转账、修改密码等功能。</w:t>
            </w:r>
          </w:p>
        </w:tc>
      </w:tr>
      <w:tr w14:paraId="36407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6334D00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账户</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BA2A35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Account</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3667BBB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指客户在银行中的资金记录实体，是余额查询、取款、存款、转账等业务操作的对象。</w:t>
            </w:r>
          </w:p>
        </w:tc>
      </w:tr>
      <w:tr w14:paraId="0041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6E8742B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账户状态</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47FC83B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Account Status</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77EE0A0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指账户当前的可用情况，如正常、冻结、停用等，系统需依据账户状态决定是否允许业务继续执行。</w:t>
            </w:r>
          </w:p>
        </w:tc>
      </w:tr>
      <w:tr w14:paraId="57C7F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1565DF7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余额</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CF419D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Balance</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030FABB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指账户当前可用于查询和交易的金额信息，是 ATM 系统的重要业务数据。</w:t>
            </w:r>
          </w:p>
        </w:tc>
      </w:tr>
      <w:tr w14:paraId="1F85F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06415B0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查询余额</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6A6DCB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Balance Inquiry</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60BCB58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指客户在有效会话中查看当前登录账户可用余额的业务操作，属于只读型业务。</w:t>
            </w:r>
          </w:p>
        </w:tc>
      </w:tr>
      <w:tr w14:paraId="3B3D9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40CC245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取款</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DE7C15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Withdrawal</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5A24BD4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指客户通过 ATM 从当前账户提取现金的业务过程，涉及金额校验、余额检查、扣款、吐钞和流水记录。</w:t>
            </w:r>
          </w:p>
        </w:tc>
      </w:tr>
      <w:tr w14:paraId="59602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21BD702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存款</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4B60BE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Deposit</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08F0213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指客户通过 ATM 向当前账户存入资金的业务过程，在完整系统中通常涉及金额确认、入账与流水记录。</w:t>
            </w:r>
          </w:p>
        </w:tc>
      </w:tr>
      <w:tr w14:paraId="71DA0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2A9CB29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转账</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5A2A91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Transfer</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0405063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指客户将当前账户中的指定金额转入目标账户的业务过程，要求保证转出与转入的一致性。</w:t>
            </w:r>
          </w:p>
        </w:tc>
      </w:tr>
      <w:tr w14:paraId="04F70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5990DB0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修改密码</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47ADC6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Change Password</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111DBC3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指客户在登录后修改账户认证密码的业务操作，需满足身份已验证和规则校验。</w:t>
            </w:r>
          </w:p>
        </w:tc>
      </w:tr>
      <w:tr w14:paraId="58FE6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7224E4F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打印凭条</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5BAA843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Print Receipt</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54D6486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指在业务完成后由 ATM 输出业务结果凭证的操作，用于向客户提供交易记录证明。</w:t>
            </w:r>
          </w:p>
        </w:tc>
      </w:tr>
      <w:tr w14:paraId="382E8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750FA33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退卡</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DCD74D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Card Eject / Return Card</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2062704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 ATM 在业务结束、认证失败或异常终止时将银行卡退出并结束当前会话的操作。</w:t>
            </w:r>
          </w:p>
        </w:tc>
      </w:tr>
      <w:tr w14:paraId="03775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59AF789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交易</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C1D754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Transaction</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6D0D40A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指任何会导致账户状态变化或产生业务记录的操作，如取款、存款、转账等。</w:t>
            </w:r>
          </w:p>
        </w:tc>
      </w:tr>
      <w:tr w14:paraId="40964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63B7960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交易流水</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1945BB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Transaction Record / Transaction Log</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280CD36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指系统对重要交易过程与结果形成的记录，用于审计、查询、对账和异常追踪。</w:t>
            </w:r>
          </w:p>
        </w:tc>
      </w:tr>
      <w:tr w14:paraId="7E425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4CFE41F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交易编号</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841A2C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Transaction ID</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0D4EA9F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指系统为一次交易生成的唯一标识，用于后续查询、审计和问题定位。</w:t>
            </w:r>
          </w:p>
        </w:tc>
      </w:tr>
      <w:tr w14:paraId="2B347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76C2ECC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金额规则</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D59596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Amount Rules</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134E7E5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指系统对交易金额设置的业务限制，如最低金额、最高金额、步长单位等。</w:t>
            </w:r>
          </w:p>
        </w:tc>
      </w:tr>
      <w:tr w14:paraId="5FA1A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786D8A0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一致性</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CB6D33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Consistency</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75CE4CC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指交易处理过程中系统必须避免出现部分成功、部分失败的账务异常状态，例如“已扣款但未吐钞且无记录”。</w:t>
            </w:r>
          </w:p>
        </w:tc>
      </w:tr>
      <w:tr w14:paraId="4967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79D1A15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异常回滚</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29D9E3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Rollback</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6BD59B6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指在交易过程中发生错误时，系统将未完成或不一致的业务状态恢复到安全状态的处理机制。</w:t>
            </w:r>
          </w:p>
        </w:tc>
      </w:tr>
      <w:tr w14:paraId="4E070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2AE637F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会话超时</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DF6315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Session Timeout</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3D1B08B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指客户在一定时间内无操作时，系统自动结束当前会话并返回安全状态的机制。</w:t>
            </w:r>
          </w:p>
        </w:tc>
      </w:tr>
      <w:tr w14:paraId="0AF9C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45C8391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设备状态反馈</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360247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Device Status Feedback</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606AB14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 ATM 对设备运行情况的提示，如现金不足、打印机异常、读卡失败等。</w:t>
            </w:r>
          </w:p>
        </w:tc>
      </w:tr>
      <w:tr w14:paraId="49B8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7197A77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外部接口</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83C21E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External Interface</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3825AE8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 ATM 系统与银行核心系统之间进行认证、查询和交易通信的接口边界。</w:t>
            </w:r>
          </w:p>
        </w:tc>
      </w:tr>
      <w:tr w14:paraId="3A93C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2291676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系统边界</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B66C2C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System Boundary</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5298427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指本项目分析对象所涵盖的范围，用于明确哪些功能属于 ATM 系统内部，哪些内容属于外部依赖。</w:t>
            </w:r>
          </w:p>
        </w:tc>
      </w:tr>
      <w:tr w14:paraId="33FC9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nil"/>
              <w:right w:val="nil"/>
            </w:tcBorders>
            <w:shd w:val="clear"/>
            <w:noWrap w:val="0"/>
            <w:tcMar>
              <w:top w:w="-1" w:type="dxa"/>
              <w:left w:w="-1" w:type="dxa"/>
              <w:bottom w:w="-1" w:type="dxa"/>
              <w:right w:w="-1" w:type="dxa"/>
            </w:tcMar>
            <w:vAlign w:val="center"/>
          </w:tcPr>
          <w:p w14:paraId="7EE543F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补充性规格说明</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41668C4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Supplementary Specification</w:t>
            </w:r>
          </w:p>
        </w:tc>
        <w:tc>
          <w:tcPr>
            <w:tcW w:w="4915" w:type="dxa"/>
            <w:tcBorders>
              <w:top w:val="nil"/>
              <w:left w:val="nil"/>
              <w:bottom w:val="nil"/>
              <w:right w:val="nil"/>
            </w:tcBorders>
            <w:shd w:val="clear"/>
            <w:noWrap w:val="0"/>
            <w:tcMar>
              <w:top w:w="-1" w:type="dxa"/>
              <w:left w:w="-1" w:type="dxa"/>
              <w:bottom w:w="-1" w:type="dxa"/>
              <w:right w:w="-1" w:type="dxa"/>
            </w:tcMar>
            <w:vAlign w:val="center"/>
          </w:tcPr>
          <w:p w14:paraId="330074A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指对用例之外的重要约束进行说明的文档内容，通常包括非功能需求、接口约束和业务规则等。</w:t>
            </w:r>
          </w:p>
        </w:tc>
      </w:tr>
      <w:tr w14:paraId="6DA88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651" w:type="dxa"/>
            <w:tcBorders>
              <w:top w:val="nil"/>
              <w:left w:val="nil"/>
              <w:bottom w:val="single" w:color="auto" w:sz="12" w:space="0"/>
              <w:right w:val="nil"/>
            </w:tcBorders>
            <w:shd w:val="clear"/>
            <w:noWrap w:val="0"/>
            <w:tcMar>
              <w:top w:w="-1" w:type="dxa"/>
              <w:left w:w="-1" w:type="dxa"/>
              <w:bottom w:w="-1" w:type="dxa"/>
              <w:right w:w="-1" w:type="dxa"/>
            </w:tcMar>
            <w:vAlign w:val="center"/>
          </w:tcPr>
          <w:p w14:paraId="5DA575C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FURPS+</w:t>
            </w:r>
          </w:p>
        </w:tc>
        <w:tc>
          <w:tcPr>
            <w:tcW w:w="2709" w:type="dxa"/>
            <w:tcBorders>
              <w:top w:val="nil"/>
              <w:left w:val="nil"/>
              <w:bottom w:val="single" w:color="auto" w:sz="12" w:space="0"/>
              <w:right w:val="nil"/>
            </w:tcBorders>
            <w:shd w:val="clear"/>
            <w:noWrap w:val="0"/>
            <w:tcMar>
              <w:top w:w="-1" w:type="dxa"/>
              <w:left w:w="-1" w:type="dxa"/>
              <w:bottom w:w="-1" w:type="dxa"/>
              <w:right w:w="-1" w:type="dxa"/>
            </w:tcMar>
            <w:vAlign w:val="center"/>
          </w:tcPr>
          <w:p w14:paraId="3F10A42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FURPS+</w:t>
            </w:r>
          </w:p>
        </w:tc>
        <w:tc>
          <w:tcPr>
            <w:tcW w:w="4915" w:type="dxa"/>
            <w:tcBorders>
              <w:top w:val="nil"/>
              <w:left w:val="nil"/>
              <w:bottom w:val="single" w:color="auto" w:sz="12" w:space="0"/>
              <w:right w:val="nil"/>
            </w:tcBorders>
            <w:shd w:val="clear"/>
            <w:noWrap w:val="0"/>
            <w:tcMar>
              <w:top w:w="-1" w:type="dxa"/>
              <w:left w:w="-1" w:type="dxa"/>
              <w:bottom w:w="-1" w:type="dxa"/>
              <w:right w:w="-1" w:type="dxa"/>
            </w:tcMar>
            <w:vAlign w:val="center"/>
          </w:tcPr>
          <w:p w14:paraId="3F5DDD1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一种常用的需求分类方法，用于从功能性、可用性、可靠性、性能、可支持性及附加约束等方面补充描述系统需求。</w:t>
            </w:r>
          </w:p>
        </w:tc>
      </w:tr>
    </w:tbl>
    <w:p w14:paraId="722006CD">
      <w:pPr>
        <w:spacing w:before="200" w:after="100"/>
        <w:outlineLvl w:val="1"/>
        <w:rPr>
          <w:rFonts w:hint="default" w:ascii="Times New Roman" w:hAnsi="Times New Roman" w:eastAsia="黑体"/>
          <w:b/>
          <w:sz w:val="36"/>
          <w:lang w:val="en-US" w:eastAsia="zh-CN"/>
        </w:rPr>
      </w:pPr>
      <w:bookmarkStart w:id="19" w:name="_Toc19473"/>
      <w:r>
        <w:rPr>
          <w:rFonts w:ascii="Times New Roman" w:hAnsi="Times New Roman" w:eastAsia="黑体"/>
          <w:b/>
          <w:sz w:val="28"/>
          <w:lang w:eastAsia="zh-CN"/>
        </w:rPr>
        <w:t>1.3.</w:t>
      </w:r>
      <w:r>
        <w:rPr>
          <w:rFonts w:hint="eastAsia" w:ascii="Times New Roman" w:hAnsi="Times New Roman" w:eastAsia="黑体"/>
          <w:b/>
          <w:sz w:val="28"/>
          <w:lang w:val="en-US" w:eastAsia="zh-CN"/>
        </w:rPr>
        <w:t>2</w:t>
      </w:r>
      <w:r>
        <w:rPr>
          <w:rFonts w:ascii="Times New Roman" w:hAnsi="Times New Roman" w:eastAsia="黑体"/>
          <w:b/>
          <w:sz w:val="28"/>
          <w:lang w:eastAsia="zh-CN"/>
        </w:rPr>
        <w:t xml:space="preserve"> </w:t>
      </w:r>
      <w:r>
        <w:rPr>
          <w:rFonts w:hint="eastAsia" w:ascii="Times New Roman" w:hAnsi="Times New Roman" w:eastAsia="黑体"/>
          <w:b/>
          <w:sz w:val="28"/>
          <w:lang w:val="en-US" w:eastAsia="zh-CN"/>
        </w:rPr>
        <w:t>系统功能边界说明</w:t>
      </w:r>
      <w:bookmarkEnd w:id="19"/>
    </w:p>
    <w:p w14:paraId="16FDA264">
      <w:pPr>
        <w:spacing w:after="120" w:line="360" w:lineRule="auto"/>
        <w:ind w:firstLine="420"/>
        <w:jc w:val="both"/>
        <w:rPr>
          <w:lang w:eastAsia="zh-CN"/>
        </w:rPr>
      </w:pPr>
      <w:r>
        <w:rPr>
          <w:rFonts w:ascii="Times New Roman" w:hAnsi="Times New Roman" w:eastAsia="宋体"/>
          <w:lang w:eastAsia="zh-CN"/>
        </w:rPr>
        <w:t>系统边界决定了分析对象是什么，也决定了哪些问题应该在本项目中回答、哪些问题应被保留到系统外部。结合 ATM 场景和已有作业方案，本文将被讨论系统定义为：客户通过 ATM 前端界面发起操作，ATM 系统负责会话控制、认证协调、账户与交易业务处理、设备动作控制以及结果反馈，并通过后台服务与数据库完成业务数据读写和外部校验。银行核心系统、真实硬件驱动协议及跨行网络不属于 ATM 系统内部实现。</w:t>
      </w:r>
    </w:p>
    <w:p w14:paraId="1B4B9B0A">
      <w:pPr>
        <w:spacing w:after="120" w:line="360" w:lineRule="auto"/>
        <w:ind w:firstLine="420"/>
        <w:jc w:val="both"/>
        <w:rPr>
          <w:lang w:eastAsia="zh-CN"/>
        </w:rPr>
      </w:pPr>
      <w:r>
        <w:rPr>
          <w:rFonts w:ascii="Times New Roman" w:hAnsi="Times New Roman" w:eastAsia="宋体"/>
          <w:lang w:eastAsia="zh-CN"/>
        </w:rPr>
        <w:t>从“范围而非穷尽需求”的角度看，初始阶段更强调先抓住高价值、高风险和高架构影响的问题。因此，本项目把以下内容纳入当前分析范围：身份认证（插卡、输入密码、登录验证、退卡）；账户业务（查询余额、查询账户信息、修改密码）；交易业务（取款、存款、转账）；辅助业务（打印凭条、查询交易流水、设备状态反馈）。这些内容覆盖了 ATM 系统的主要用户目标，也与后续三次细化迭代的功能划分保持一致。</w:t>
      </w:r>
    </w:p>
    <w:p w14:paraId="3E8797C3">
      <w:pPr>
        <w:spacing w:after="120" w:line="360" w:lineRule="auto"/>
        <w:ind w:firstLine="420"/>
        <w:jc w:val="both"/>
        <w:rPr>
          <w:lang w:eastAsia="zh-CN"/>
        </w:rPr>
      </w:pPr>
      <w:r>
        <w:rPr>
          <w:rFonts w:ascii="Times New Roman" w:hAnsi="Times New Roman" w:eastAsia="宋体"/>
          <w:lang w:eastAsia="zh-CN"/>
        </w:rPr>
        <w:t>与此同时，本课程项目有意不在初始阶段深入以下内容：真实银行级密码加密体系、跨行清算与结算细节、复杂风控与反欺诈策略、生产级设备驱动和硬件通信协议、严格意义上的高可用部署体系以及法规合规模块的完整实现。对这些内容，本章只在需要时以约束、风险或接口假设的形式加以说明，而不将其视为当前阶段必须完成的内部设计任务。</w:t>
      </w:r>
    </w:p>
    <w:p w14:paraId="68D93B89">
      <w:pPr>
        <w:spacing w:after="120" w:line="360" w:lineRule="auto"/>
        <w:ind w:firstLine="420"/>
        <w:jc w:val="both"/>
        <w:rPr>
          <w:rFonts w:ascii="Times New Roman" w:hAnsi="Times New Roman" w:eastAsia="宋体"/>
          <w:lang w:eastAsia="zh-CN"/>
        </w:rPr>
      </w:pPr>
      <w:r>
        <w:rPr>
          <w:rFonts w:ascii="Times New Roman" w:hAnsi="Times New Roman" w:eastAsia="宋体"/>
          <w:lang w:eastAsia="zh-CN"/>
        </w:rPr>
        <w:t>结合课本中对“补充性规格说明”和 FURPS+ 分类方法的介绍，ATM 系统在初始阶段除功能范围之外，还应同步识别若干关键的非功能需求和约束。这些内容虽然未必全部写入某个单一用例，却会显著影响后续架构选择、界面设计和异常处理方案。</w:t>
      </w:r>
    </w:p>
    <w:p w14:paraId="6244E746">
      <w:pPr>
        <w:spacing w:after="120" w:line="360" w:lineRule="auto"/>
        <w:ind w:firstLine="420"/>
        <w:jc w:val="both"/>
        <w:rPr>
          <w:rFonts w:ascii="Times New Roman" w:hAnsi="Times New Roman" w:eastAsia="宋体"/>
          <w:lang w:eastAsia="zh-CN"/>
        </w:rPr>
      </w:pPr>
    </w:p>
    <w:p w14:paraId="6BCD581E">
      <w:pPr>
        <w:spacing w:after="120" w:line="360" w:lineRule="auto"/>
        <w:jc w:val="both"/>
        <w:rPr>
          <w:rFonts w:ascii="Times New Roman" w:hAnsi="Times New Roman" w:eastAsia="宋体"/>
          <w:lang w:eastAsia="zh-CN"/>
        </w:rPr>
      </w:pPr>
    </w:p>
    <w:tbl>
      <w:tblPr>
        <w:tblStyle w:val="24"/>
        <w:tblW w:w="0" w:type="auto"/>
        <w:jc w:val="center"/>
        <w:tblLayout w:type="fixed"/>
        <w:tblCellMar>
          <w:top w:w="0" w:type="dxa"/>
          <w:left w:w="108" w:type="dxa"/>
          <w:bottom w:w="0" w:type="dxa"/>
          <w:right w:w="108" w:type="dxa"/>
        </w:tblCellMar>
      </w:tblPr>
      <w:tblGrid>
        <w:gridCol w:w="1871"/>
        <w:gridCol w:w="6917"/>
      </w:tblGrid>
      <w:tr w14:paraId="42570A06">
        <w:tblPrEx>
          <w:tblCellMar>
            <w:top w:w="0" w:type="dxa"/>
            <w:left w:w="108" w:type="dxa"/>
            <w:bottom w:w="0" w:type="dxa"/>
            <w:right w:w="108" w:type="dxa"/>
          </w:tblCellMar>
        </w:tblPrEx>
        <w:trPr>
          <w:jc w:val="center"/>
        </w:trPr>
        <w:tc>
          <w:tcPr>
            <w:tcW w:w="1871" w:type="dxa"/>
            <w:tcBorders>
              <w:top w:val="single" w:color="BFC7D5" w:sz="6" w:space="0"/>
              <w:left w:val="single" w:color="BFC7D5" w:sz="6" w:space="0"/>
              <w:bottom w:val="single" w:color="BFC7D5" w:sz="6" w:space="0"/>
              <w:right w:val="single" w:color="BFC7D5" w:sz="6" w:space="0"/>
            </w:tcBorders>
            <w:shd w:val="clear" w:color="auto" w:fill="E9EEF7"/>
            <w:tcMar>
              <w:top w:w="100" w:type="dxa"/>
              <w:left w:w="120" w:type="dxa"/>
              <w:bottom w:w="100" w:type="dxa"/>
              <w:right w:w="120" w:type="dxa"/>
            </w:tcMar>
          </w:tcPr>
          <w:p w14:paraId="1F67ACF1">
            <w:pPr>
              <w:jc w:val="center"/>
            </w:pPr>
            <w:r>
              <w:rPr>
                <w:rFonts w:ascii="Times New Roman" w:hAnsi="Times New Roman" w:eastAsia="黑体"/>
                <w:b/>
                <w:sz w:val="23"/>
              </w:rPr>
              <w:t>维度</w:t>
            </w:r>
          </w:p>
        </w:tc>
        <w:tc>
          <w:tcPr>
            <w:tcW w:w="6917" w:type="dxa"/>
            <w:tcBorders>
              <w:top w:val="single" w:color="BFC7D5" w:sz="6" w:space="0"/>
              <w:left w:val="single" w:color="BFC7D5" w:sz="6" w:space="0"/>
              <w:bottom w:val="single" w:color="BFC7D5" w:sz="6" w:space="0"/>
              <w:right w:val="single" w:color="BFC7D5" w:sz="6" w:space="0"/>
            </w:tcBorders>
            <w:shd w:val="clear" w:color="auto" w:fill="E9EEF7"/>
            <w:tcMar>
              <w:top w:w="100" w:type="dxa"/>
              <w:left w:w="120" w:type="dxa"/>
              <w:bottom w:w="100" w:type="dxa"/>
              <w:right w:w="120" w:type="dxa"/>
            </w:tcMar>
          </w:tcPr>
          <w:p w14:paraId="676254AB">
            <w:pPr>
              <w:jc w:val="center"/>
              <w:rPr>
                <w:lang w:eastAsia="zh-CN"/>
              </w:rPr>
            </w:pPr>
            <w:r>
              <w:rPr>
                <w:rFonts w:ascii="Times New Roman" w:hAnsi="Times New Roman" w:eastAsia="黑体"/>
                <w:b/>
                <w:sz w:val="23"/>
                <w:lang w:eastAsia="zh-CN"/>
              </w:rPr>
              <w:t>本项目在初始阶段的关注点</w:t>
            </w:r>
          </w:p>
        </w:tc>
      </w:tr>
      <w:tr w14:paraId="0508D20E">
        <w:tblPrEx>
          <w:tblCellMar>
            <w:top w:w="0" w:type="dxa"/>
            <w:left w:w="108" w:type="dxa"/>
            <w:bottom w:w="0" w:type="dxa"/>
            <w:right w:w="108" w:type="dxa"/>
          </w:tblCellMar>
        </w:tblPrEx>
        <w:trPr>
          <w:jc w:val="center"/>
        </w:trPr>
        <w:tc>
          <w:tcPr>
            <w:tcW w:w="1871"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20286338">
            <w:pPr>
              <w:spacing w:line="288" w:lineRule="auto"/>
            </w:pPr>
            <w:r>
              <w:rPr>
                <w:rFonts w:ascii="Times New Roman" w:hAnsi="Times New Roman" w:eastAsia="宋体"/>
                <w:sz w:val="21"/>
              </w:rPr>
              <w:t>功能性（F）</w:t>
            </w:r>
          </w:p>
        </w:tc>
        <w:tc>
          <w:tcPr>
            <w:tcW w:w="6917"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4873296B">
            <w:pPr>
              <w:spacing w:line="288" w:lineRule="auto"/>
              <w:rPr>
                <w:lang w:eastAsia="zh-CN"/>
              </w:rPr>
            </w:pPr>
            <w:r>
              <w:rPr>
                <w:rFonts w:ascii="Times New Roman" w:hAnsi="Times New Roman" w:eastAsia="宋体"/>
                <w:sz w:val="21"/>
                <w:lang w:eastAsia="zh-CN"/>
              </w:rPr>
              <w:t>支持插卡登录、身份验证、查询余额、取款、存款、转账、修改密码、打印凭条、退卡等核心功能；其中登录、查询余额、取款和转账作为本阶段重点用例。</w:t>
            </w:r>
          </w:p>
        </w:tc>
      </w:tr>
      <w:tr w14:paraId="35848E23">
        <w:tblPrEx>
          <w:tblCellMar>
            <w:top w:w="0" w:type="dxa"/>
            <w:left w:w="108" w:type="dxa"/>
            <w:bottom w:w="0" w:type="dxa"/>
            <w:right w:w="108" w:type="dxa"/>
          </w:tblCellMar>
        </w:tblPrEx>
        <w:trPr>
          <w:jc w:val="center"/>
        </w:trPr>
        <w:tc>
          <w:tcPr>
            <w:tcW w:w="1871"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3E6F10F1">
            <w:pPr>
              <w:spacing w:line="288" w:lineRule="auto"/>
            </w:pPr>
            <w:r>
              <w:rPr>
                <w:rFonts w:ascii="Times New Roman" w:hAnsi="Times New Roman" w:eastAsia="宋体"/>
                <w:sz w:val="21"/>
              </w:rPr>
              <w:t>可用性（U）</w:t>
            </w:r>
          </w:p>
        </w:tc>
        <w:tc>
          <w:tcPr>
            <w:tcW w:w="6917"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45E9CDAF">
            <w:pPr>
              <w:spacing w:line="288" w:lineRule="auto"/>
              <w:rPr>
                <w:lang w:eastAsia="zh-CN"/>
              </w:rPr>
            </w:pPr>
            <w:r>
              <w:rPr>
                <w:rFonts w:ascii="Times New Roman" w:hAnsi="Times New Roman" w:eastAsia="宋体"/>
                <w:sz w:val="21"/>
                <w:lang w:eastAsia="zh-CN"/>
              </w:rPr>
              <w:t>界面流程应简洁、菜单层级清晰、提示语言明确；错误信息要可理解且可恢复，便于非技术用户在 ATM 场景下独立完成操作。</w:t>
            </w:r>
          </w:p>
        </w:tc>
      </w:tr>
      <w:tr w14:paraId="6EAFFE55">
        <w:tblPrEx>
          <w:tblCellMar>
            <w:top w:w="0" w:type="dxa"/>
            <w:left w:w="108" w:type="dxa"/>
            <w:bottom w:w="0" w:type="dxa"/>
            <w:right w:w="108" w:type="dxa"/>
          </w:tblCellMar>
        </w:tblPrEx>
        <w:trPr>
          <w:jc w:val="center"/>
        </w:trPr>
        <w:tc>
          <w:tcPr>
            <w:tcW w:w="1871"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394DAD35">
            <w:pPr>
              <w:spacing w:line="288" w:lineRule="auto"/>
            </w:pPr>
            <w:r>
              <w:rPr>
                <w:rFonts w:ascii="Times New Roman" w:hAnsi="Times New Roman" w:eastAsia="宋体"/>
                <w:sz w:val="21"/>
              </w:rPr>
              <w:t>可靠性（R）</w:t>
            </w:r>
          </w:p>
        </w:tc>
        <w:tc>
          <w:tcPr>
            <w:tcW w:w="6917"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73FA9195">
            <w:pPr>
              <w:spacing w:line="288" w:lineRule="auto"/>
              <w:rPr>
                <w:lang w:eastAsia="zh-CN"/>
              </w:rPr>
            </w:pPr>
            <w:r>
              <w:rPr>
                <w:rFonts w:ascii="Times New Roman" w:hAnsi="Times New Roman" w:eastAsia="宋体"/>
                <w:sz w:val="21"/>
                <w:lang w:eastAsia="zh-CN"/>
              </w:rPr>
              <w:t>避免出现“扣款成功但吐钞失败无记录”之类的不一致状态；重要交易必须记录流水，密码重试、会话超时和异常回滚策略需在分析阶段先被识别。</w:t>
            </w:r>
          </w:p>
        </w:tc>
      </w:tr>
      <w:tr w14:paraId="00136BFD">
        <w:tblPrEx>
          <w:tblCellMar>
            <w:top w:w="0" w:type="dxa"/>
            <w:left w:w="108" w:type="dxa"/>
            <w:bottom w:w="0" w:type="dxa"/>
            <w:right w:w="108" w:type="dxa"/>
          </w:tblCellMar>
        </w:tblPrEx>
        <w:trPr>
          <w:jc w:val="center"/>
        </w:trPr>
        <w:tc>
          <w:tcPr>
            <w:tcW w:w="1871"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70BCF0CC">
            <w:pPr>
              <w:spacing w:line="288" w:lineRule="auto"/>
            </w:pPr>
            <w:r>
              <w:rPr>
                <w:rFonts w:ascii="Times New Roman" w:hAnsi="Times New Roman" w:eastAsia="宋体"/>
                <w:sz w:val="21"/>
              </w:rPr>
              <w:t>性能（P）</w:t>
            </w:r>
          </w:p>
        </w:tc>
        <w:tc>
          <w:tcPr>
            <w:tcW w:w="6917"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1B6EADEF">
            <w:pPr>
              <w:spacing w:line="288" w:lineRule="auto"/>
              <w:rPr>
                <w:lang w:eastAsia="zh-CN"/>
              </w:rPr>
            </w:pPr>
            <w:r>
              <w:rPr>
                <w:rFonts w:ascii="Times New Roman" w:hAnsi="Times New Roman" w:eastAsia="宋体"/>
                <w:sz w:val="21"/>
                <w:lang w:eastAsia="zh-CN"/>
              </w:rPr>
              <w:t>余额查询与菜单切换需保持良好响应；交易请求在后台服务可用时应在可接受时间内完成，并在网络异常时快速反馈而非长时间无响应。</w:t>
            </w:r>
          </w:p>
        </w:tc>
      </w:tr>
      <w:tr w14:paraId="0056AB82">
        <w:tblPrEx>
          <w:tblCellMar>
            <w:top w:w="0" w:type="dxa"/>
            <w:left w:w="108" w:type="dxa"/>
            <w:bottom w:w="0" w:type="dxa"/>
            <w:right w:w="108" w:type="dxa"/>
          </w:tblCellMar>
        </w:tblPrEx>
        <w:trPr>
          <w:jc w:val="center"/>
        </w:trPr>
        <w:tc>
          <w:tcPr>
            <w:tcW w:w="1871"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04228B4D">
            <w:pPr>
              <w:spacing w:line="288" w:lineRule="auto"/>
            </w:pPr>
            <w:r>
              <w:rPr>
                <w:rFonts w:ascii="Times New Roman" w:hAnsi="Times New Roman" w:eastAsia="宋体"/>
                <w:sz w:val="21"/>
              </w:rPr>
              <w:t>可支持性（S）</w:t>
            </w:r>
          </w:p>
        </w:tc>
        <w:tc>
          <w:tcPr>
            <w:tcW w:w="6917"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3C46B9E7">
            <w:pPr>
              <w:spacing w:line="288" w:lineRule="auto"/>
              <w:rPr>
                <w:lang w:eastAsia="zh-CN"/>
              </w:rPr>
            </w:pPr>
            <w:r>
              <w:rPr>
                <w:rFonts w:ascii="Times New Roman" w:hAnsi="Times New Roman" w:eastAsia="宋体"/>
                <w:sz w:val="21"/>
                <w:lang w:eastAsia="zh-CN"/>
              </w:rPr>
              <w:t>前后端分离、模块职责清晰、接口可测试；建模文档与实现结构相互对应，便于后续细化迭代和团队分工。</w:t>
            </w:r>
          </w:p>
        </w:tc>
      </w:tr>
      <w:tr w14:paraId="57EC5FE3">
        <w:tblPrEx>
          <w:tblCellMar>
            <w:top w:w="0" w:type="dxa"/>
            <w:left w:w="108" w:type="dxa"/>
            <w:bottom w:w="0" w:type="dxa"/>
            <w:right w:w="108" w:type="dxa"/>
          </w:tblCellMar>
        </w:tblPrEx>
        <w:trPr>
          <w:jc w:val="center"/>
        </w:trPr>
        <w:tc>
          <w:tcPr>
            <w:tcW w:w="1871"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17FE3A4C">
            <w:pPr>
              <w:spacing w:line="288" w:lineRule="auto"/>
            </w:pPr>
            <w:r>
              <w:rPr>
                <w:rFonts w:ascii="Times New Roman" w:hAnsi="Times New Roman" w:eastAsia="宋体"/>
                <w:sz w:val="21"/>
              </w:rPr>
              <w:t>“+” 约束</w:t>
            </w:r>
          </w:p>
        </w:tc>
        <w:tc>
          <w:tcPr>
            <w:tcW w:w="6917" w:type="dxa"/>
            <w:tcBorders>
              <w:top w:val="single" w:color="BFC7D5" w:sz="6" w:space="0"/>
              <w:left w:val="single" w:color="BFC7D5" w:sz="6" w:space="0"/>
              <w:bottom w:val="single" w:color="BFC7D5" w:sz="6" w:space="0"/>
              <w:right w:val="single" w:color="BFC7D5" w:sz="6" w:space="0"/>
            </w:tcBorders>
            <w:tcMar>
              <w:top w:w="100" w:type="dxa"/>
              <w:left w:w="120" w:type="dxa"/>
              <w:bottom w:w="100" w:type="dxa"/>
              <w:right w:w="120" w:type="dxa"/>
            </w:tcMar>
            <w:vAlign w:val="center"/>
          </w:tcPr>
          <w:p w14:paraId="0F0F4590">
            <w:pPr>
              <w:spacing w:line="288" w:lineRule="auto"/>
              <w:rPr>
                <w:lang w:eastAsia="zh-CN"/>
              </w:rPr>
            </w:pPr>
            <w:r>
              <w:rPr>
                <w:rFonts w:ascii="Times New Roman" w:hAnsi="Times New Roman" w:eastAsia="宋体"/>
                <w:sz w:val="21"/>
                <w:lang w:eastAsia="zh-CN"/>
              </w:rPr>
              <w:t>包括与银行核心系统的接口约束、ATM 设备能力约束、交易金额规则、日志审计、部署与实现技术约束等。</w:t>
            </w:r>
          </w:p>
        </w:tc>
      </w:tr>
    </w:tbl>
    <w:p w14:paraId="5D3916A2">
      <w:pPr>
        <w:spacing w:after="120" w:line="360" w:lineRule="auto"/>
        <w:ind w:firstLine="480" w:firstLineChars="200"/>
        <w:jc w:val="both"/>
        <w:rPr>
          <w:lang w:eastAsia="zh-CN"/>
        </w:rPr>
      </w:pPr>
      <w:r>
        <w:rPr>
          <w:rFonts w:ascii="Times New Roman" w:hAnsi="Times New Roman" w:eastAsia="宋体"/>
          <w:lang w:eastAsia="zh-CN"/>
        </w:rPr>
        <w:t>在此基础上，本项目还识别出若干初始风险：其一，登录认证、会话控制和交易处理都依赖外部银行核心系统，网络波动或接口不可用会直接影响客户体验；其二，取款、转账等交易具有一致性要求，必须避免“部分成功、部分失败”造成的账务错误；其三，ATM 设备状态（读卡、吐钞、打印）与业务结果存在联动，设备异常可能放大业务风险；其四，课程项目虽不追求真实银行级复杂度，但关键业务规则如金额限制、密码重试、超时退出、凭条策略等仍需尽早明确，以便后续设计不会反复返工。</w:t>
      </w:r>
    </w:p>
    <w:tbl>
      <w:tblPr>
        <w:tblStyle w:val="24"/>
        <w:tblW w:w="0" w:type="auto"/>
        <w:jc w:val="center"/>
        <w:tblLayout w:type="autofit"/>
        <w:tblCellMar>
          <w:top w:w="0" w:type="dxa"/>
          <w:left w:w="108" w:type="dxa"/>
          <w:bottom w:w="0" w:type="dxa"/>
          <w:right w:w="108" w:type="dxa"/>
        </w:tblCellMar>
      </w:tblPr>
      <w:tblGrid>
        <w:gridCol w:w="9179"/>
      </w:tblGrid>
      <w:tr w14:paraId="3DDB624C">
        <w:tblPrEx>
          <w:tblCellMar>
            <w:top w:w="0" w:type="dxa"/>
            <w:left w:w="108" w:type="dxa"/>
            <w:bottom w:w="0" w:type="dxa"/>
            <w:right w:w="108" w:type="dxa"/>
          </w:tblCellMar>
        </w:tblPrEx>
        <w:trPr>
          <w:jc w:val="center"/>
        </w:trPr>
        <w:tc>
          <w:tcPr>
            <w:tcW w:w="9179" w:type="dxa"/>
            <w:tcBorders>
              <w:top w:val="single" w:color="D9DFEA" w:sz="8" w:space="0"/>
              <w:left w:val="single" w:color="D9DFEA" w:sz="8" w:space="0"/>
              <w:bottom w:val="single" w:color="D9DFEA" w:sz="8" w:space="0"/>
              <w:right w:val="single" w:color="D9DFEA" w:sz="8" w:space="0"/>
            </w:tcBorders>
            <w:shd w:val="clear" w:color="auto" w:fill="F2F5FA"/>
            <w:tcMar>
              <w:top w:w="120" w:type="dxa"/>
              <w:left w:w="160" w:type="dxa"/>
              <w:bottom w:w="120" w:type="dxa"/>
              <w:right w:w="160" w:type="dxa"/>
            </w:tcMar>
          </w:tcPr>
          <w:p w14:paraId="72262EB9">
            <w:pPr>
              <w:spacing w:after="0" w:line="300" w:lineRule="auto"/>
              <w:jc w:val="both"/>
              <w:rPr>
                <w:lang w:eastAsia="zh-CN"/>
              </w:rPr>
            </w:pPr>
            <w:r>
              <w:rPr>
                <w:rFonts w:ascii="Times New Roman" w:hAnsi="Times New Roman" w:eastAsia="宋体"/>
                <w:sz w:val="23"/>
                <w:lang w:eastAsia="zh-CN"/>
              </w:rPr>
              <w:t>课本强调：初始阶段不应试图定义大部分需求，也不应期待在此阶段得到可靠预算和完整计划。对 ATM 课程项目而言，更合理的做法是先明确系统边界和关键约束，再围绕高价值、高风险用例推进细化迭代。</w:t>
            </w:r>
          </w:p>
        </w:tc>
      </w:tr>
    </w:tbl>
    <w:p w14:paraId="32942873">
      <w:pPr>
        <w:spacing w:before="280" w:after="160"/>
        <w:outlineLvl w:val="0"/>
        <w:rPr>
          <w:lang w:eastAsia="zh-CN"/>
        </w:rPr>
      </w:pPr>
      <w:bookmarkStart w:id="20" w:name="_Toc19816"/>
      <w:bookmarkStart w:id="21" w:name="_Toc31924"/>
      <w:r>
        <w:rPr>
          <w:rFonts w:ascii="Times New Roman" w:hAnsi="Times New Roman" w:eastAsia="黑体"/>
          <w:b/>
          <w:sz w:val="36"/>
          <w:lang w:eastAsia="zh-CN"/>
        </w:rPr>
        <w:t>1.4 用例图</w:t>
      </w:r>
      <w:bookmarkEnd w:id="20"/>
      <w:bookmarkEnd w:id="21"/>
    </w:p>
    <w:p w14:paraId="78E09D2A">
      <w:pPr>
        <w:spacing w:after="120" w:line="360" w:lineRule="auto"/>
        <w:ind w:firstLine="420"/>
        <w:jc w:val="both"/>
        <w:rPr>
          <w:lang w:eastAsia="zh-CN"/>
        </w:rPr>
      </w:pPr>
      <w:r>
        <w:rPr>
          <w:rFonts w:ascii="Times New Roman" w:hAnsi="Times New Roman" w:eastAsia="宋体"/>
          <w:lang w:eastAsia="zh-CN"/>
        </w:rPr>
        <w:t>用例模型的核心是文本形式的用例，而不是图本身；用例图更适合充当语境图和索引视图，帮助团队快速看到“谁与系统交互”和“系统对外提供了哪些主要能力”。因此，下图的作用不是替代用例说明，而是在初始阶段给出 ATM 系统的总体业务轮廓。</w:t>
      </w:r>
    </w:p>
    <w:p w14:paraId="5BFA48D8">
      <w:pPr>
        <w:jc w:val="center"/>
      </w:pPr>
      <w:r>
        <w:drawing>
          <wp:inline distT="0" distB="0" distL="114300" distR="114300">
            <wp:extent cx="2487930" cy="3627755"/>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487930" cy="3627755"/>
                    </a:xfrm>
                    <a:prstGeom prst="rect">
                      <a:avLst/>
                    </a:prstGeom>
                  </pic:spPr>
                </pic:pic>
              </a:graphicData>
            </a:graphic>
          </wp:inline>
        </w:drawing>
      </w:r>
    </w:p>
    <w:p w14:paraId="2BC97896">
      <w:pPr>
        <w:jc w:val="center"/>
        <w:rPr>
          <w:lang w:eastAsia="zh-CN"/>
        </w:rPr>
      </w:pPr>
      <w:r>
        <w:rPr>
          <w:rFonts w:ascii="Times New Roman" w:hAnsi="Times New Roman" w:eastAsia="宋体"/>
          <w:sz w:val="21"/>
          <w:lang w:eastAsia="zh-CN"/>
        </w:rPr>
        <w:t>图 1-1 ATM 系统初始阶段总体用例关系图</w:t>
      </w:r>
    </w:p>
    <w:p w14:paraId="6B23DE78">
      <w:pPr>
        <w:spacing w:after="120" w:line="360" w:lineRule="auto"/>
        <w:ind w:firstLine="420"/>
        <w:jc w:val="both"/>
        <w:rPr>
          <w:lang w:eastAsia="zh-CN"/>
        </w:rPr>
      </w:pPr>
      <w:r>
        <w:rPr>
          <w:rFonts w:ascii="Times New Roman" w:hAnsi="Times New Roman" w:eastAsia="宋体"/>
          <w:lang w:eastAsia="zh-CN"/>
        </w:rPr>
        <w:t>由图可见，客户是触发全部核心业务的直接参与者，银行核心系统为身份验证、账户查询和交易处理提供外部支撑，而 ATM 系统则作为客户目标的承载者和协调者。图中“登录/身份验证、查询余额、取款、存款、转账、修改密码、打印凭条、退卡”等用例基本覆盖了当前阶段的主要用户目标。</w:t>
      </w:r>
    </w:p>
    <w:p w14:paraId="5A1A827A">
      <w:pPr>
        <w:spacing w:after="120" w:line="360" w:lineRule="auto"/>
        <w:ind w:firstLine="420"/>
        <w:jc w:val="both"/>
        <w:rPr>
          <w:lang w:eastAsia="zh-CN"/>
        </w:rPr>
      </w:pPr>
      <w:r>
        <w:rPr>
          <w:rFonts w:ascii="Times New Roman" w:hAnsi="Times New Roman" w:eastAsia="宋体"/>
          <w:lang w:eastAsia="zh-CN"/>
        </w:rPr>
        <w:t>需要强调的是，初始阶段的用例图重在列出关键用例名称和参与者关系，帮助团队形成共同认识；真正用于后续分析和设计的关键输入仍然是用例文本本身。按照课本中“初始阶段只需较详细编写 10%～20% 关键用例”的思路，本章将在用例图的基础上选择代表性且具有架构意义的用例做相对详细的规约，而不是把所有用例都写成同样的细粒度。</w:t>
      </w:r>
    </w:p>
    <w:p w14:paraId="460C56EA">
      <w:pPr>
        <w:spacing w:before="280" w:after="160"/>
        <w:outlineLvl w:val="0"/>
        <w:rPr>
          <w:lang w:eastAsia="zh-CN"/>
        </w:rPr>
      </w:pPr>
      <w:bookmarkStart w:id="22" w:name="_Toc16257"/>
      <w:bookmarkStart w:id="23" w:name="_Toc10999"/>
      <w:r>
        <w:rPr>
          <w:rFonts w:ascii="Times New Roman" w:hAnsi="Times New Roman" w:eastAsia="黑体"/>
          <w:b/>
          <w:sz w:val="36"/>
          <w:lang w:eastAsia="zh-CN"/>
        </w:rPr>
        <w:t>1.5 核心用例规约</w:t>
      </w:r>
      <w:bookmarkEnd w:id="22"/>
      <w:bookmarkEnd w:id="23"/>
    </w:p>
    <w:p w14:paraId="626F2B9E">
      <w:pPr>
        <w:spacing w:after="120" w:line="360" w:lineRule="auto"/>
        <w:ind w:firstLine="420"/>
        <w:jc w:val="both"/>
        <w:rPr>
          <w:lang w:eastAsia="zh-CN"/>
        </w:rPr>
      </w:pPr>
      <w:r>
        <w:rPr>
          <w:rFonts w:ascii="Times New Roman" w:hAnsi="Times New Roman" w:eastAsia="宋体"/>
          <w:lang w:eastAsia="zh-CN"/>
        </w:rPr>
        <w:t>结合初始化阶段的任务要求、本项目已有方案以及课本关于“在初始阶段优先详细描述高风险、高价值、具有重要架构意义的用例”的建议，本文选择“登录认证”“查询余额”“取款”“转账”四个代表性用例进行规约说明。它们分别覆盖认证类、查询类、交易类和跨账户交易类场景，足以支撑后续分析类图、活动图和顺序图的细化。对于存款、修改密码、打印凭条等其他用例，将在后续细化迭代中按同样方法继续补充。</w:t>
      </w:r>
    </w:p>
    <w:p w14:paraId="5DE939B8">
      <w:pPr>
        <w:spacing w:before="200" w:after="100"/>
        <w:outlineLvl w:val="1"/>
        <w:rPr>
          <w:lang w:eastAsia="zh-CN"/>
        </w:rPr>
      </w:pPr>
      <w:bookmarkStart w:id="24" w:name="_Toc10654"/>
      <w:bookmarkStart w:id="25" w:name="_Toc14043"/>
      <w:r>
        <w:rPr>
          <w:rFonts w:ascii="Times New Roman" w:hAnsi="Times New Roman" w:eastAsia="黑体"/>
          <w:b/>
          <w:sz w:val="28"/>
          <w:lang w:eastAsia="zh-CN"/>
        </w:rPr>
        <w:t>1.5.1 用例一：登录认证</w:t>
      </w:r>
      <w:bookmarkEnd w:id="24"/>
      <w:bookmarkEnd w:id="25"/>
    </w:p>
    <w:p w14:paraId="57582235">
      <w:pPr>
        <w:spacing w:after="60" w:line="324" w:lineRule="auto"/>
        <w:ind w:left="170"/>
        <w:jc w:val="both"/>
        <w:rPr>
          <w:lang w:eastAsia="zh-CN"/>
        </w:rPr>
      </w:pPr>
      <w:r>
        <w:rPr>
          <w:rFonts w:ascii="Times New Roman" w:hAnsi="Times New Roman" w:eastAsia="宋体"/>
          <w:b/>
          <w:lang w:eastAsia="zh-CN"/>
        </w:rPr>
        <w:t>• 用例名称：</w:t>
      </w:r>
      <w:r>
        <w:rPr>
          <w:rFonts w:ascii="Times New Roman" w:hAnsi="Times New Roman" w:eastAsia="宋体"/>
          <w:lang w:eastAsia="zh-CN"/>
        </w:rPr>
        <w:t>登录认证</w:t>
      </w:r>
    </w:p>
    <w:p w14:paraId="6B252757">
      <w:pPr>
        <w:spacing w:after="60" w:line="324" w:lineRule="auto"/>
        <w:ind w:left="170"/>
        <w:jc w:val="both"/>
        <w:rPr>
          <w:lang w:eastAsia="zh-CN"/>
        </w:rPr>
      </w:pPr>
      <w:r>
        <w:rPr>
          <w:rFonts w:ascii="Times New Roman" w:hAnsi="Times New Roman" w:eastAsia="宋体"/>
          <w:b/>
          <w:lang w:eastAsia="zh-CN"/>
        </w:rPr>
        <w:t>• 用例编号：</w:t>
      </w:r>
      <w:r>
        <w:rPr>
          <w:rFonts w:ascii="Times New Roman" w:hAnsi="Times New Roman" w:eastAsia="宋体"/>
          <w:lang w:eastAsia="zh-CN"/>
        </w:rPr>
        <w:t>SUC001</w:t>
      </w:r>
    </w:p>
    <w:p w14:paraId="0B631784">
      <w:pPr>
        <w:spacing w:after="60" w:line="324" w:lineRule="auto"/>
        <w:ind w:left="170"/>
        <w:jc w:val="both"/>
        <w:rPr>
          <w:lang w:eastAsia="zh-CN"/>
        </w:rPr>
      </w:pPr>
      <w:r>
        <w:rPr>
          <w:rFonts w:ascii="Times New Roman" w:hAnsi="Times New Roman" w:eastAsia="宋体"/>
          <w:b/>
          <w:lang w:eastAsia="zh-CN"/>
        </w:rPr>
        <w:t>• 主要参与者：</w:t>
      </w:r>
      <w:r>
        <w:rPr>
          <w:rFonts w:ascii="Times New Roman" w:hAnsi="Times New Roman" w:eastAsia="宋体"/>
          <w:lang w:eastAsia="zh-CN"/>
        </w:rPr>
        <w:t>客户</w:t>
      </w:r>
    </w:p>
    <w:p w14:paraId="7389CD6F">
      <w:pPr>
        <w:spacing w:after="60" w:line="324" w:lineRule="auto"/>
        <w:ind w:left="170"/>
        <w:jc w:val="both"/>
        <w:rPr>
          <w:lang w:eastAsia="zh-CN"/>
        </w:rPr>
      </w:pPr>
      <w:r>
        <w:rPr>
          <w:rFonts w:ascii="Times New Roman" w:hAnsi="Times New Roman" w:eastAsia="宋体"/>
          <w:b/>
          <w:lang w:eastAsia="zh-CN"/>
        </w:rPr>
        <w:t>• 目标：</w:t>
      </w:r>
      <w:r>
        <w:rPr>
          <w:rFonts w:ascii="Times New Roman" w:hAnsi="Times New Roman" w:eastAsia="宋体"/>
          <w:lang w:eastAsia="zh-CN"/>
        </w:rPr>
        <w:t>建立合法有效的 ATM 会话，使客户进入主菜单并获得后续业务访问资格。</w:t>
      </w:r>
    </w:p>
    <w:p w14:paraId="089B1B28">
      <w:pPr>
        <w:spacing w:after="60" w:line="324" w:lineRule="auto"/>
        <w:ind w:left="170"/>
        <w:jc w:val="both"/>
        <w:rPr>
          <w:lang w:eastAsia="zh-CN"/>
        </w:rPr>
      </w:pPr>
      <w:r>
        <w:rPr>
          <w:rFonts w:ascii="Times New Roman" w:hAnsi="Times New Roman" w:eastAsia="宋体"/>
          <w:b/>
          <w:lang w:eastAsia="zh-CN"/>
        </w:rPr>
        <w:t>• 触发条件：</w:t>
      </w:r>
      <w:r>
        <w:rPr>
          <w:rFonts w:ascii="Times New Roman" w:hAnsi="Times New Roman" w:eastAsia="宋体"/>
          <w:lang w:eastAsia="zh-CN"/>
        </w:rPr>
        <w:t>客户插入银行卡，开始身份验证。</w:t>
      </w:r>
    </w:p>
    <w:p w14:paraId="416D7C83">
      <w:pPr>
        <w:spacing w:after="60" w:line="324" w:lineRule="auto"/>
        <w:ind w:left="170"/>
        <w:jc w:val="both"/>
        <w:rPr>
          <w:lang w:eastAsia="zh-CN"/>
        </w:rPr>
      </w:pPr>
      <w:r>
        <w:rPr>
          <w:rFonts w:ascii="Times New Roman" w:hAnsi="Times New Roman" w:eastAsia="宋体"/>
          <w:b/>
          <w:lang w:eastAsia="zh-CN"/>
        </w:rPr>
        <w:t>• 前置条件：</w:t>
      </w:r>
      <w:r>
        <w:rPr>
          <w:rFonts w:ascii="Times New Roman" w:hAnsi="Times New Roman" w:eastAsia="宋体"/>
          <w:lang w:eastAsia="zh-CN"/>
        </w:rPr>
        <w:t>ATM 设备处于待机状态；银行卡物理可读；系统与后台认证服务处于可用状态。</w:t>
      </w:r>
    </w:p>
    <w:p w14:paraId="204E8329">
      <w:pPr>
        <w:spacing w:after="60" w:line="324" w:lineRule="auto"/>
        <w:ind w:left="170"/>
        <w:jc w:val="both"/>
        <w:rPr>
          <w:lang w:eastAsia="zh-CN"/>
        </w:rPr>
      </w:pPr>
      <w:r>
        <w:rPr>
          <w:rFonts w:ascii="Times New Roman" w:hAnsi="Times New Roman" w:eastAsia="宋体"/>
          <w:b/>
          <w:lang w:eastAsia="zh-CN"/>
        </w:rPr>
        <w:t>• 后置条件：</w:t>
      </w:r>
      <w:r>
        <w:rPr>
          <w:rFonts w:ascii="Times New Roman" w:hAnsi="Times New Roman" w:eastAsia="宋体"/>
          <w:lang w:eastAsia="zh-CN"/>
        </w:rPr>
        <w:t>成功时建立当前会话并进入主菜单；失败时系统保持安全状态，必要时结束会话并退卡。</w:t>
      </w:r>
    </w:p>
    <w:p w14:paraId="7F0A8000">
      <w:pPr>
        <w:spacing w:after="60" w:line="324" w:lineRule="auto"/>
        <w:ind w:left="170"/>
        <w:jc w:val="both"/>
        <w:rPr>
          <w:lang w:eastAsia="zh-CN"/>
        </w:rPr>
      </w:pPr>
      <w:r>
        <w:rPr>
          <w:rFonts w:ascii="Times New Roman" w:hAnsi="Times New Roman" w:eastAsia="宋体"/>
          <w:b/>
          <w:lang w:eastAsia="zh-CN"/>
        </w:rPr>
        <w:t>• 用例简述：</w:t>
      </w:r>
      <w:r>
        <w:rPr>
          <w:rFonts w:ascii="Times New Roman" w:hAnsi="Times New Roman" w:eastAsia="宋体"/>
          <w:lang w:eastAsia="zh-CN"/>
        </w:rPr>
        <w:t>客户通过插卡和输入密码完成身份验证，系统验证通过后进入业务菜单。</w:t>
      </w:r>
    </w:p>
    <w:p w14:paraId="50DD8479">
      <w:pPr>
        <w:spacing w:after="60" w:line="360" w:lineRule="auto"/>
        <w:jc w:val="both"/>
        <w:rPr>
          <w:lang w:eastAsia="zh-CN"/>
        </w:rPr>
      </w:pPr>
      <w:r>
        <w:rPr>
          <w:rFonts w:ascii="Times New Roman" w:hAnsi="Times New Roman" w:eastAsia="宋体"/>
          <w:lang w:eastAsia="zh-CN"/>
        </w:rPr>
        <w:t>主要成功场景：</w:t>
      </w:r>
    </w:p>
    <w:p w14:paraId="5D2FF530">
      <w:pPr>
        <w:spacing w:after="40" w:line="324" w:lineRule="auto"/>
        <w:ind w:left="420" w:hanging="227"/>
        <w:jc w:val="both"/>
        <w:rPr>
          <w:lang w:eastAsia="zh-CN"/>
        </w:rPr>
      </w:pPr>
      <w:r>
        <w:rPr>
          <w:rFonts w:ascii="Times New Roman" w:hAnsi="Times New Roman" w:eastAsia="宋体"/>
          <w:lang w:eastAsia="zh-CN"/>
        </w:rPr>
        <w:t>1. 客户将银行卡插入 ATM。</w:t>
      </w:r>
    </w:p>
    <w:p w14:paraId="13DE2D79">
      <w:pPr>
        <w:spacing w:after="40" w:line="324" w:lineRule="auto"/>
        <w:ind w:left="420" w:hanging="227"/>
        <w:jc w:val="both"/>
        <w:rPr>
          <w:lang w:eastAsia="zh-CN"/>
        </w:rPr>
      </w:pPr>
      <w:r>
        <w:rPr>
          <w:rFonts w:ascii="Times New Roman" w:hAnsi="Times New Roman" w:eastAsia="宋体"/>
          <w:lang w:eastAsia="zh-CN"/>
        </w:rPr>
        <w:t>2. ATM 系统读取卡号信息，并提示客户输入密码。</w:t>
      </w:r>
    </w:p>
    <w:p w14:paraId="4D83382C">
      <w:pPr>
        <w:spacing w:after="40" w:line="324" w:lineRule="auto"/>
        <w:ind w:left="420" w:hanging="227"/>
        <w:jc w:val="both"/>
        <w:rPr>
          <w:lang w:eastAsia="zh-CN"/>
        </w:rPr>
      </w:pPr>
      <w:r>
        <w:rPr>
          <w:rFonts w:ascii="Times New Roman" w:hAnsi="Times New Roman" w:eastAsia="宋体"/>
          <w:lang w:eastAsia="zh-CN"/>
        </w:rPr>
        <w:t>3. 客户输入密码。</w:t>
      </w:r>
    </w:p>
    <w:p w14:paraId="3E0ED92F">
      <w:pPr>
        <w:spacing w:after="40" w:line="324" w:lineRule="auto"/>
        <w:ind w:left="420" w:hanging="227"/>
        <w:jc w:val="both"/>
        <w:rPr>
          <w:lang w:eastAsia="zh-CN"/>
        </w:rPr>
      </w:pPr>
      <w:r>
        <w:rPr>
          <w:rFonts w:ascii="Times New Roman" w:hAnsi="Times New Roman" w:eastAsia="宋体"/>
          <w:lang w:eastAsia="zh-CN"/>
        </w:rPr>
        <w:t>4. ATM 系统将卡号、密码和设备上下文提交给认证模块。</w:t>
      </w:r>
    </w:p>
    <w:p w14:paraId="5AAEBAD0">
      <w:pPr>
        <w:spacing w:after="40" w:line="324" w:lineRule="auto"/>
        <w:ind w:left="420" w:hanging="227"/>
        <w:jc w:val="both"/>
        <w:rPr>
          <w:lang w:eastAsia="zh-CN"/>
        </w:rPr>
      </w:pPr>
      <w:r>
        <w:rPr>
          <w:rFonts w:ascii="Times New Roman" w:hAnsi="Times New Roman" w:eastAsia="宋体"/>
          <w:lang w:eastAsia="zh-CN"/>
        </w:rPr>
        <w:t>5. 认证模块调用银行核心系统或账户数据完成校验。</w:t>
      </w:r>
    </w:p>
    <w:p w14:paraId="7C419620">
      <w:pPr>
        <w:spacing w:after="40" w:line="324" w:lineRule="auto"/>
        <w:ind w:left="420" w:hanging="227"/>
        <w:jc w:val="both"/>
        <w:rPr>
          <w:lang w:eastAsia="zh-CN"/>
        </w:rPr>
      </w:pPr>
      <w:r>
        <w:rPr>
          <w:rFonts w:ascii="Times New Roman" w:hAnsi="Times New Roman" w:eastAsia="宋体"/>
          <w:lang w:eastAsia="zh-CN"/>
        </w:rPr>
        <w:t>6. 系统返回认证成功结果。</w:t>
      </w:r>
    </w:p>
    <w:p w14:paraId="7B293E49">
      <w:pPr>
        <w:spacing w:after="40" w:line="324" w:lineRule="auto"/>
        <w:ind w:left="420" w:hanging="227"/>
        <w:jc w:val="both"/>
        <w:rPr>
          <w:lang w:eastAsia="zh-CN"/>
        </w:rPr>
      </w:pPr>
      <w:r>
        <w:rPr>
          <w:rFonts w:ascii="Times New Roman" w:hAnsi="Times New Roman" w:eastAsia="宋体"/>
          <w:lang w:eastAsia="zh-CN"/>
        </w:rPr>
        <w:t>7. ATM 系统建立当前会话，记录必要的登录日志，并显示主菜单。</w:t>
      </w:r>
    </w:p>
    <w:p w14:paraId="78476FAD">
      <w:pPr>
        <w:spacing w:after="60" w:line="360" w:lineRule="auto"/>
        <w:jc w:val="both"/>
        <w:rPr>
          <w:lang w:eastAsia="zh-CN"/>
        </w:rPr>
      </w:pPr>
      <w:r>
        <w:rPr>
          <w:rFonts w:ascii="Times New Roman" w:hAnsi="Times New Roman" w:eastAsia="宋体"/>
          <w:lang w:eastAsia="zh-CN"/>
        </w:rPr>
        <w:t>扩展与异常流程：</w:t>
      </w:r>
    </w:p>
    <w:p w14:paraId="6794351C">
      <w:pPr>
        <w:spacing w:after="40" w:line="324" w:lineRule="auto"/>
        <w:ind w:left="420" w:hanging="227"/>
        <w:jc w:val="both"/>
        <w:rPr>
          <w:lang w:eastAsia="zh-CN"/>
        </w:rPr>
      </w:pPr>
      <w:r>
        <w:rPr>
          <w:rFonts w:ascii="Times New Roman" w:hAnsi="Times New Roman" w:eastAsia="宋体"/>
          <w:lang w:eastAsia="zh-CN"/>
        </w:rPr>
        <w:t>1. 若银行卡状态异常、卡片不可读或已被停用，则系统提示该卡不可用，并结束本次认证。</w:t>
      </w:r>
    </w:p>
    <w:p w14:paraId="3BC6575A">
      <w:pPr>
        <w:spacing w:after="40" w:line="324" w:lineRule="auto"/>
        <w:ind w:left="420" w:hanging="227"/>
        <w:jc w:val="both"/>
        <w:rPr>
          <w:lang w:eastAsia="zh-CN"/>
        </w:rPr>
      </w:pPr>
      <w:r>
        <w:rPr>
          <w:rFonts w:ascii="Times New Roman" w:hAnsi="Times New Roman" w:eastAsia="宋体"/>
          <w:lang w:eastAsia="zh-CN"/>
        </w:rPr>
        <w:t>2. 若密码错误，则系统提示重新输入；连续多次输入错误时，系统终止本次会话并退卡。</w:t>
      </w:r>
    </w:p>
    <w:p w14:paraId="4311EBEA">
      <w:pPr>
        <w:spacing w:after="40" w:line="324" w:lineRule="auto"/>
        <w:ind w:left="420" w:hanging="227"/>
        <w:jc w:val="both"/>
        <w:rPr>
          <w:lang w:eastAsia="zh-CN"/>
        </w:rPr>
      </w:pPr>
      <w:r>
        <w:rPr>
          <w:rFonts w:ascii="Times New Roman" w:hAnsi="Times New Roman" w:eastAsia="宋体"/>
          <w:lang w:eastAsia="zh-CN"/>
        </w:rPr>
        <w:t>3. 若客户在输入过程中长时间无操作，则系统自动取消认证并回到安全状态。</w:t>
      </w:r>
    </w:p>
    <w:p w14:paraId="21945025">
      <w:pPr>
        <w:spacing w:after="40" w:line="324" w:lineRule="auto"/>
        <w:ind w:left="420" w:hanging="227"/>
        <w:jc w:val="both"/>
        <w:rPr>
          <w:lang w:eastAsia="zh-CN"/>
        </w:rPr>
      </w:pPr>
      <w:r>
        <w:rPr>
          <w:rFonts w:ascii="Times New Roman" w:hAnsi="Times New Roman" w:eastAsia="宋体"/>
          <w:lang w:eastAsia="zh-CN"/>
        </w:rPr>
        <w:t>4. 若后台认证服务不可用，则系统提示暂时无法登录，不得泄露内部异常细节。</w:t>
      </w:r>
    </w:p>
    <w:p w14:paraId="51D350A4">
      <w:pPr>
        <w:spacing w:after="60" w:line="360" w:lineRule="auto"/>
        <w:jc w:val="both"/>
        <w:rPr>
          <w:lang w:eastAsia="zh-CN"/>
        </w:rPr>
      </w:pPr>
      <w:r>
        <w:rPr>
          <w:rFonts w:ascii="Times New Roman" w:hAnsi="Times New Roman" w:eastAsia="宋体"/>
          <w:lang w:eastAsia="zh-CN"/>
        </w:rPr>
        <w:t>补充性要求与业务规则：</w:t>
      </w:r>
    </w:p>
    <w:p w14:paraId="32C97C12">
      <w:pPr>
        <w:spacing w:after="60" w:line="336" w:lineRule="auto"/>
        <w:ind w:left="420" w:hanging="283"/>
        <w:jc w:val="both"/>
        <w:rPr>
          <w:lang w:eastAsia="zh-CN"/>
        </w:rPr>
      </w:pPr>
      <w:r>
        <w:rPr>
          <w:rFonts w:ascii="Times New Roman" w:hAnsi="Times New Roman" w:eastAsia="宋体"/>
          <w:lang w:eastAsia="zh-CN"/>
        </w:rPr>
        <w:t>• 密码输入应采用遮蔽显示，错误提示不得暴露敏感认证信息。</w:t>
      </w:r>
    </w:p>
    <w:p w14:paraId="76A985DE">
      <w:pPr>
        <w:spacing w:after="60" w:line="336" w:lineRule="auto"/>
        <w:ind w:left="420" w:hanging="283"/>
        <w:jc w:val="both"/>
        <w:rPr>
          <w:lang w:eastAsia="zh-CN"/>
        </w:rPr>
      </w:pPr>
      <w:r>
        <w:rPr>
          <w:rFonts w:ascii="Times New Roman" w:hAnsi="Times New Roman" w:eastAsia="宋体"/>
          <w:lang w:eastAsia="zh-CN"/>
        </w:rPr>
        <w:t>• 只有建立有效会话后，客户才能访问余额查询和交易类功能。</w:t>
      </w:r>
    </w:p>
    <w:p w14:paraId="608192DA">
      <w:pPr>
        <w:spacing w:after="60" w:line="336" w:lineRule="auto"/>
        <w:ind w:left="420" w:hanging="283"/>
        <w:jc w:val="both"/>
        <w:rPr>
          <w:lang w:eastAsia="zh-CN"/>
        </w:rPr>
      </w:pPr>
      <w:r>
        <w:rPr>
          <w:rFonts w:ascii="Times New Roman" w:hAnsi="Times New Roman" w:eastAsia="宋体"/>
          <w:lang w:eastAsia="zh-CN"/>
        </w:rPr>
        <w:t>• 认证失败后的系统状态必须可恢复，且不应残留脏会话。</w:t>
      </w:r>
    </w:p>
    <w:p w14:paraId="65EBA31D">
      <w:pPr>
        <w:spacing w:after="120" w:line="360" w:lineRule="auto"/>
        <w:ind w:firstLine="420"/>
        <w:jc w:val="both"/>
        <w:rPr>
          <w:lang w:eastAsia="zh-CN"/>
        </w:rPr>
      </w:pPr>
      <w:r>
        <w:rPr>
          <w:rFonts w:ascii="Times New Roman" w:hAnsi="Times New Roman" w:eastAsia="宋体"/>
          <w:lang w:eastAsia="zh-CN"/>
        </w:rPr>
        <w:t>分析说明：登录认证是后续所有业务的入口，对界面流程、会话管理、异常处理和外部接口依赖都有直接影响，因此属于初始阶段必须优先澄清的关键用例。</w:t>
      </w:r>
    </w:p>
    <w:p w14:paraId="1BDD7B49">
      <w:pPr>
        <w:spacing w:before="200" w:after="100"/>
        <w:outlineLvl w:val="1"/>
        <w:rPr>
          <w:lang w:eastAsia="zh-CN"/>
        </w:rPr>
      </w:pPr>
      <w:bookmarkStart w:id="26" w:name="_Toc4924"/>
      <w:bookmarkStart w:id="27" w:name="_Toc2459"/>
      <w:r>
        <w:rPr>
          <w:rFonts w:ascii="Times New Roman" w:hAnsi="Times New Roman" w:eastAsia="黑体"/>
          <w:b/>
          <w:sz w:val="28"/>
          <w:lang w:eastAsia="zh-CN"/>
        </w:rPr>
        <w:t>1.5.2 用例二：查询余额</w:t>
      </w:r>
      <w:bookmarkEnd w:id="26"/>
      <w:bookmarkEnd w:id="27"/>
    </w:p>
    <w:p w14:paraId="1ACF5AA4">
      <w:pPr>
        <w:spacing w:after="60" w:line="324" w:lineRule="auto"/>
        <w:ind w:left="170"/>
        <w:jc w:val="both"/>
        <w:rPr>
          <w:lang w:eastAsia="zh-CN"/>
        </w:rPr>
      </w:pPr>
      <w:r>
        <w:rPr>
          <w:rFonts w:ascii="Times New Roman" w:hAnsi="Times New Roman" w:eastAsia="宋体"/>
          <w:b/>
          <w:lang w:eastAsia="zh-CN"/>
        </w:rPr>
        <w:t>• 用例名称：</w:t>
      </w:r>
      <w:r>
        <w:rPr>
          <w:rFonts w:ascii="Times New Roman" w:hAnsi="Times New Roman" w:eastAsia="宋体"/>
          <w:lang w:eastAsia="zh-CN"/>
        </w:rPr>
        <w:t>查询余额</w:t>
      </w:r>
    </w:p>
    <w:p w14:paraId="1FD5051F">
      <w:pPr>
        <w:spacing w:after="60" w:line="324" w:lineRule="auto"/>
        <w:ind w:left="170"/>
        <w:jc w:val="both"/>
        <w:rPr>
          <w:lang w:eastAsia="zh-CN"/>
        </w:rPr>
      </w:pPr>
      <w:r>
        <w:rPr>
          <w:rFonts w:ascii="Times New Roman" w:hAnsi="Times New Roman" w:eastAsia="宋体"/>
          <w:b/>
          <w:lang w:eastAsia="zh-CN"/>
        </w:rPr>
        <w:t>• 用例编号：</w:t>
      </w:r>
      <w:r>
        <w:rPr>
          <w:rFonts w:ascii="Times New Roman" w:hAnsi="Times New Roman" w:eastAsia="宋体"/>
          <w:lang w:eastAsia="zh-CN"/>
        </w:rPr>
        <w:t>SUC002</w:t>
      </w:r>
    </w:p>
    <w:p w14:paraId="4A322AF0">
      <w:pPr>
        <w:spacing w:after="60" w:line="324" w:lineRule="auto"/>
        <w:ind w:left="170"/>
        <w:jc w:val="both"/>
        <w:rPr>
          <w:lang w:eastAsia="zh-CN"/>
        </w:rPr>
      </w:pPr>
      <w:r>
        <w:rPr>
          <w:rFonts w:ascii="Times New Roman" w:hAnsi="Times New Roman" w:eastAsia="宋体"/>
          <w:b/>
          <w:lang w:eastAsia="zh-CN"/>
        </w:rPr>
        <w:t>• 主要参与者：</w:t>
      </w:r>
      <w:r>
        <w:rPr>
          <w:rFonts w:ascii="Times New Roman" w:hAnsi="Times New Roman" w:eastAsia="宋体"/>
          <w:lang w:eastAsia="zh-CN"/>
        </w:rPr>
        <w:t>客户</w:t>
      </w:r>
    </w:p>
    <w:p w14:paraId="01A60744">
      <w:pPr>
        <w:spacing w:after="60" w:line="324" w:lineRule="auto"/>
        <w:ind w:left="170"/>
        <w:jc w:val="both"/>
        <w:rPr>
          <w:lang w:eastAsia="zh-CN"/>
        </w:rPr>
      </w:pPr>
      <w:r>
        <w:rPr>
          <w:rFonts w:ascii="Times New Roman" w:hAnsi="Times New Roman" w:eastAsia="宋体"/>
          <w:b/>
          <w:lang w:eastAsia="zh-CN"/>
        </w:rPr>
        <w:t>• 目标：</w:t>
      </w:r>
      <w:r>
        <w:rPr>
          <w:rFonts w:ascii="Times New Roman" w:hAnsi="Times New Roman" w:eastAsia="宋体"/>
          <w:lang w:eastAsia="zh-CN"/>
        </w:rPr>
        <w:t>在不改变账户状态的前提下，向客户展示当前登录账户的可用余额信息。</w:t>
      </w:r>
    </w:p>
    <w:p w14:paraId="59717985">
      <w:pPr>
        <w:spacing w:after="60" w:line="324" w:lineRule="auto"/>
        <w:ind w:left="170"/>
        <w:jc w:val="both"/>
        <w:rPr>
          <w:lang w:eastAsia="zh-CN"/>
        </w:rPr>
      </w:pPr>
      <w:r>
        <w:rPr>
          <w:rFonts w:ascii="Times New Roman" w:hAnsi="Times New Roman" w:eastAsia="宋体"/>
          <w:b/>
          <w:lang w:eastAsia="zh-CN"/>
        </w:rPr>
        <w:t>• 触发条件：</w:t>
      </w:r>
      <w:r>
        <w:rPr>
          <w:rFonts w:ascii="Times New Roman" w:hAnsi="Times New Roman" w:eastAsia="宋体"/>
          <w:lang w:eastAsia="zh-CN"/>
        </w:rPr>
        <w:t>客户在主菜单中选择“查询余额”。</w:t>
      </w:r>
    </w:p>
    <w:p w14:paraId="714FB789">
      <w:pPr>
        <w:spacing w:after="60" w:line="324" w:lineRule="auto"/>
        <w:ind w:left="170"/>
        <w:jc w:val="both"/>
        <w:rPr>
          <w:lang w:eastAsia="zh-CN"/>
        </w:rPr>
      </w:pPr>
      <w:r>
        <w:rPr>
          <w:rFonts w:ascii="Times New Roman" w:hAnsi="Times New Roman" w:eastAsia="宋体"/>
          <w:b/>
          <w:lang w:eastAsia="zh-CN"/>
        </w:rPr>
        <w:t>• 前置条件：</w:t>
      </w:r>
      <w:r>
        <w:rPr>
          <w:rFonts w:ascii="Times New Roman" w:hAnsi="Times New Roman" w:eastAsia="宋体"/>
          <w:lang w:eastAsia="zh-CN"/>
        </w:rPr>
        <w:t>客户已完成登录认证，当前会话有效。</w:t>
      </w:r>
    </w:p>
    <w:p w14:paraId="1A40EE5F">
      <w:pPr>
        <w:spacing w:after="60" w:line="324" w:lineRule="auto"/>
        <w:ind w:left="170"/>
        <w:jc w:val="both"/>
        <w:rPr>
          <w:lang w:eastAsia="zh-CN"/>
        </w:rPr>
      </w:pPr>
      <w:r>
        <w:rPr>
          <w:rFonts w:ascii="Times New Roman" w:hAnsi="Times New Roman" w:eastAsia="宋体"/>
          <w:b/>
          <w:lang w:eastAsia="zh-CN"/>
        </w:rPr>
        <w:t>• 后置条件：</w:t>
      </w:r>
      <w:r>
        <w:rPr>
          <w:rFonts w:ascii="Times New Roman" w:hAnsi="Times New Roman" w:eastAsia="宋体"/>
          <w:lang w:eastAsia="zh-CN"/>
        </w:rPr>
        <w:t>系统展示余额结果，并保留客户继续返回菜单或结束操作的选择。</w:t>
      </w:r>
    </w:p>
    <w:p w14:paraId="48055FB1">
      <w:pPr>
        <w:spacing w:after="60" w:line="324" w:lineRule="auto"/>
        <w:ind w:left="170"/>
        <w:jc w:val="both"/>
        <w:rPr>
          <w:lang w:eastAsia="zh-CN"/>
        </w:rPr>
      </w:pPr>
      <w:r>
        <w:rPr>
          <w:rFonts w:ascii="Times New Roman" w:hAnsi="Times New Roman" w:eastAsia="宋体"/>
          <w:b/>
          <w:lang w:eastAsia="zh-CN"/>
        </w:rPr>
        <w:t>• 用例简述：</w:t>
      </w:r>
      <w:r>
        <w:rPr>
          <w:rFonts w:ascii="Times New Roman" w:hAnsi="Times New Roman" w:eastAsia="宋体"/>
          <w:lang w:eastAsia="zh-CN"/>
        </w:rPr>
        <w:t>客户通过 ATM 查询当前账户的可用余额。</w:t>
      </w:r>
    </w:p>
    <w:p w14:paraId="1134F773">
      <w:pPr>
        <w:spacing w:after="60" w:line="360" w:lineRule="auto"/>
        <w:jc w:val="both"/>
        <w:rPr>
          <w:lang w:eastAsia="zh-CN"/>
        </w:rPr>
      </w:pPr>
      <w:r>
        <w:rPr>
          <w:rFonts w:ascii="Times New Roman" w:hAnsi="Times New Roman" w:eastAsia="宋体"/>
          <w:lang w:eastAsia="zh-CN"/>
        </w:rPr>
        <w:t>主要成功场景：</w:t>
      </w:r>
    </w:p>
    <w:p w14:paraId="3805AAB4">
      <w:pPr>
        <w:spacing w:after="40" w:line="324" w:lineRule="auto"/>
        <w:ind w:left="420" w:hanging="227"/>
        <w:jc w:val="both"/>
        <w:rPr>
          <w:lang w:eastAsia="zh-CN"/>
        </w:rPr>
      </w:pPr>
      <w:r>
        <w:rPr>
          <w:rFonts w:ascii="Times New Roman" w:hAnsi="Times New Roman" w:eastAsia="宋体"/>
          <w:lang w:eastAsia="zh-CN"/>
        </w:rPr>
        <w:t>1. 客户在主菜单中选择“查询余额”。</w:t>
      </w:r>
    </w:p>
    <w:p w14:paraId="4C729082">
      <w:pPr>
        <w:spacing w:after="40" w:line="324" w:lineRule="auto"/>
        <w:ind w:left="420" w:hanging="227"/>
        <w:jc w:val="both"/>
        <w:rPr>
          <w:lang w:eastAsia="zh-CN"/>
        </w:rPr>
      </w:pPr>
      <w:r>
        <w:rPr>
          <w:rFonts w:ascii="Times New Roman" w:hAnsi="Times New Roman" w:eastAsia="宋体"/>
          <w:lang w:eastAsia="zh-CN"/>
        </w:rPr>
        <w:t>2. ATM 系统向账户服务发起余额查询请求。</w:t>
      </w:r>
    </w:p>
    <w:p w14:paraId="621EB240">
      <w:pPr>
        <w:spacing w:after="40" w:line="324" w:lineRule="auto"/>
        <w:ind w:left="420" w:hanging="227"/>
        <w:jc w:val="both"/>
        <w:rPr>
          <w:lang w:eastAsia="zh-CN"/>
        </w:rPr>
      </w:pPr>
      <w:r>
        <w:rPr>
          <w:rFonts w:ascii="Times New Roman" w:hAnsi="Times New Roman" w:eastAsia="宋体"/>
          <w:lang w:eastAsia="zh-CN"/>
        </w:rPr>
        <w:t>3. 账户服务依据当前会话获取对应账户信息。</w:t>
      </w:r>
    </w:p>
    <w:p w14:paraId="4EA93816">
      <w:pPr>
        <w:spacing w:after="40" w:line="324" w:lineRule="auto"/>
        <w:ind w:left="420" w:hanging="227"/>
        <w:jc w:val="both"/>
        <w:rPr>
          <w:lang w:eastAsia="zh-CN"/>
        </w:rPr>
      </w:pPr>
      <w:r>
        <w:rPr>
          <w:rFonts w:ascii="Times New Roman" w:hAnsi="Times New Roman" w:eastAsia="宋体"/>
          <w:lang w:eastAsia="zh-CN"/>
        </w:rPr>
        <w:t>4. 系统读取账户余额数据并完成结果格式化。</w:t>
      </w:r>
    </w:p>
    <w:p w14:paraId="4CD980FA">
      <w:pPr>
        <w:spacing w:after="40" w:line="324" w:lineRule="auto"/>
        <w:ind w:left="420" w:hanging="227"/>
        <w:jc w:val="both"/>
        <w:rPr>
          <w:lang w:eastAsia="zh-CN"/>
        </w:rPr>
      </w:pPr>
      <w:r>
        <w:rPr>
          <w:rFonts w:ascii="Times New Roman" w:hAnsi="Times New Roman" w:eastAsia="宋体"/>
          <w:lang w:eastAsia="zh-CN"/>
        </w:rPr>
        <w:t>5. ATM 系统将余额结果展示给客户。</w:t>
      </w:r>
    </w:p>
    <w:p w14:paraId="4F35E09E">
      <w:pPr>
        <w:spacing w:after="40" w:line="324" w:lineRule="auto"/>
        <w:ind w:left="420" w:hanging="227"/>
        <w:jc w:val="both"/>
        <w:rPr>
          <w:lang w:eastAsia="zh-CN"/>
        </w:rPr>
      </w:pPr>
      <w:r>
        <w:rPr>
          <w:rFonts w:ascii="Times New Roman" w:hAnsi="Times New Roman" w:eastAsia="宋体"/>
          <w:lang w:eastAsia="zh-CN"/>
        </w:rPr>
        <w:t>6. 客户可选择返回主菜单或结束本次操作。</w:t>
      </w:r>
    </w:p>
    <w:p w14:paraId="60F6F985">
      <w:pPr>
        <w:spacing w:after="60" w:line="360" w:lineRule="auto"/>
        <w:jc w:val="both"/>
        <w:rPr>
          <w:lang w:eastAsia="zh-CN"/>
        </w:rPr>
      </w:pPr>
      <w:r>
        <w:rPr>
          <w:rFonts w:ascii="Times New Roman" w:hAnsi="Times New Roman" w:eastAsia="宋体"/>
          <w:lang w:eastAsia="zh-CN"/>
        </w:rPr>
        <w:t>扩展与异常流程：</w:t>
      </w:r>
    </w:p>
    <w:p w14:paraId="7DCF4146">
      <w:pPr>
        <w:spacing w:after="40" w:line="324" w:lineRule="auto"/>
        <w:ind w:left="420" w:hanging="227"/>
        <w:jc w:val="both"/>
        <w:rPr>
          <w:lang w:eastAsia="zh-CN"/>
        </w:rPr>
      </w:pPr>
      <w:r>
        <w:rPr>
          <w:rFonts w:ascii="Times New Roman" w:hAnsi="Times New Roman" w:eastAsia="宋体"/>
          <w:lang w:eastAsia="zh-CN"/>
        </w:rPr>
        <w:t>1. 若会话已失效，则系统提示重新登录。</w:t>
      </w:r>
    </w:p>
    <w:p w14:paraId="13081218">
      <w:pPr>
        <w:spacing w:after="40" w:line="324" w:lineRule="auto"/>
        <w:ind w:left="420" w:hanging="227"/>
        <w:jc w:val="both"/>
        <w:rPr>
          <w:lang w:eastAsia="zh-CN"/>
        </w:rPr>
      </w:pPr>
      <w:r>
        <w:rPr>
          <w:rFonts w:ascii="Times New Roman" w:hAnsi="Times New Roman" w:eastAsia="宋体"/>
          <w:lang w:eastAsia="zh-CN"/>
        </w:rPr>
        <w:t>2. 若账户信息不存在或账户状态异常，则系统提示查询失败，并回到安全菜单。</w:t>
      </w:r>
    </w:p>
    <w:p w14:paraId="37AAD958">
      <w:pPr>
        <w:spacing w:after="40" w:line="324" w:lineRule="auto"/>
        <w:ind w:left="420" w:hanging="227"/>
        <w:jc w:val="both"/>
        <w:rPr>
          <w:lang w:eastAsia="zh-CN"/>
        </w:rPr>
      </w:pPr>
      <w:r>
        <w:rPr>
          <w:rFonts w:ascii="Times New Roman" w:hAnsi="Times New Roman" w:eastAsia="宋体"/>
          <w:lang w:eastAsia="zh-CN"/>
        </w:rPr>
        <w:t>3. 若后台服务或网络异常，则系统提示稍后重试。</w:t>
      </w:r>
    </w:p>
    <w:p w14:paraId="3060C868">
      <w:pPr>
        <w:spacing w:after="60" w:line="360" w:lineRule="auto"/>
        <w:jc w:val="both"/>
        <w:rPr>
          <w:lang w:eastAsia="zh-CN"/>
        </w:rPr>
      </w:pPr>
      <w:r>
        <w:rPr>
          <w:rFonts w:ascii="Times New Roman" w:hAnsi="Times New Roman" w:eastAsia="宋体"/>
          <w:lang w:eastAsia="zh-CN"/>
        </w:rPr>
        <w:t>补充性要求与业务规则：</w:t>
      </w:r>
    </w:p>
    <w:p w14:paraId="0BF5038B">
      <w:pPr>
        <w:spacing w:after="60" w:line="336" w:lineRule="auto"/>
        <w:ind w:left="420" w:hanging="283"/>
        <w:jc w:val="both"/>
        <w:rPr>
          <w:lang w:eastAsia="zh-CN"/>
        </w:rPr>
      </w:pPr>
      <w:r>
        <w:rPr>
          <w:rFonts w:ascii="Times New Roman" w:hAnsi="Times New Roman" w:eastAsia="宋体"/>
          <w:lang w:eastAsia="zh-CN"/>
        </w:rPr>
        <w:t>• 余额查询必须基于有效会话，且只允许查询当前登录账户。</w:t>
      </w:r>
    </w:p>
    <w:p w14:paraId="5195A318">
      <w:pPr>
        <w:spacing w:after="60" w:line="336" w:lineRule="auto"/>
        <w:ind w:left="420" w:hanging="283"/>
        <w:jc w:val="both"/>
        <w:rPr>
          <w:lang w:eastAsia="zh-CN"/>
        </w:rPr>
      </w:pPr>
      <w:r>
        <w:rPr>
          <w:rFonts w:ascii="Times New Roman" w:hAnsi="Times New Roman" w:eastAsia="宋体"/>
          <w:lang w:eastAsia="zh-CN"/>
        </w:rPr>
        <w:t>• 界面展示应采用清晰的金额格式，并避免显示完整敏感账户标识。</w:t>
      </w:r>
    </w:p>
    <w:p w14:paraId="749EA103">
      <w:pPr>
        <w:spacing w:after="60" w:line="336" w:lineRule="auto"/>
        <w:ind w:left="420" w:hanging="283"/>
        <w:jc w:val="both"/>
        <w:rPr>
          <w:lang w:eastAsia="zh-CN"/>
        </w:rPr>
      </w:pPr>
      <w:r>
        <w:rPr>
          <w:rFonts w:ascii="Times New Roman" w:hAnsi="Times New Roman" w:eastAsia="宋体"/>
          <w:lang w:eastAsia="zh-CN"/>
        </w:rPr>
        <w:t>• 作为基础只读业务，查询操作应保持较好响应速度和高可理解性。</w:t>
      </w:r>
    </w:p>
    <w:p w14:paraId="0493F35E">
      <w:pPr>
        <w:spacing w:after="120" w:line="360" w:lineRule="auto"/>
        <w:ind w:firstLine="420"/>
        <w:jc w:val="both"/>
        <w:rPr>
          <w:lang w:eastAsia="zh-CN"/>
        </w:rPr>
      </w:pPr>
      <w:r>
        <w:rPr>
          <w:rFonts w:ascii="Times New Roman" w:hAnsi="Times New Roman" w:eastAsia="宋体"/>
          <w:lang w:eastAsia="zh-CN"/>
        </w:rPr>
        <w:t>分析说明：查询余额虽然业务复杂度较低，但它验证了菜单导航、会话控制、后台查询接口与结果展示链路是否连通，是后续扩展其他查询类和展示类功能的重要基础。</w:t>
      </w:r>
    </w:p>
    <w:p w14:paraId="3AEC199E">
      <w:pPr>
        <w:spacing w:before="200" w:after="100"/>
        <w:outlineLvl w:val="1"/>
        <w:rPr>
          <w:lang w:eastAsia="zh-CN"/>
        </w:rPr>
      </w:pPr>
      <w:bookmarkStart w:id="28" w:name="_Toc25327"/>
      <w:bookmarkStart w:id="29" w:name="_Toc16068"/>
      <w:r>
        <w:rPr>
          <w:rFonts w:ascii="Times New Roman" w:hAnsi="Times New Roman" w:eastAsia="黑体"/>
          <w:b/>
          <w:sz w:val="28"/>
          <w:lang w:eastAsia="zh-CN"/>
        </w:rPr>
        <w:t>1.5.3 用例三：取款</w:t>
      </w:r>
      <w:bookmarkEnd w:id="28"/>
      <w:bookmarkEnd w:id="29"/>
    </w:p>
    <w:p w14:paraId="0E9F8C48">
      <w:pPr>
        <w:spacing w:after="60" w:line="324" w:lineRule="auto"/>
        <w:ind w:left="170"/>
        <w:jc w:val="both"/>
        <w:rPr>
          <w:lang w:eastAsia="zh-CN"/>
        </w:rPr>
      </w:pPr>
      <w:r>
        <w:rPr>
          <w:rFonts w:ascii="Times New Roman" w:hAnsi="Times New Roman" w:eastAsia="宋体"/>
          <w:b/>
          <w:lang w:eastAsia="zh-CN"/>
        </w:rPr>
        <w:t>• 用例名称：</w:t>
      </w:r>
      <w:r>
        <w:rPr>
          <w:rFonts w:ascii="Times New Roman" w:hAnsi="Times New Roman" w:eastAsia="宋体"/>
          <w:lang w:eastAsia="zh-CN"/>
        </w:rPr>
        <w:t>取款</w:t>
      </w:r>
    </w:p>
    <w:p w14:paraId="19D55D62">
      <w:pPr>
        <w:spacing w:after="60" w:line="324" w:lineRule="auto"/>
        <w:ind w:left="170"/>
        <w:jc w:val="both"/>
        <w:rPr>
          <w:lang w:eastAsia="zh-CN"/>
        </w:rPr>
      </w:pPr>
      <w:r>
        <w:rPr>
          <w:rFonts w:ascii="Times New Roman" w:hAnsi="Times New Roman" w:eastAsia="宋体"/>
          <w:b/>
          <w:lang w:eastAsia="zh-CN"/>
        </w:rPr>
        <w:t>• 用例编号：</w:t>
      </w:r>
      <w:r>
        <w:rPr>
          <w:rFonts w:ascii="Times New Roman" w:hAnsi="Times New Roman" w:eastAsia="宋体"/>
          <w:lang w:eastAsia="zh-CN"/>
        </w:rPr>
        <w:t>SUC003</w:t>
      </w:r>
    </w:p>
    <w:p w14:paraId="296C270F">
      <w:pPr>
        <w:spacing w:after="60" w:line="324" w:lineRule="auto"/>
        <w:ind w:left="170"/>
        <w:jc w:val="both"/>
        <w:rPr>
          <w:lang w:eastAsia="zh-CN"/>
        </w:rPr>
      </w:pPr>
      <w:r>
        <w:rPr>
          <w:rFonts w:ascii="Times New Roman" w:hAnsi="Times New Roman" w:eastAsia="宋体"/>
          <w:b/>
          <w:lang w:eastAsia="zh-CN"/>
        </w:rPr>
        <w:t>• 主要参与者：</w:t>
      </w:r>
      <w:r>
        <w:rPr>
          <w:rFonts w:ascii="Times New Roman" w:hAnsi="Times New Roman" w:eastAsia="宋体"/>
          <w:lang w:eastAsia="zh-CN"/>
        </w:rPr>
        <w:t>客户</w:t>
      </w:r>
    </w:p>
    <w:p w14:paraId="3523359A">
      <w:pPr>
        <w:spacing w:after="60" w:line="324" w:lineRule="auto"/>
        <w:ind w:left="170"/>
        <w:jc w:val="both"/>
        <w:rPr>
          <w:lang w:eastAsia="zh-CN"/>
        </w:rPr>
      </w:pPr>
      <w:r>
        <w:rPr>
          <w:rFonts w:ascii="Times New Roman" w:hAnsi="Times New Roman" w:eastAsia="宋体"/>
          <w:b/>
          <w:lang w:eastAsia="zh-CN"/>
        </w:rPr>
        <w:t>• 目标：</w:t>
      </w:r>
      <w:r>
        <w:rPr>
          <w:rFonts w:ascii="Times New Roman" w:hAnsi="Times New Roman" w:eastAsia="宋体"/>
          <w:lang w:eastAsia="zh-CN"/>
        </w:rPr>
        <w:t>在满足金额规则、账户余额和设备现金条件的前提下，完成扣款、吐钞与流水记录。</w:t>
      </w:r>
    </w:p>
    <w:p w14:paraId="22CC35E8">
      <w:pPr>
        <w:spacing w:after="60" w:line="324" w:lineRule="auto"/>
        <w:ind w:left="170"/>
        <w:jc w:val="both"/>
        <w:rPr>
          <w:lang w:eastAsia="zh-CN"/>
        </w:rPr>
      </w:pPr>
      <w:r>
        <w:rPr>
          <w:rFonts w:ascii="Times New Roman" w:hAnsi="Times New Roman" w:eastAsia="宋体"/>
          <w:b/>
          <w:lang w:eastAsia="zh-CN"/>
        </w:rPr>
        <w:t>• 触发条件：</w:t>
      </w:r>
      <w:r>
        <w:rPr>
          <w:rFonts w:ascii="Times New Roman" w:hAnsi="Times New Roman" w:eastAsia="宋体"/>
          <w:lang w:eastAsia="zh-CN"/>
        </w:rPr>
        <w:t>客户登录后选择“取款”功能。</w:t>
      </w:r>
    </w:p>
    <w:p w14:paraId="0F3CBA69">
      <w:pPr>
        <w:spacing w:after="60" w:line="324" w:lineRule="auto"/>
        <w:ind w:left="170"/>
        <w:jc w:val="both"/>
        <w:rPr>
          <w:lang w:eastAsia="zh-CN"/>
        </w:rPr>
      </w:pPr>
      <w:r>
        <w:rPr>
          <w:rFonts w:ascii="Times New Roman" w:hAnsi="Times New Roman" w:eastAsia="宋体"/>
          <w:b/>
          <w:lang w:eastAsia="zh-CN"/>
        </w:rPr>
        <w:t>• 前置条件：</w:t>
      </w:r>
      <w:r>
        <w:rPr>
          <w:rFonts w:ascii="Times New Roman" w:hAnsi="Times New Roman" w:eastAsia="宋体"/>
          <w:lang w:eastAsia="zh-CN"/>
        </w:rPr>
        <w:t>客户已完成登录认证；账户状态正常；ATM 设备可用且现金充足。</w:t>
      </w:r>
    </w:p>
    <w:p w14:paraId="27C7F94E">
      <w:pPr>
        <w:spacing w:after="60" w:line="324" w:lineRule="auto"/>
        <w:ind w:left="170"/>
        <w:jc w:val="both"/>
        <w:rPr>
          <w:lang w:eastAsia="zh-CN"/>
        </w:rPr>
      </w:pPr>
      <w:r>
        <w:rPr>
          <w:rFonts w:ascii="Times New Roman" w:hAnsi="Times New Roman" w:eastAsia="宋体"/>
          <w:b/>
          <w:lang w:eastAsia="zh-CN"/>
        </w:rPr>
        <w:t>• 后置条件：</w:t>
      </w:r>
      <w:r>
        <w:rPr>
          <w:rFonts w:ascii="Times New Roman" w:hAnsi="Times New Roman" w:eastAsia="宋体"/>
          <w:lang w:eastAsia="zh-CN"/>
        </w:rPr>
        <w:t>成功时账户余额被扣减、系统生成交易记录，并可选择打印凭条；失败时不得产生未记录的异常账务状态。</w:t>
      </w:r>
    </w:p>
    <w:p w14:paraId="3DB3F0CA">
      <w:pPr>
        <w:spacing w:after="60" w:line="324" w:lineRule="auto"/>
        <w:ind w:left="170"/>
        <w:jc w:val="both"/>
        <w:rPr>
          <w:lang w:eastAsia="zh-CN"/>
        </w:rPr>
      </w:pPr>
      <w:r>
        <w:rPr>
          <w:rFonts w:ascii="Times New Roman" w:hAnsi="Times New Roman" w:eastAsia="宋体"/>
          <w:b/>
          <w:lang w:eastAsia="zh-CN"/>
        </w:rPr>
        <w:t>• 用例简述：</w:t>
      </w:r>
      <w:r>
        <w:rPr>
          <w:rFonts w:ascii="Times New Roman" w:hAnsi="Times New Roman" w:eastAsia="宋体"/>
          <w:lang w:eastAsia="zh-CN"/>
        </w:rPr>
        <w:t>客户在 ATM 上输入取款金额，系统校验通过后完成扣款和吐钞。</w:t>
      </w:r>
    </w:p>
    <w:p w14:paraId="3B294BDA">
      <w:pPr>
        <w:spacing w:after="60" w:line="360" w:lineRule="auto"/>
        <w:jc w:val="both"/>
        <w:rPr>
          <w:lang w:eastAsia="zh-CN"/>
        </w:rPr>
      </w:pPr>
      <w:r>
        <w:rPr>
          <w:rFonts w:ascii="Times New Roman" w:hAnsi="Times New Roman" w:eastAsia="宋体"/>
          <w:lang w:eastAsia="zh-CN"/>
        </w:rPr>
        <w:t>主要成功场景：</w:t>
      </w:r>
    </w:p>
    <w:p w14:paraId="3A4FB533">
      <w:pPr>
        <w:spacing w:after="40" w:line="324" w:lineRule="auto"/>
        <w:ind w:left="420" w:hanging="227"/>
        <w:jc w:val="both"/>
        <w:rPr>
          <w:lang w:eastAsia="zh-CN"/>
        </w:rPr>
      </w:pPr>
      <w:r>
        <w:rPr>
          <w:rFonts w:ascii="Times New Roman" w:hAnsi="Times New Roman" w:eastAsia="宋体"/>
          <w:lang w:eastAsia="zh-CN"/>
        </w:rPr>
        <w:t>1. 客户进入主菜单并选择“取款”。</w:t>
      </w:r>
    </w:p>
    <w:p w14:paraId="1EE7388D">
      <w:pPr>
        <w:spacing w:after="40" w:line="324" w:lineRule="auto"/>
        <w:ind w:left="420" w:hanging="227"/>
        <w:jc w:val="both"/>
        <w:rPr>
          <w:lang w:eastAsia="zh-CN"/>
        </w:rPr>
      </w:pPr>
      <w:r>
        <w:rPr>
          <w:rFonts w:ascii="Times New Roman" w:hAnsi="Times New Roman" w:eastAsia="宋体"/>
          <w:lang w:eastAsia="zh-CN"/>
        </w:rPr>
        <w:t>2. ATM 系统提示客户输入取款金额。</w:t>
      </w:r>
    </w:p>
    <w:p w14:paraId="27713697">
      <w:pPr>
        <w:spacing w:after="40" w:line="324" w:lineRule="auto"/>
        <w:ind w:left="420" w:hanging="227"/>
        <w:jc w:val="both"/>
        <w:rPr>
          <w:lang w:eastAsia="zh-CN"/>
        </w:rPr>
      </w:pPr>
      <w:r>
        <w:rPr>
          <w:rFonts w:ascii="Times New Roman" w:hAnsi="Times New Roman" w:eastAsia="宋体"/>
          <w:lang w:eastAsia="zh-CN"/>
        </w:rPr>
        <w:t>3. 客户输入金额并确认。</w:t>
      </w:r>
    </w:p>
    <w:p w14:paraId="3D480FA1">
      <w:pPr>
        <w:spacing w:after="40" w:line="324" w:lineRule="auto"/>
        <w:ind w:left="420" w:hanging="227"/>
        <w:jc w:val="both"/>
        <w:rPr>
          <w:lang w:eastAsia="zh-CN"/>
        </w:rPr>
      </w:pPr>
      <w:r>
        <w:rPr>
          <w:rFonts w:ascii="Times New Roman" w:hAnsi="Times New Roman" w:eastAsia="宋体"/>
          <w:lang w:eastAsia="zh-CN"/>
        </w:rPr>
        <w:t>4. 系统校验金额格式及 ATM 业务金额规则。</w:t>
      </w:r>
    </w:p>
    <w:p w14:paraId="108C65FD">
      <w:pPr>
        <w:spacing w:after="40" w:line="324" w:lineRule="auto"/>
        <w:ind w:left="420" w:hanging="227"/>
        <w:jc w:val="both"/>
        <w:rPr>
          <w:lang w:eastAsia="zh-CN"/>
        </w:rPr>
      </w:pPr>
      <w:r>
        <w:rPr>
          <w:rFonts w:ascii="Times New Roman" w:hAnsi="Times New Roman" w:eastAsia="宋体"/>
          <w:lang w:eastAsia="zh-CN"/>
        </w:rPr>
        <w:t>5. 系统校验账户余额是否充足。</w:t>
      </w:r>
    </w:p>
    <w:p w14:paraId="75314DDC">
      <w:pPr>
        <w:spacing w:after="40" w:line="324" w:lineRule="auto"/>
        <w:ind w:left="420" w:hanging="227"/>
        <w:jc w:val="both"/>
        <w:rPr>
          <w:lang w:eastAsia="zh-CN"/>
        </w:rPr>
      </w:pPr>
      <w:r>
        <w:rPr>
          <w:rFonts w:ascii="Times New Roman" w:hAnsi="Times New Roman" w:eastAsia="宋体"/>
          <w:lang w:eastAsia="zh-CN"/>
        </w:rPr>
        <w:t>6. 系统校验 ATM 当前现金是否充足。</w:t>
      </w:r>
    </w:p>
    <w:p w14:paraId="7F84DE8A">
      <w:pPr>
        <w:spacing w:after="40" w:line="324" w:lineRule="auto"/>
        <w:ind w:left="420" w:hanging="227"/>
        <w:jc w:val="both"/>
        <w:rPr>
          <w:lang w:eastAsia="zh-CN"/>
        </w:rPr>
      </w:pPr>
      <w:r>
        <w:rPr>
          <w:rFonts w:ascii="Times New Roman" w:hAnsi="Times New Roman" w:eastAsia="宋体"/>
          <w:lang w:eastAsia="zh-CN"/>
        </w:rPr>
        <w:t>7. 系统提交扣款请求并获得成功结果。</w:t>
      </w:r>
    </w:p>
    <w:p w14:paraId="275A4A72">
      <w:pPr>
        <w:spacing w:after="40" w:line="324" w:lineRule="auto"/>
        <w:ind w:left="420" w:hanging="227"/>
        <w:jc w:val="both"/>
        <w:rPr>
          <w:lang w:eastAsia="zh-CN"/>
        </w:rPr>
      </w:pPr>
      <w:r>
        <w:rPr>
          <w:rFonts w:ascii="Times New Roman" w:hAnsi="Times New Roman" w:eastAsia="宋体"/>
          <w:lang w:eastAsia="zh-CN"/>
        </w:rPr>
        <w:t>8. ATM 执行吐钞。</w:t>
      </w:r>
    </w:p>
    <w:p w14:paraId="4DE6CA0F">
      <w:pPr>
        <w:spacing w:after="40" w:line="324" w:lineRule="auto"/>
        <w:ind w:left="420" w:hanging="227"/>
        <w:jc w:val="both"/>
        <w:rPr>
          <w:lang w:eastAsia="zh-CN"/>
        </w:rPr>
      </w:pPr>
      <w:r>
        <w:rPr>
          <w:rFonts w:ascii="Times New Roman" w:hAnsi="Times New Roman" w:eastAsia="宋体"/>
          <w:lang w:eastAsia="zh-CN"/>
        </w:rPr>
        <w:t>9. 系统记录交易流水，并提示客户是否打印凭条。</w:t>
      </w:r>
    </w:p>
    <w:p w14:paraId="29E288B4">
      <w:pPr>
        <w:spacing w:after="40" w:line="324" w:lineRule="auto"/>
        <w:ind w:left="420" w:hanging="227"/>
        <w:jc w:val="both"/>
        <w:rPr>
          <w:lang w:eastAsia="zh-CN"/>
        </w:rPr>
      </w:pPr>
      <w:r>
        <w:rPr>
          <w:rFonts w:ascii="Times New Roman" w:hAnsi="Times New Roman" w:eastAsia="宋体"/>
          <w:lang w:eastAsia="zh-CN"/>
        </w:rPr>
        <w:t>10. 客户选择打印凭条或直接返回菜单。</w:t>
      </w:r>
    </w:p>
    <w:p w14:paraId="72A32067">
      <w:pPr>
        <w:spacing w:after="60" w:line="360" w:lineRule="auto"/>
        <w:jc w:val="both"/>
        <w:rPr>
          <w:lang w:eastAsia="zh-CN"/>
        </w:rPr>
      </w:pPr>
      <w:r>
        <w:rPr>
          <w:rFonts w:ascii="Times New Roman" w:hAnsi="Times New Roman" w:eastAsia="宋体"/>
          <w:lang w:eastAsia="zh-CN"/>
        </w:rPr>
        <w:t>扩展与异常流程：</w:t>
      </w:r>
    </w:p>
    <w:p w14:paraId="771F0667">
      <w:pPr>
        <w:spacing w:after="40" w:line="324" w:lineRule="auto"/>
        <w:ind w:left="420" w:hanging="227"/>
        <w:jc w:val="both"/>
        <w:rPr>
          <w:lang w:eastAsia="zh-CN"/>
        </w:rPr>
      </w:pPr>
      <w:r>
        <w:rPr>
          <w:rFonts w:ascii="Times New Roman" w:hAnsi="Times New Roman" w:eastAsia="宋体"/>
          <w:lang w:eastAsia="zh-CN"/>
        </w:rPr>
        <w:t>1. 若金额不合法，则系统提示重新输入。</w:t>
      </w:r>
    </w:p>
    <w:p w14:paraId="7C458856">
      <w:pPr>
        <w:spacing w:after="40" w:line="324" w:lineRule="auto"/>
        <w:ind w:left="420" w:hanging="227"/>
        <w:jc w:val="both"/>
        <w:rPr>
          <w:lang w:eastAsia="zh-CN"/>
        </w:rPr>
      </w:pPr>
      <w:r>
        <w:rPr>
          <w:rFonts w:ascii="Times New Roman" w:hAnsi="Times New Roman" w:eastAsia="宋体"/>
          <w:lang w:eastAsia="zh-CN"/>
        </w:rPr>
        <w:t>2. 若余额不足，则系统提示交易失败，不得扣款。</w:t>
      </w:r>
    </w:p>
    <w:p w14:paraId="128C533D">
      <w:pPr>
        <w:spacing w:after="40" w:line="324" w:lineRule="auto"/>
        <w:ind w:left="420" w:hanging="227"/>
        <w:jc w:val="both"/>
        <w:rPr>
          <w:lang w:eastAsia="zh-CN"/>
        </w:rPr>
      </w:pPr>
      <w:r>
        <w:rPr>
          <w:rFonts w:ascii="Times New Roman" w:hAnsi="Times New Roman" w:eastAsia="宋体"/>
          <w:lang w:eastAsia="zh-CN"/>
        </w:rPr>
        <w:t>3. 若 ATM 现金不足，则系统提示暂时无法完成取款。</w:t>
      </w:r>
    </w:p>
    <w:p w14:paraId="2C6218B6">
      <w:pPr>
        <w:spacing w:after="40" w:line="324" w:lineRule="auto"/>
        <w:ind w:left="420" w:hanging="227"/>
        <w:jc w:val="both"/>
        <w:rPr>
          <w:lang w:eastAsia="zh-CN"/>
        </w:rPr>
      </w:pPr>
      <w:r>
        <w:rPr>
          <w:rFonts w:ascii="Times New Roman" w:hAnsi="Times New Roman" w:eastAsia="宋体"/>
          <w:lang w:eastAsia="zh-CN"/>
        </w:rPr>
        <w:t>4. 若交易处理过程中后台异常、网络异常或设备异常，则系统应回滚或进入可对账的异常处理状态，并提示失败。</w:t>
      </w:r>
    </w:p>
    <w:p w14:paraId="4A5AD7E2">
      <w:pPr>
        <w:spacing w:after="40" w:line="324" w:lineRule="auto"/>
        <w:ind w:left="420" w:hanging="227"/>
        <w:jc w:val="both"/>
        <w:rPr>
          <w:lang w:eastAsia="zh-CN"/>
        </w:rPr>
      </w:pPr>
      <w:r>
        <w:rPr>
          <w:rFonts w:ascii="Times New Roman" w:hAnsi="Times New Roman" w:eastAsia="宋体"/>
          <w:lang w:eastAsia="zh-CN"/>
        </w:rPr>
        <w:t>5. 若客户选择打印凭条，则系统在交易完成后触发打印；若打印失败，不影响已完成交易，但应给出提示。</w:t>
      </w:r>
    </w:p>
    <w:p w14:paraId="1A18C3CF">
      <w:pPr>
        <w:spacing w:after="60" w:line="360" w:lineRule="auto"/>
        <w:jc w:val="both"/>
        <w:rPr>
          <w:lang w:eastAsia="zh-CN"/>
        </w:rPr>
      </w:pPr>
      <w:r>
        <w:rPr>
          <w:rFonts w:ascii="Times New Roman" w:hAnsi="Times New Roman" w:eastAsia="宋体"/>
          <w:lang w:eastAsia="zh-CN"/>
        </w:rPr>
        <w:t>补充性要求与业务规则：</w:t>
      </w:r>
    </w:p>
    <w:p w14:paraId="431C9359">
      <w:pPr>
        <w:spacing w:after="60" w:line="336" w:lineRule="auto"/>
        <w:ind w:left="420" w:hanging="283"/>
        <w:jc w:val="both"/>
        <w:rPr>
          <w:lang w:eastAsia="zh-CN"/>
        </w:rPr>
      </w:pPr>
      <w:r>
        <w:rPr>
          <w:rFonts w:ascii="Times New Roman" w:hAnsi="Times New Roman" w:eastAsia="宋体"/>
          <w:lang w:eastAsia="zh-CN"/>
        </w:rPr>
        <w:t>• 取款金额必须满足 ATM 业务金额规则；结合实验要求示例，可初步约定最低 50 元、最高 5000 元，并以 50 元为单位。</w:t>
      </w:r>
    </w:p>
    <w:p w14:paraId="3A4D8B2F">
      <w:pPr>
        <w:spacing w:after="60" w:line="336" w:lineRule="auto"/>
        <w:ind w:left="420" w:hanging="283"/>
        <w:jc w:val="both"/>
        <w:rPr>
          <w:lang w:eastAsia="zh-CN"/>
        </w:rPr>
      </w:pPr>
      <w:r>
        <w:rPr>
          <w:rFonts w:ascii="Times New Roman" w:hAnsi="Times New Roman" w:eastAsia="宋体"/>
          <w:lang w:eastAsia="zh-CN"/>
        </w:rPr>
        <w:t>• 若后续细化阶段引入手续费，则交易款项可按“取款金额 + 手续费”处理，但本阶段先保留为可扩展规则。</w:t>
      </w:r>
    </w:p>
    <w:p w14:paraId="4BE15959">
      <w:pPr>
        <w:spacing w:after="60" w:line="336" w:lineRule="auto"/>
        <w:ind w:left="420" w:hanging="283"/>
        <w:jc w:val="both"/>
        <w:rPr>
          <w:lang w:eastAsia="zh-CN"/>
        </w:rPr>
      </w:pPr>
      <w:r>
        <w:rPr>
          <w:rFonts w:ascii="Times New Roman" w:hAnsi="Times New Roman" w:eastAsia="宋体"/>
          <w:lang w:eastAsia="zh-CN"/>
        </w:rPr>
        <w:t>• 吐钞前必须保证扣款成功，交易完成后必须记录流水。</w:t>
      </w:r>
    </w:p>
    <w:p w14:paraId="1F2D8BEB">
      <w:pPr>
        <w:spacing w:after="60" w:line="336" w:lineRule="auto"/>
        <w:ind w:left="420" w:hanging="283"/>
        <w:jc w:val="both"/>
        <w:rPr>
          <w:lang w:eastAsia="zh-CN"/>
        </w:rPr>
      </w:pPr>
      <w:r>
        <w:rPr>
          <w:rFonts w:ascii="Times New Roman" w:hAnsi="Times New Roman" w:eastAsia="宋体"/>
          <w:lang w:eastAsia="zh-CN"/>
        </w:rPr>
        <w:t>• 系统不得出现“已扣款、未吐钞、无记录”的不一致状态。</w:t>
      </w:r>
    </w:p>
    <w:p w14:paraId="315D6F05">
      <w:pPr>
        <w:spacing w:after="120" w:line="360" w:lineRule="auto"/>
        <w:ind w:firstLine="420"/>
        <w:jc w:val="both"/>
        <w:rPr>
          <w:lang w:eastAsia="zh-CN"/>
        </w:rPr>
      </w:pPr>
      <w:r>
        <w:rPr>
          <w:rFonts w:ascii="Times New Roman" w:hAnsi="Times New Roman" w:eastAsia="宋体"/>
          <w:lang w:eastAsia="zh-CN"/>
        </w:rPr>
        <w:t>分析说明：取款用例同时涉及金额规则、账户余额、设备状态、交易一致性和日志审计，是 ATM 系统中最具架构意义与风险暴露价值的核心用例之一，应在初始阶段优先获得较清晰的业务认识。</w:t>
      </w:r>
    </w:p>
    <w:p w14:paraId="6878D294">
      <w:pPr>
        <w:spacing w:before="200" w:after="100"/>
        <w:outlineLvl w:val="1"/>
        <w:rPr>
          <w:lang w:eastAsia="zh-CN"/>
        </w:rPr>
      </w:pPr>
      <w:bookmarkStart w:id="30" w:name="_Toc224"/>
      <w:bookmarkStart w:id="31" w:name="_Toc9465"/>
      <w:r>
        <w:rPr>
          <w:rFonts w:ascii="Times New Roman" w:hAnsi="Times New Roman" w:eastAsia="黑体"/>
          <w:b/>
          <w:sz w:val="28"/>
          <w:lang w:eastAsia="zh-CN"/>
        </w:rPr>
        <w:t>1.5.4 用例四：转账</w:t>
      </w:r>
      <w:bookmarkEnd w:id="30"/>
      <w:bookmarkEnd w:id="31"/>
    </w:p>
    <w:p w14:paraId="7E3367B4">
      <w:pPr>
        <w:spacing w:after="60" w:line="324" w:lineRule="auto"/>
        <w:ind w:left="170"/>
        <w:jc w:val="both"/>
        <w:rPr>
          <w:lang w:eastAsia="zh-CN"/>
        </w:rPr>
      </w:pPr>
      <w:r>
        <w:rPr>
          <w:rFonts w:ascii="Times New Roman" w:hAnsi="Times New Roman" w:eastAsia="宋体"/>
          <w:b/>
          <w:lang w:eastAsia="zh-CN"/>
        </w:rPr>
        <w:t>• 用例名称：</w:t>
      </w:r>
      <w:r>
        <w:rPr>
          <w:rFonts w:ascii="Times New Roman" w:hAnsi="Times New Roman" w:eastAsia="宋体"/>
          <w:lang w:eastAsia="zh-CN"/>
        </w:rPr>
        <w:t>转账</w:t>
      </w:r>
    </w:p>
    <w:p w14:paraId="151E72D5">
      <w:pPr>
        <w:spacing w:after="60" w:line="324" w:lineRule="auto"/>
        <w:ind w:left="170"/>
        <w:jc w:val="both"/>
        <w:rPr>
          <w:lang w:eastAsia="zh-CN"/>
        </w:rPr>
      </w:pPr>
      <w:r>
        <w:rPr>
          <w:rFonts w:ascii="Times New Roman" w:hAnsi="Times New Roman" w:eastAsia="宋体"/>
          <w:b/>
          <w:lang w:eastAsia="zh-CN"/>
        </w:rPr>
        <w:t>• 用例编号：</w:t>
      </w:r>
      <w:r>
        <w:rPr>
          <w:rFonts w:ascii="Times New Roman" w:hAnsi="Times New Roman" w:eastAsia="宋体"/>
          <w:lang w:eastAsia="zh-CN"/>
        </w:rPr>
        <w:t>SUC004</w:t>
      </w:r>
    </w:p>
    <w:p w14:paraId="4C281465">
      <w:pPr>
        <w:spacing w:after="60" w:line="324" w:lineRule="auto"/>
        <w:ind w:left="170"/>
        <w:jc w:val="both"/>
        <w:rPr>
          <w:lang w:eastAsia="zh-CN"/>
        </w:rPr>
      </w:pPr>
      <w:r>
        <w:rPr>
          <w:rFonts w:ascii="Times New Roman" w:hAnsi="Times New Roman" w:eastAsia="宋体"/>
          <w:b/>
          <w:lang w:eastAsia="zh-CN"/>
        </w:rPr>
        <w:t>• 主要参与者：</w:t>
      </w:r>
      <w:r>
        <w:rPr>
          <w:rFonts w:ascii="Times New Roman" w:hAnsi="Times New Roman" w:eastAsia="宋体"/>
          <w:lang w:eastAsia="zh-CN"/>
        </w:rPr>
        <w:t>客户</w:t>
      </w:r>
    </w:p>
    <w:p w14:paraId="38A33751">
      <w:pPr>
        <w:spacing w:after="60" w:line="324" w:lineRule="auto"/>
        <w:ind w:left="170"/>
        <w:jc w:val="both"/>
        <w:rPr>
          <w:lang w:eastAsia="zh-CN"/>
        </w:rPr>
      </w:pPr>
      <w:r>
        <w:rPr>
          <w:rFonts w:ascii="Times New Roman" w:hAnsi="Times New Roman" w:eastAsia="宋体"/>
          <w:b/>
          <w:lang w:eastAsia="zh-CN"/>
        </w:rPr>
        <w:t>• 目标：</w:t>
      </w:r>
      <w:r>
        <w:rPr>
          <w:rFonts w:ascii="Times New Roman" w:hAnsi="Times New Roman" w:eastAsia="宋体"/>
          <w:lang w:eastAsia="zh-CN"/>
        </w:rPr>
        <w:t>将当前账户中的指定金额安全转入目标账户，并记录完整交易流水。</w:t>
      </w:r>
    </w:p>
    <w:p w14:paraId="688DE2FC">
      <w:pPr>
        <w:spacing w:after="60" w:line="324" w:lineRule="auto"/>
        <w:ind w:left="170"/>
        <w:jc w:val="both"/>
        <w:rPr>
          <w:lang w:eastAsia="zh-CN"/>
        </w:rPr>
      </w:pPr>
      <w:r>
        <w:rPr>
          <w:rFonts w:ascii="Times New Roman" w:hAnsi="Times New Roman" w:eastAsia="宋体"/>
          <w:b/>
          <w:lang w:eastAsia="zh-CN"/>
        </w:rPr>
        <w:t>• 触发条件：</w:t>
      </w:r>
      <w:r>
        <w:rPr>
          <w:rFonts w:ascii="Times New Roman" w:hAnsi="Times New Roman" w:eastAsia="宋体"/>
          <w:lang w:eastAsia="zh-CN"/>
        </w:rPr>
        <w:t>客户在主菜单中选择“转账”。</w:t>
      </w:r>
    </w:p>
    <w:p w14:paraId="2649BF1B">
      <w:pPr>
        <w:spacing w:after="60" w:line="324" w:lineRule="auto"/>
        <w:ind w:left="170"/>
        <w:jc w:val="both"/>
        <w:rPr>
          <w:lang w:eastAsia="zh-CN"/>
        </w:rPr>
      </w:pPr>
      <w:r>
        <w:rPr>
          <w:rFonts w:ascii="Times New Roman" w:hAnsi="Times New Roman" w:eastAsia="宋体"/>
          <w:b/>
          <w:lang w:eastAsia="zh-CN"/>
        </w:rPr>
        <w:t>• 前置条件：</w:t>
      </w:r>
      <w:r>
        <w:rPr>
          <w:rFonts w:ascii="Times New Roman" w:hAnsi="Times New Roman" w:eastAsia="宋体"/>
          <w:lang w:eastAsia="zh-CN"/>
        </w:rPr>
        <w:t>客户已完成登录认证；当前账户状态正常；目标账户可被校验。</w:t>
      </w:r>
    </w:p>
    <w:p w14:paraId="76353550">
      <w:pPr>
        <w:spacing w:after="60" w:line="324" w:lineRule="auto"/>
        <w:ind w:left="170"/>
        <w:jc w:val="both"/>
        <w:rPr>
          <w:lang w:eastAsia="zh-CN"/>
        </w:rPr>
      </w:pPr>
      <w:r>
        <w:rPr>
          <w:rFonts w:ascii="Times New Roman" w:hAnsi="Times New Roman" w:eastAsia="宋体"/>
          <w:b/>
          <w:lang w:eastAsia="zh-CN"/>
        </w:rPr>
        <w:t>• 后置条件：</w:t>
      </w:r>
      <w:r>
        <w:rPr>
          <w:rFonts w:ascii="Times New Roman" w:hAnsi="Times New Roman" w:eastAsia="宋体"/>
          <w:lang w:eastAsia="zh-CN"/>
        </w:rPr>
        <w:t>成功时完成转出账户扣款、目标账户入账和交易流水记录；失败时保持账务一致。</w:t>
      </w:r>
    </w:p>
    <w:p w14:paraId="724B3B57">
      <w:pPr>
        <w:spacing w:after="60" w:line="324" w:lineRule="auto"/>
        <w:ind w:left="170"/>
        <w:jc w:val="both"/>
        <w:rPr>
          <w:lang w:eastAsia="zh-CN"/>
        </w:rPr>
      </w:pPr>
      <w:r>
        <w:rPr>
          <w:rFonts w:ascii="Times New Roman" w:hAnsi="Times New Roman" w:eastAsia="宋体"/>
          <w:b/>
          <w:lang w:eastAsia="zh-CN"/>
        </w:rPr>
        <w:t>• 用例简述：</w:t>
      </w:r>
      <w:r>
        <w:rPr>
          <w:rFonts w:ascii="Times New Roman" w:hAnsi="Times New Roman" w:eastAsia="宋体"/>
          <w:lang w:eastAsia="zh-CN"/>
        </w:rPr>
        <w:t>客户通过 ATM 向其他账户发起转账。</w:t>
      </w:r>
    </w:p>
    <w:p w14:paraId="4B306D6B">
      <w:pPr>
        <w:spacing w:after="60" w:line="360" w:lineRule="auto"/>
        <w:jc w:val="both"/>
        <w:rPr>
          <w:lang w:eastAsia="zh-CN"/>
        </w:rPr>
      </w:pPr>
      <w:r>
        <w:rPr>
          <w:rFonts w:ascii="Times New Roman" w:hAnsi="Times New Roman" w:eastAsia="宋体"/>
          <w:lang w:eastAsia="zh-CN"/>
        </w:rPr>
        <w:t>主要成功场景：</w:t>
      </w:r>
    </w:p>
    <w:p w14:paraId="1BE2829B">
      <w:pPr>
        <w:spacing w:after="40" w:line="324" w:lineRule="auto"/>
        <w:ind w:left="420" w:hanging="227"/>
        <w:jc w:val="both"/>
        <w:rPr>
          <w:lang w:eastAsia="zh-CN"/>
        </w:rPr>
      </w:pPr>
      <w:r>
        <w:rPr>
          <w:rFonts w:ascii="Times New Roman" w:hAnsi="Times New Roman" w:eastAsia="宋体"/>
          <w:lang w:eastAsia="zh-CN"/>
        </w:rPr>
        <w:t>1. 客户登录后选择“转账”功能。</w:t>
      </w:r>
    </w:p>
    <w:p w14:paraId="5BB93AE4">
      <w:pPr>
        <w:spacing w:after="40" w:line="324" w:lineRule="auto"/>
        <w:ind w:left="420" w:hanging="227"/>
        <w:jc w:val="both"/>
        <w:rPr>
          <w:lang w:eastAsia="zh-CN"/>
        </w:rPr>
      </w:pPr>
      <w:r>
        <w:rPr>
          <w:rFonts w:ascii="Times New Roman" w:hAnsi="Times New Roman" w:eastAsia="宋体"/>
          <w:lang w:eastAsia="zh-CN"/>
        </w:rPr>
        <w:t>2. 系统提示输入目标账户和转账金额。</w:t>
      </w:r>
    </w:p>
    <w:p w14:paraId="6C151AB6">
      <w:pPr>
        <w:spacing w:after="40" w:line="324" w:lineRule="auto"/>
        <w:ind w:left="420" w:hanging="227"/>
        <w:jc w:val="both"/>
        <w:rPr>
          <w:lang w:eastAsia="zh-CN"/>
        </w:rPr>
      </w:pPr>
      <w:r>
        <w:rPr>
          <w:rFonts w:ascii="Times New Roman" w:hAnsi="Times New Roman" w:eastAsia="宋体"/>
          <w:lang w:eastAsia="zh-CN"/>
        </w:rPr>
        <w:t>3. 客户输入目标账户和金额并确认。</w:t>
      </w:r>
    </w:p>
    <w:p w14:paraId="00AEA8D0">
      <w:pPr>
        <w:spacing w:after="40" w:line="324" w:lineRule="auto"/>
        <w:ind w:left="420" w:hanging="227"/>
        <w:jc w:val="both"/>
        <w:rPr>
          <w:lang w:eastAsia="zh-CN"/>
        </w:rPr>
      </w:pPr>
      <w:r>
        <w:rPr>
          <w:rFonts w:ascii="Times New Roman" w:hAnsi="Times New Roman" w:eastAsia="宋体"/>
          <w:lang w:eastAsia="zh-CN"/>
        </w:rPr>
        <w:t>4. 系统校验目标账户是否存在且可入账。</w:t>
      </w:r>
    </w:p>
    <w:p w14:paraId="478EEE3B">
      <w:pPr>
        <w:spacing w:after="40" w:line="324" w:lineRule="auto"/>
        <w:ind w:left="420" w:hanging="227"/>
        <w:jc w:val="both"/>
        <w:rPr>
          <w:lang w:eastAsia="zh-CN"/>
        </w:rPr>
      </w:pPr>
      <w:r>
        <w:rPr>
          <w:rFonts w:ascii="Times New Roman" w:hAnsi="Times New Roman" w:eastAsia="宋体"/>
          <w:lang w:eastAsia="zh-CN"/>
        </w:rPr>
        <w:t>5. 系统校验当前账户余额是否充足。</w:t>
      </w:r>
    </w:p>
    <w:p w14:paraId="51562FE4">
      <w:pPr>
        <w:spacing w:after="40" w:line="324" w:lineRule="auto"/>
        <w:ind w:left="420" w:hanging="227"/>
        <w:jc w:val="both"/>
        <w:rPr>
          <w:lang w:eastAsia="zh-CN"/>
        </w:rPr>
      </w:pPr>
      <w:r>
        <w:rPr>
          <w:rFonts w:ascii="Times New Roman" w:hAnsi="Times New Roman" w:eastAsia="宋体"/>
          <w:lang w:eastAsia="zh-CN"/>
        </w:rPr>
        <w:t>6. 系统执行扣款与目标账户入账。</w:t>
      </w:r>
    </w:p>
    <w:p w14:paraId="727816B1">
      <w:pPr>
        <w:spacing w:after="40" w:line="324" w:lineRule="auto"/>
        <w:ind w:left="420" w:hanging="227"/>
        <w:jc w:val="both"/>
        <w:rPr>
          <w:lang w:eastAsia="zh-CN"/>
        </w:rPr>
      </w:pPr>
      <w:r>
        <w:rPr>
          <w:rFonts w:ascii="Times New Roman" w:hAnsi="Times New Roman" w:eastAsia="宋体"/>
          <w:lang w:eastAsia="zh-CN"/>
        </w:rPr>
        <w:t>7. 系统记录交易流水，并向客户反馈转账成功结果。</w:t>
      </w:r>
    </w:p>
    <w:p w14:paraId="040B6E7A">
      <w:pPr>
        <w:spacing w:after="40" w:line="324" w:lineRule="auto"/>
        <w:ind w:left="420" w:hanging="227"/>
        <w:jc w:val="both"/>
        <w:rPr>
          <w:lang w:eastAsia="zh-CN"/>
        </w:rPr>
      </w:pPr>
      <w:r>
        <w:rPr>
          <w:rFonts w:ascii="Times New Roman" w:hAnsi="Times New Roman" w:eastAsia="宋体"/>
          <w:lang w:eastAsia="zh-CN"/>
        </w:rPr>
        <w:t>8. 客户可选择打印凭条或返回主菜单。</w:t>
      </w:r>
    </w:p>
    <w:p w14:paraId="459A00A2">
      <w:pPr>
        <w:spacing w:after="60" w:line="360" w:lineRule="auto"/>
        <w:jc w:val="both"/>
        <w:rPr>
          <w:lang w:eastAsia="zh-CN"/>
        </w:rPr>
      </w:pPr>
      <w:r>
        <w:rPr>
          <w:rFonts w:ascii="Times New Roman" w:hAnsi="Times New Roman" w:eastAsia="宋体"/>
          <w:lang w:eastAsia="zh-CN"/>
        </w:rPr>
        <w:t>扩展与异常流程：</w:t>
      </w:r>
    </w:p>
    <w:p w14:paraId="4017172D">
      <w:pPr>
        <w:spacing w:after="40" w:line="324" w:lineRule="auto"/>
        <w:ind w:left="420" w:hanging="227"/>
        <w:jc w:val="both"/>
        <w:rPr>
          <w:lang w:eastAsia="zh-CN"/>
        </w:rPr>
      </w:pPr>
      <w:r>
        <w:rPr>
          <w:rFonts w:ascii="Times New Roman" w:hAnsi="Times New Roman" w:eastAsia="宋体"/>
          <w:lang w:eastAsia="zh-CN"/>
        </w:rPr>
        <w:t>1. 目标账户不存在、状态异常或不允许转入时，系统提示失败。</w:t>
      </w:r>
    </w:p>
    <w:p w14:paraId="50E0E865">
      <w:pPr>
        <w:spacing w:after="40" w:line="324" w:lineRule="auto"/>
        <w:ind w:left="420" w:hanging="227"/>
        <w:jc w:val="both"/>
        <w:rPr>
          <w:lang w:eastAsia="zh-CN"/>
        </w:rPr>
      </w:pPr>
      <w:r>
        <w:rPr>
          <w:rFonts w:ascii="Times New Roman" w:hAnsi="Times New Roman" w:eastAsia="宋体"/>
          <w:lang w:eastAsia="zh-CN"/>
        </w:rPr>
        <w:t>2. 当前账户余额不足时，系统提示失败且不得扣款。</w:t>
      </w:r>
    </w:p>
    <w:p w14:paraId="5F405CBB">
      <w:pPr>
        <w:spacing w:after="40" w:line="324" w:lineRule="auto"/>
        <w:ind w:left="420" w:hanging="227"/>
        <w:jc w:val="both"/>
        <w:rPr>
          <w:lang w:eastAsia="zh-CN"/>
        </w:rPr>
      </w:pPr>
      <w:r>
        <w:rPr>
          <w:rFonts w:ascii="Times New Roman" w:hAnsi="Times New Roman" w:eastAsia="宋体"/>
          <w:lang w:eastAsia="zh-CN"/>
        </w:rPr>
        <w:t>3. 若客户输入的目标账户与当前账户相同，则系统拒绝提交。</w:t>
      </w:r>
    </w:p>
    <w:p w14:paraId="43325D4E">
      <w:pPr>
        <w:spacing w:after="40" w:line="324" w:lineRule="auto"/>
        <w:ind w:left="420" w:hanging="227"/>
        <w:jc w:val="both"/>
        <w:rPr>
          <w:lang w:eastAsia="zh-CN"/>
        </w:rPr>
      </w:pPr>
      <w:r>
        <w:rPr>
          <w:rFonts w:ascii="Times New Roman" w:hAnsi="Times New Roman" w:eastAsia="宋体"/>
          <w:lang w:eastAsia="zh-CN"/>
        </w:rPr>
        <w:t>4. 若后台处理异常，则系统提示转账失败，并保证转出与转入操作的一致性。</w:t>
      </w:r>
    </w:p>
    <w:p w14:paraId="7E325E56">
      <w:pPr>
        <w:spacing w:after="60" w:line="360" w:lineRule="auto"/>
        <w:jc w:val="both"/>
        <w:rPr>
          <w:lang w:eastAsia="zh-CN"/>
        </w:rPr>
      </w:pPr>
      <w:r>
        <w:rPr>
          <w:rFonts w:ascii="Times New Roman" w:hAnsi="Times New Roman" w:eastAsia="宋体"/>
          <w:lang w:eastAsia="zh-CN"/>
        </w:rPr>
        <w:t>补充性要求与业务规则：</w:t>
      </w:r>
    </w:p>
    <w:p w14:paraId="6D5A03BF">
      <w:pPr>
        <w:spacing w:after="60" w:line="336" w:lineRule="auto"/>
        <w:ind w:left="420" w:hanging="283"/>
        <w:jc w:val="both"/>
        <w:rPr>
          <w:lang w:eastAsia="zh-CN"/>
        </w:rPr>
      </w:pPr>
      <w:r>
        <w:rPr>
          <w:rFonts w:ascii="Times New Roman" w:hAnsi="Times New Roman" w:eastAsia="宋体"/>
          <w:lang w:eastAsia="zh-CN"/>
        </w:rPr>
        <w:t>• 转账金额必须为合法正数，并满足银行或课程项目预设的限额规则。</w:t>
      </w:r>
    </w:p>
    <w:p w14:paraId="314EB5FE">
      <w:pPr>
        <w:spacing w:after="60" w:line="336" w:lineRule="auto"/>
        <w:ind w:left="420" w:hanging="283"/>
        <w:jc w:val="both"/>
        <w:rPr>
          <w:lang w:eastAsia="zh-CN"/>
        </w:rPr>
      </w:pPr>
      <w:r>
        <w:rPr>
          <w:rFonts w:ascii="Times New Roman" w:hAnsi="Times New Roman" w:eastAsia="宋体"/>
          <w:lang w:eastAsia="zh-CN"/>
        </w:rPr>
        <w:t>• 扣款与入账应被视为同一业务事务，不能只完成其中一部分。</w:t>
      </w:r>
    </w:p>
    <w:p w14:paraId="33A891A3">
      <w:pPr>
        <w:spacing w:after="60" w:line="336" w:lineRule="auto"/>
        <w:ind w:left="420" w:hanging="283"/>
        <w:jc w:val="both"/>
        <w:rPr>
          <w:lang w:eastAsia="zh-CN"/>
        </w:rPr>
      </w:pPr>
      <w:r>
        <w:rPr>
          <w:rFonts w:ascii="Times New Roman" w:hAnsi="Times New Roman" w:eastAsia="宋体"/>
          <w:lang w:eastAsia="zh-CN"/>
        </w:rPr>
        <w:t>• 转账结果应生成唯一交易编号并进入交易流水，以支持后续查询和审计。</w:t>
      </w:r>
    </w:p>
    <w:p w14:paraId="64E7F52D">
      <w:pPr>
        <w:spacing w:after="120" w:line="360" w:lineRule="auto"/>
        <w:ind w:firstLine="420"/>
        <w:jc w:val="both"/>
        <w:rPr>
          <w:lang w:eastAsia="zh-CN"/>
        </w:rPr>
      </w:pPr>
      <w:r>
        <w:rPr>
          <w:rFonts w:ascii="Times New Roman" w:hAnsi="Times New Roman" w:eastAsia="宋体"/>
          <w:lang w:eastAsia="zh-CN"/>
        </w:rPr>
        <w:t>分析说明：转账用例比取款进一步放大了系统对外部账户信息、事务一致性和错误恢复的要求，是验证后端服务边界和业务原子性的关键场景，对后续设计类图、接口设计和异常处理策略都有直接影响。</w:t>
      </w:r>
    </w:p>
    <w:p w14:paraId="0C0E8D13">
      <w:pPr>
        <w:spacing w:before="280" w:after="160"/>
        <w:outlineLvl w:val="9"/>
        <w:rPr>
          <w:rFonts w:ascii="Times New Roman" w:hAnsi="Times New Roman" w:eastAsia="黑体"/>
          <w:b/>
          <w:sz w:val="36"/>
          <w:lang w:eastAsia="zh-CN"/>
        </w:rPr>
      </w:pPr>
      <w:bookmarkStart w:id="32" w:name="_Toc10210"/>
    </w:p>
    <w:p w14:paraId="48E71951">
      <w:pPr>
        <w:spacing w:before="280" w:after="160"/>
        <w:outlineLvl w:val="9"/>
        <w:rPr>
          <w:rFonts w:ascii="Times New Roman" w:hAnsi="Times New Roman" w:eastAsia="黑体"/>
          <w:b/>
          <w:sz w:val="36"/>
          <w:lang w:eastAsia="zh-CN"/>
        </w:rPr>
      </w:pPr>
    </w:p>
    <w:p w14:paraId="31B5ACD2">
      <w:pPr>
        <w:spacing w:before="280" w:after="160"/>
        <w:outlineLvl w:val="0"/>
        <w:rPr>
          <w:rFonts w:hint="default"/>
          <w:lang w:val="en-US" w:eastAsia="zh-CN"/>
        </w:rPr>
      </w:pPr>
      <w:bookmarkStart w:id="33" w:name="_Toc30589"/>
      <w:r>
        <w:rPr>
          <w:rFonts w:ascii="Times New Roman" w:hAnsi="Times New Roman" w:eastAsia="黑体"/>
          <w:b/>
          <w:sz w:val="36"/>
          <w:lang w:eastAsia="zh-CN"/>
        </w:rPr>
        <w:t>1.6 本章小结</w:t>
      </w:r>
      <w:bookmarkEnd w:id="32"/>
      <w:r>
        <w:rPr>
          <w:rFonts w:hint="eastAsia" w:ascii="Times New Roman" w:hAnsi="Times New Roman" w:eastAsia="黑体"/>
          <w:b/>
          <w:sz w:val="36"/>
          <w:lang w:val="en-US" w:eastAsia="zh-CN"/>
        </w:rPr>
        <w:t>与补充说明</w:t>
      </w:r>
      <w:bookmarkEnd w:id="33"/>
    </w:p>
    <w:p w14:paraId="21B3B63A">
      <w:pPr>
        <w:spacing w:after="120" w:line="360" w:lineRule="auto"/>
        <w:ind w:firstLine="420"/>
        <w:jc w:val="both"/>
        <w:rPr>
          <w:lang w:eastAsia="zh-CN"/>
        </w:rPr>
      </w:pPr>
      <w:r>
        <w:rPr>
          <w:rFonts w:ascii="Times New Roman" w:hAnsi="Times New Roman" w:eastAsia="宋体"/>
          <w:lang w:eastAsia="zh-CN"/>
        </w:rPr>
        <w:t>本章围绕 ATM 系统的初始阶段完成了较完整的需求起步工作：一方面，从系统背景、课程定位和阶段目标出发，明确了本项目并非在初始阶段穷尽全部需求，而是建立共同设想、界定合理范围、识别关键风险并为后续迭代做准备；另一方面，结合实验要求和作业方案，识别了客户、银行核心系统、ATM 设备和管理员等主要参与者，明确了系统边界、功能范围以及 FURPS+ 视角下的关键补充性需求。</w:t>
      </w:r>
    </w:p>
    <w:p w14:paraId="0662A2EB">
      <w:pPr>
        <w:spacing w:after="120" w:line="360" w:lineRule="auto"/>
        <w:ind w:firstLine="420"/>
        <w:jc w:val="both"/>
        <w:rPr>
          <w:lang w:eastAsia="zh-CN"/>
        </w:rPr>
      </w:pPr>
      <w:r>
        <w:rPr>
          <w:rFonts w:ascii="Times New Roman" w:hAnsi="Times New Roman" w:eastAsia="宋体"/>
          <w:lang w:eastAsia="zh-CN"/>
        </w:rPr>
        <w:t>在此基础上，本文建立了 ATM 系统的总体用例视图，并按照“优先处理高价值、高风险、具有架构意义的代表性用例”的原则，对登录认证、查询余额、取款和转账四个核心用例进行了较详细的规约说明。这些内容将作为后续分析类图、活动图、顺序图和设计模型的输入。下一阶段将在此基础上继续细化显示模块与核心业务服务之间的职责分配和对象协作。</w:t>
      </w:r>
    </w:p>
    <w:sectPr>
      <w:footerReference r:id="rId4" w:type="default"/>
      <w:pgSz w:w="12240" w:h="15840"/>
      <w:pgMar w:top="1440" w:right="1474" w:bottom="1440" w:left="1587"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91BE">
    <w:pPr>
      <w:pStyle w:val="16"/>
    </w:pPr>
    <w:r>
      <w:rPr>
        <w:sz w:val="18"/>
      </w:rPr>
      <w:pict>
        <v:shape id="_x0000_s2050" o:spid="_x0000_s2050"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191B3D3D">
                <w:pPr>
                  <w:pStyle w:val="1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4E4255"/>
    <w:rsid w:val="000D3C73"/>
    <w:rsid w:val="00194E94"/>
    <w:rsid w:val="002E1582"/>
    <w:rsid w:val="004E4255"/>
    <w:rsid w:val="004F524B"/>
    <w:rsid w:val="007730EE"/>
    <w:rsid w:val="00886807"/>
    <w:rsid w:val="00BC005B"/>
    <w:rsid w:val="061B7BDB"/>
    <w:rsid w:val="090B0D37"/>
    <w:rsid w:val="0BEC7452"/>
    <w:rsid w:val="17F84E12"/>
    <w:rsid w:val="1E86055A"/>
    <w:rsid w:val="26654250"/>
    <w:rsid w:val="2DDC7106"/>
    <w:rsid w:val="347D1837"/>
    <w:rsid w:val="43AC5FB7"/>
    <w:rsid w:val="4C4C6888"/>
    <w:rsid w:val="52B230A1"/>
    <w:rsid w:val="56766C5C"/>
    <w:rsid w:val="56DC55F7"/>
    <w:rsid w:val="685F19E3"/>
    <w:rsid w:val="7461643C"/>
    <w:rsid w:val="790A14F7"/>
    <w:rsid w:val="7CFC5E3C"/>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25">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7"/>
    <w:qFormat/>
    <w:uiPriority w:val="0"/>
    <w:pPr>
      <w:spacing w:before="180" w:after="180"/>
    </w:pPr>
  </w:style>
  <w:style w:type="paragraph" w:styleId="12">
    <w:name w:val="caption"/>
    <w:basedOn w:val="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toc 3"/>
    <w:basedOn w:val="1"/>
    <w:next w:val="1"/>
    <w:qFormat/>
    <w:uiPriority w:val="0"/>
    <w:pPr>
      <w:ind w:left="840" w:leftChars="40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style>
  <w:style w:type="paragraph" w:styleId="19">
    <w:name w:val="Subtitle"/>
    <w:basedOn w:val="20"/>
    <w:next w:val="3"/>
    <w:qFormat/>
    <w:uiPriority w:val="0"/>
    <w:pPr>
      <w:spacing w:before="240"/>
    </w:pPr>
    <w:rPr>
      <w:sz w:val="30"/>
      <w:szCs w:val="30"/>
    </w:rPr>
  </w:style>
  <w:style w:type="paragraph" w:styleId="20">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1">
    <w:name w:val="footnote text"/>
    <w:basedOn w:val="1"/>
    <w:unhideWhenUsed/>
    <w:qFormat/>
    <w:uiPriority w:val="9"/>
  </w:style>
  <w:style w:type="paragraph" w:styleId="22">
    <w:name w:val="toc 2"/>
    <w:basedOn w:val="1"/>
    <w:next w:val="1"/>
    <w:qFormat/>
    <w:uiPriority w:val="0"/>
    <w:pPr>
      <w:ind w:left="420" w:leftChars="200"/>
    </w:pPr>
  </w:style>
  <w:style w:type="paragraph" w:styleId="23">
    <w:name w:val="Normal (Web)"/>
    <w:basedOn w:val="1"/>
    <w:uiPriority w:val="0"/>
    <w:pPr>
      <w:spacing w:before="0" w:beforeAutospacing="1" w:after="0" w:afterAutospacing="1"/>
      <w:ind w:left="0" w:right="0"/>
      <w:jc w:val="left"/>
    </w:pPr>
    <w:rPr>
      <w:kern w:val="0"/>
      <w:sz w:val="24"/>
      <w:lang w:val="en-US" w:eastAsia="zh-CN" w:bidi="ar"/>
    </w:rPr>
  </w:style>
  <w:style w:type="character" w:styleId="26">
    <w:name w:val="Hyperlink"/>
    <w:basedOn w:val="27"/>
    <w:qFormat/>
    <w:uiPriority w:val="0"/>
    <w:rPr>
      <w:color w:val="4F81BD" w:themeColor="accent1"/>
    </w:rPr>
  </w:style>
  <w:style w:type="character" w:customStyle="1" w:styleId="27">
    <w:name w:val="正文文本 字符"/>
    <w:basedOn w:val="25"/>
    <w:link w:val="3"/>
    <w:qFormat/>
    <w:uiPriority w:val="0"/>
  </w:style>
  <w:style w:type="character" w:styleId="28">
    <w:name w:val="footnote reference"/>
    <w:basedOn w:val="27"/>
    <w:qFormat/>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p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2">
    <w:name w:val="Abstract Title"/>
    <w:basedOn w:val="1"/>
    <w:next w:val="33"/>
    <w:qFormat/>
    <w:uiPriority w:val="0"/>
    <w:pPr>
      <w:keepNext/>
      <w:keepLines/>
      <w:spacing w:before="300" w:after="0"/>
      <w:jc w:val="center"/>
    </w:pPr>
    <w:rPr>
      <w:b/>
      <w:color w:val="345A8A"/>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书目1"/>
    <w:basedOn w:val="1"/>
    <w:qFormat/>
    <w:uiPriority w:val="0"/>
  </w:style>
  <w:style w:type="table" w:customStyle="1" w:styleId="3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6">
    <w:name w:val="Definition Term"/>
    <w:basedOn w:val="1"/>
    <w:next w:val="37"/>
    <w:qFormat/>
    <w:uiPriority w:val="0"/>
    <w:pPr>
      <w:keepNext/>
      <w:keepLines/>
      <w:spacing w:after="0"/>
    </w:pPr>
    <w:rPr>
      <w:b/>
    </w:rPr>
  </w:style>
  <w:style w:type="paragraph" w:customStyle="1" w:styleId="37">
    <w:name w:val="Definition"/>
    <w:basedOn w:val="1"/>
    <w:qFormat/>
    <w:uiPriority w:val="0"/>
  </w:style>
  <w:style w:type="paragraph" w:customStyle="1" w:styleId="38">
    <w:name w:val="Table Caption"/>
    <w:basedOn w:val="12"/>
    <w:qFormat/>
    <w:uiPriority w:val="0"/>
    <w:pPr>
      <w:keepNext/>
    </w:pPr>
  </w:style>
  <w:style w:type="paragraph" w:customStyle="1" w:styleId="39">
    <w:name w:val="Image Caption"/>
    <w:basedOn w:val="12"/>
    <w:qFormat/>
    <w:uiPriority w:val="0"/>
  </w:style>
  <w:style w:type="paragraph" w:customStyle="1" w:styleId="40">
    <w:name w:val="Figure"/>
    <w:basedOn w:val="1"/>
    <w:qFormat/>
    <w:uiPriority w:val="0"/>
  </w:style>
  <w:style w:type="paragraph" w:customStyle="1" w:styleId="41">
    <w:name w:val="Captioned Figure"/>
    <w:basedOn w:val="40"/>
    <w:qFormat/>
    <w:uiPriority w:val="0"/>
    <w:pPr>
      <w:keepNext/>
    </w:pPr>
  </w:style>
  <w:style w:type="character" w:customStyle="1" w:styleId="42">
    <w:name w:val="Verbatim Char"/>
    <w:basedOn w:val="27"/>
    <w:link w:val="43"/>
    <w:qFormat/>
    <w:uiPriority w:val="0"/>
    <w:rPr>
      <w:rFonts w:ascii="Consolas" w:hAnsi="Consolas"/>
      <w:sz w:val="22"/>
    </w:rPr>
  </w:style>
  <w:style w:type="paragraph" w:customStyle="1" w:styleId="43">
    <w:name w:val="Source Code"/>
    <w:basedOn w:val="1"/>
    <w:link w:val="42"/>
    <w:qFormat/>
    <w:uiPriority w:val="0"/>
    <w:pPr>
      <w:wordWrap w:val="0"/>
    </w:pPr>
  </w:style>
  <w:style w:type="character" w:customStyle="1" w:styleId="44">
    <w:name w:val="Section Number"/>
    <w:basedOn w:val="27"/>
    <w:qFormat/>
    <w:uiPriority w:val="0"/>
  </w:style>
  <w:style w:type="paragraph" w:customStyle="1" w:styleId="45">
    <w:name w:val="TOC 标题1"/>
    <w:basedOn w:val="2"/>
    <w:next w:val="3"/>
    <w:unhideWhenUsed/>
    <w:qFormat/>
    <w:uiPriority w:val="39"/>
    <w:pPr>
      <w:spacing w:before="240" w:line="259" w:lineRule="auto"/>
      <w:outlineLvl w:val="9"/>
    </w:pPr>
    <w:rPr>
      <w:b w:val="0"/>
      <w:bCs w:val="0"/>
      <w:color w:val="366091" w:themeColor="accent1" w:themeShade="BF"/>
    </w:rPr>
  </w:style>
  <w:style w:type="character" w:customStyle="1" w:styleId="46">
    <w:name w:val="KeywordTok"/>
    <w:basedOn w:val="42"/>
    <w:qFormat/>
    <w:uiPriority w:val="0"/>
    <w:rPr>
      <w:rFonts w:ascii="Consolas" w:hAnsi="Consolas"/>
      <w:b/>
      <w:color w:val="007020"/>
      <w:sz w:val="22"/>
    </w:rPr>
  </w:style>
  <w:style w:type="character" w:customStyle="1" w:styleId="47">
    <w:name w:val="DataTypeTok"/>
    <w:basedOn w:val="42"/>
    <w:qFormat/>
    <w:uiPriority w:val="0"/>
    <w:rPr>
      <w:rFonts w:ascii="Consolas" w:hAnsi="Consolas"/>
      <w:color w:val="902000"/>
      <w:sz w:val="22"/>
    </w:rPr>
  </w:style>
  <w:style w:type="character" w:customStyle="1" w:styleId="48">
    <w:name w:val="DecValTok"/>
    <w:basedOn w:val="42"/>
    <w:qFormat/>
    <w:uiPriority w:val="0"/>
    <w:rPr>
      <w:rFonts w:ascii="Consolas" w:hAnsi="Consolas"/>
      <w:color w:val="40A070"/>
      <w:sz w:val="22"/>
    </w:rPr>
  </w:style>
  <w:style w:type="character" w:customStyle="1" w:styleId="49">
    <w:name w:val="BaseNTok"/>
    <w:basedOn w:val="42"/>
    <w:qFormat/>
    <w:uiPriority w:val="0"/>
    <w:rPr>
      <w:rFonts w:ascii="Consolas" w:hAnsi="Consolas"/>
      <w:color w:val="40A070"/>
      <w:sz w:val="22"/>
    </w:rPr>
  </w:style>
  <w:style w:type="character" w:customStyle="1" w:styleId="50">
    <w:name w:val="FloatTok"/>
    <w:basedOn w:val="42"/>
    <w:qFormat/>
    <w:uiPriority w:val="0"/>
    <w:rPr>
      <w:rFonts w:ascii="Consolas" w:hAnsi="Consolas"/>
      <w:color w:val="40A070"/>
      <w:sz w:val="22"/>
    </w:rPr>
  </w:style>
  <w:style w:type="character" w:customStyle="1" w:styleId="51">
    <w:name w:val="ConstantTok"/>
    <w:basedOn w:val="42"/>
    <w:qFormat/>
    <w:uiPriority w:val="0"/>
    <w:rPr>
      <w:rFonts w:ascii="Consolas" w:hAnsi="Consolas"/>
      <w:color w:val="880000"/>
      <w:sz w:val="22"/>
    </w:rPr>
  </w:style>
  <w:style w:type="character" w:customStyle="1" w:styleId="52">
    <w:name w:val="CharTok"/>
    <w:basedOn w:val="42"/>
    <w:qFormat/>
    <w:uiPriority w:val="0"/>
    <w:rPr>
      <w:rFonts w:ascii="Consolas" w:hAnsi="Consolas"/>
      <w:color w:val="4070A0"/>
      <w:sz w:val="22"/>
    </w:rPr>
  </w:style>
  <w:style w:type="character" w:customStyle="1" w:styleId="53">
    <w:name w:val="SpecialCharTok"/>
    <w:basedOn w:val="42"/>
    <w:qFormat/>
    <w:uiPriority w:val="0"/>
    <w:rPr>
      <w:rFonts w:ascii="Consolas" w:hAnsi="Consolas"/>
      <w:color w:val="4070A0"/>
      <w:sz w:val="22"/>
    </w:rPr>
  </w:style>
  <w:style w:type="character" w:customStyle="1" w:styleId="54">
    <w:name w:val="StringTok"/>
    <w:basedOn w:val="42"/>
    <w:qFormat/>
    <w:uiPriority w:val="0"/>
    <w:rPr>
      <w:rFonts w:ascii="Consolas" w:hAnsi="Consolas"/>
      <w:color w:val="4070A0"/>
      <w:sz w:val="22"/>
    </w:rPr>
  </w:style>
  <w:style w:type="character" w:customStyle="1" w:styleId="55">
    <w:name w:val="VerbatimStringTok"/>
    <w:basedOn w:val="42"/>
    <w:qFormat/>
    <w:uiPriority w:val="0"/>
    <w:rPr>
      <w:rFonts w:ascii="Consolas" w:hAnsi="Consolas"/>
      <w:color w:val="4070A0"/>
      <w:sz w:val="22"/>
    </w:rPr>
  </w:style>
  <w:style w:type="character" w:customStyle="1" w:styleId="56">
    <w:name w:val="SpecialStringTok"/>
    <w:basedOn w:val="42"/>
    <w:qFormat/>
    <w:uiPriority w:val="0"/>
    <w:rPr>
      <w:rFonts w:ascii="Consolas" w:hAnsi="Consolas"/>
      <w:color w:val="BB6688"/>
      <w:sz w:val="22"/>
    </w:rPr>
  </w:style>
  <w:style w:type="character" w:customStyle="1" w:styleId="57">
    <w:name w:val="ImportTok"/>
    <w:basedOn w:val="42"/>
    <w:qFormat/>
    <w:uiPriority w:val="0"/>
    <w:rPr>
      <w:rFonts w:ascii="Consolas" w:hAnsi="Consolas"/>
      <w:b/>
      <w:color w:val="008000"/>
      <w:sz w:val="22"/>
    </w:rPr>
  </w:style>
  <w:style w:type="character" w:customStyle="1" w:styleId="58">
    <w:name w:val="CommentTok"/>
    <w:basedOn w:val="42"/>
    <w:qFormat/>
    <w:uiPriority w:val="0"/>
    <w:rPr>
      <w:rFonts w:ascii="Consolas" w:hAnsi="Consolas"/>
      <w:i/>
      <w:color w:val="60A0B0"/>
      <w:sz w:val="22"/>
    </w:rPr>
  </w:style>
  <w:style w:type="character" w:customStyle="1" w:styleId="59">
    <w:name w:val="DocumentationTok"/>
    <w:basedOn w:val="42"/>
    <w:qFormat/>
    <w:uiPriority w:val="0"/>
    <w:rPr>
      <w:rFonts w:ascii="Consolas" w:hAnsi="Consolas"/>
      <w:i/>
      <w:color w:val="BA2121"/>
      <w:sz w:val="22"/>
    </w:rPr>
  </w:style>
  <w:style w:type="character" w:customStyle="1" w:styleId="60">
    <w:name w:val="AnnotationTok"/>
    <w:basedOn w:val="42"/>
    <w:qFormat/>
    <w:uiPriority w:val="0"/>
    <w:rPr>
      <w:rFonts w:ascii="Consolas" w:hAnsi="Consolas"/>
      <w:b/>
      <w:i/>
      <w:color w:val="60A0B0"/>
      <w:sz w:val="22"/>
    </w:rPr>
  </w:style>
  <w:style w:type="character" w:customStyle="1" w:styleId="61">
    <w:name w:val="CommentVarTok"/>
    <w:basedOn w:val="42"/>
    <w:qFormat/>
    <w:uiPriority w:val="0"/>
    <w:rPr>
      <w:rFonts w:ascii="Consolas" w:hAnsi="Consolas"/>
      <w:b/>
      <w:i/>
      <w:color w:val="60A0B0"/>
      <w:sz w:val="22"/>
    </w:rPr>
  </w:style>
  <w:style w:type="character" w:customStyle="1" w:styleId="62">
    <w:name w:val="OtherTok"/>
    <w:basedOn w:val="42"/>
    <w:qFormat/>
    <w:uiPriority w:val="0"/>
    <w:rPr>
      <w:rFonts w:ascii="Consolas" w:hAnsi="Consolas"/>
      <w:color w:val="007020"/>
      <w:sz w:val="22"/>
    </w:rPr>
  </w:style>
  <w:style w:type="character" w:customStyle="1" w:styleId="63">
    <w:name w:val="FunctionTok"/>
    <w:basedOn w:val="42"/>
    <w:qFormat/>
    <w:uiPriority w:val="0"/>
    <w:rPr>
      <w:rFonts w:ascii="Consolas" w:hAnsi="Consolas"/>
      <w:color w:val="06287E"/>
      <w:sz w:val="22"/>
    </w:rPr>
  </w:style>
  <w:style w:type="character" w:customStyle="1" w:styleId="64">
    <w:name w:val="VariableTok"/>
    <w:basedOn w:val="42"/>
    <w:qFormat/>
    <w:uiPriority w:val="0"/>
    <w:rPr>
      <w:rFonts w:ascii="Consolas" w:hAnsi="Consolas"/>
      <w:color w:val="19177C"/>
      <w:sz w:val="22"/>
    </w:rPr>
  </w:style>
  <w:style w:type="character" w:customStyle="1" w:styleId="65">
    <w:name w:val="ControlFlowTok"/>
    <w:basedOn w:val="42"/>
    <w:qFormat/>
    <w:uiPriority w:val="0"/>
    <w:rPr>
      <w:rFonts w:ascii="Consolas" w:hAnsi="Consolas"/>
      <w:b/>
      <w:color w:val="007020"/>
      <w:sz w:val="22"/>
    </w:rPr>
  </w:style>
  <w:style w:type="character" w:customStyle="1" w:styleId="66">
    <w:name w:val="OperatorTok"/>
    <w:basedOn w:val="42"/>
    <w:qFormat/>
    <w:uiPriority w:val="0"/>
    <w:rPr>
      <w:rFonts w:ascii="Consolas" w:hAnsi="Consolas"/>
      <w:color w:val="666666"/>
      <w:sz w:val="22"/>
    </w:rPr>
  </w:style>
  <w:style w:type="character" w:customStyle="1" w:styleId="67">
    <w:name w:val="BuiltInTok"/>
    <w:basedOn w:val="42"/>
    <w:qFormat/>
    <w:uiPriority w:val="0"/>
    <w:rPr>
      <w:rFonts w:ascii="Consolas" w:hAnsi="Consolas"/>
      <w:color w:val="008000"/>
      <w:sz w:val="22"/>
    </w:rPr>
  </w:style>
  <w:style w:type="character" w:customStyle="1" w:styleId="68">
    <w:name w:val="ExtensionTok"/>
    <w:basedOn w:val="42"/>
    <w:qFormat/>
    <w:uiPriority w:val="0"/>
    <w:rPr>
      <w:rFonts w:ascii="Consolas" w:hAnsi="Consolas"/>
      <w:sz w:val="22"/>
    </w:rPr>
  </w:style>
  <w:style w:type="character" w:customStyle="1" w:styleId="69">
    <w:name w:val="PreprocessorTok"/>
    <w:basedOn w:val="42"/>
    <w:qFormat/>
    <w:uiPriority w:val="0"/>
    <w:rPr>
      <w:rFonts w:ascii="Consolas" w:hAnsi="Consolas"/>
      <w:color w:val="BC7A00"/>
      <w:sz w:val="22"/>
    </w:rPr>
  </w:style>
  <w:style w:type="character" w:customStyle="1" w:styleId="70">
    <w:name w:val="AttributeTok"/>
    <w:basedOn w:val="42"/>
    <w:qFormat/>
    <w:uiPriority w:val="0"/>
    <w:rPr>
      <w:rFonts w:ascii="Consolas" w:hAnsi="Consolas"/>
      <w:color w:val="7D9029"/>
      <w:sz w:val="22"/>
    </w:rPr>
  </w:style>
  <w:style w:type="character" w:customStyle="1" w:styleId="71">
    <w:name w:val="RegionMarkerTok"/>
    <w:basedOn w:val="42"/>
    <w:qFormat/>
    <w:uiPriority w:val="0"/>
    <w:rPr>
      <w:rFonts w:ascii="Consolas" w:hAnsi="Consolas"/>
      <w:sz w:val="22"/>
    </w:rPr>
  </w:style>
  <w:style w:type="character" w:customStyle="1" w:styleId="72">
    <w:name w:val="InformationTok"/>
    <w:basedOn w:val="42"/>
    <w:qFormat/>
    <w:uiPriority w:val="0"/>
    <w:rPr>
      <w:rFonts w:ascii="Consolas" w:hAnsi="Consolas"/>
      <w:b/>
      <w:i/>
      <w:color w:val="60A0B0"/>
      <w:sz w:val="22"/>
    </w:rPr>
  </w:style>
  <w:style w:type="character" w:customStyle="1" w:styleId="73">
    <w:name w:val="WarningTok"/>
    <w:basedOn w:val="42"/>
    <w:qFormat/>
    <w:uiPriority w:val="0"/>
    <w:rPr>
      <w:rFonts w:ascii="Consolas" w:hAnsi="Consolas"/>
      <w:b/>
      <w:i/>
      <w:color w:val="60A0B0"/>
      <w:sz w:val="22"/>
    </w:rPr>
  </w:style>
  <w:style w:type="character" w:customStyle="1" w:styleId="74">
    <w:name w:val="AlertTok"/>
    <w:basedOn w:val="42"/>
    <w:qFormat/>
    <w:uiPriority w:val="0"/>
    <w:rPr>
      <w:rFonts w:ascii="Consolas" w:hAnsi="Consolas"/>
      <w:b/>
      <w:color w:val="FF0000"/>
      <w:sz w:val="22"/>
    </w:rPr>
  </w:style>
  <w:style w:type="character" w:customStyle="1" w:styleId="75">
    <w:name w:val="ErrorTok"/>
    <w:basedOn w:val="42"/>
    <w:qFormat/>
    <w:uiPriority w:val="0"/>
    <w:rPr>
      <w:rFonts w:ascii="Consolas" w:hAnsi="Consolas"/>
      <w:b/>
      <w:color w:val="FF0000"/>
      <w:sz w:val="22"/>
    </w:rPr>
  </w:style>
  <w:style w:type="character" w:customStyle="1" w:styleId="76">
    <w:name w:val="NormalTok"/>
    <w:basedOn w:val="42"/>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7501</Words>
  <Characters>7965</Characters>
  <Lines>195</Lines>
  <Paragraphs>226</Paragraphs>
  <TotalTime>1</TotalTime>
  <ScaleCrop>false</ScaleCrop>
  <LinksUpToDate>false</LinksUpToDate>
  <CharactersWithSpaces>8346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2026-03-21T05:32:00Z</dcterms:created>
  <dc:creator>凡</dc:creator>
  <cp:lastModifiedBy>凡</cp:lastModifiedBy>
  <dcterms:modified xsi:type="dcterms:W3CDTF">2026-04-02T15:34:08Z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eyJoZGlkIjoiNmE2M2RjYzRhYzY0YTczNmNhNWEzZmI3ZDFkMjZiYjEiLCJ1c2VySWQiOiI0NzI1NDA0NDEifQ==</vt:lpwstr>
  </property>
  <property fmtid="{D5CDD505-2E9C-101B-9397-08002B2CF9AE}" pid="3" name="KSOProductBuildVer">
    <vt:lpwstr>2052-12.1.0.25225</vt:lpwstr>
  </property>
  <property fmtid="{D5CDD505-2E9C-101B-9397-08002B2CF9AE}" pid="4" name="ICV">
    <vt:lpwstr>9F4AFF8D1B0948CF92DA4531251BAF5A_13</vt:lpwstr>
  </property>
</Properties>
</file>