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软件分析设计与建模实验"/>
    <w:p>
      <w:pPr>
        <w:pStyle w:val="Heading1"/>
      </w:pPr>
      <w:r>
        <w:t xml:space="preserve">软件分析设计与建模实验</w:t>
      </w:r>
    </w:p>
    <w:bookmarkStart w:id="20" w:name="atm-系统课程作业提交文档"/>
    <w:p>
      <w:pPr>
        <w:pStyle w:val="Heading2"/>
      </w:pPr>
      <w:r>
        <w:t xml:space="preserve">ATM 系统课程作业提交文档</w:t>
      </w:r>
    </w:p>
    <w:bookmarkEnd w:id="20"/>
    <w:bookmarkEnd w:id="21"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课程名称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软件分析设计与建模实验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班级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2024级软件工程1班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小组成员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马启凡、叶炳良、周子栋、庄子杰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当前阶段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初始化</w:t>
            </w:r>
          </w:p>
        </w:tc>
      </w:tr>
    </w:tbl>
    <w:bookmarkStart w:id="36" w:name="第一章-初始阶段"/>
    <w:p>
      <w:pPr>
        <w:pStyle w:val="Heading2"/>
      </w:pPr>
      <w:r>
        <w:t xml:space="preserve">第一章 初始阶段</w:t>
      </w:r>
    </w:p>
    <w:bookmarkStart w:id="22" w:name="系统背景"/>
    <w:p>
      <w:pPr>
        <w:pStyle w:val="Heading3"/>
      </w:pPr>
      <w:r>
        <w:t xml:space="preserve">1.1 系统背景</w:t>
      </w:r>
    </w:p>
    <w:p>
      <w:pPr>
        <w:pStyle w:val="FirstParagraph"/>
      </w:pPr>
      <w:r>
        <w:t xml:space="preserve">ATM 自动取款机系统是银行面向客户提供自助金融服务的重要终端。通过 ATM，客户可以在非柜台场景下完成取款、存款、查询余额、转账、修改密码、打印凭条和退卡等操作，从而减少人工柜台压力，提高业务处理效率，并改善客户的自助服务体验。</w:t>
      </w:r>
    </w:p>
    <w:p>
      <w:pPr>
        <w:pStyle w:val="BodyText"/>
      </w:pPr>
      <w:r>
        <w:t xml:space="preserve">本课程作业以 ATM 虚拟系统为研究对象，结合《软件分析设计与建模实验要求》以及小组作业方案，完成系统分析、需求建模、接口规划和后续分阶段实现。项目采用前后端分离方式组织：</w:t>
      </w:r>
    </w:p>
    <w:p>
      <w:pPr>
        <w:numPr>
          <w:ilvl w:val="0"/>
          <w:numId w:val="1001"/>
        </w:numPr>
        <w:pStyle w:val="Compact"/>
      </w:pPr>
      <w:r>
        <w:t xml:space="preserve">前端使用 Vue 3、Vite、Vue Router、Pinia、Axios</w:t>
      </w:r>
    </w:p>
    <w:p>
      <w:pPr>
        <w:numPr>
          <w:ilvl w:val="0"/>
          <w:numId w:val="1001"/>
        </w:numPr>
        <w:pStyle w:val="Compact"/>
      </w:pPr>
      <w:r>
        <w:t xml:space="preserve">后端使用 Java 17、Spring Boot、Spring Web、Validation、MyBatis</w:t>
      </w:r>
    </w:p>
    <w:p>
      <w:pPr>
        <w:numPr>
          <w:ilvl w:val="0"/>
          <w:numId w:val="1001"/>
        </w:numPr>
        <w:pStyle w:val="Compact"/>
      </w:pPr>
      <w:r>
        <w:t xml:space="preserve">数据存储使用 MySQL</w:t>
      </w:r>
    </w:p>
    <w:p>
      <w:pPr>
        <w:numPr>
          <w:ilvl w:val="0"/>
          <w:numId w:val="1001"/>
        </w:numPr>
        <w:pStyle w:val="Compact"/>
      </w:pPr>
      <w:r>
        <w:t xml:space="preserve">建模和文档采用 Markdown、Mermaid、OpenAPI</w:t>
      </w:r>
    </w:p>
    <w:p>
      <w:pPr>
        <w:pStyle w:val="FirstParagraph"/>
      </w:pPr>
      <w:r>
        <w:t xml:space="preserve">本系统的建设目标如下：</w:t>
      </w:r>
    </w:p>
    <w:p>
      <w:pPr>
        <w:numPr>
          <w:ilvl w:val="0"/>
          <w:numId w:val="1002"/>
        </w:numPr>
        <w:pStyle w:val="Compact"/>
      </w:pPr>
      <w:r>
        <w:t xml:space="preserve">建立一个可演示的 ATM 业务原型系统</w:t>
      </w:r>
    </w:p>
    <w:p>
      <w:pPr>
        <w:numPr>
          <w:ilvl w:val="0"/>
          <w:numId w:val="1002"/>
        </w:numPr>
        <w:pStyle w:val="Compact"/>
      </w:pPr>
      <w:r>
        <w:t xml:space="preserve">支持 ATM 核心业务流程的分析与建模</w:t>
      </w:r>
    </w:p>
    <w:p>
      <w:pPr>
        <w:numPr>
          <w:ilvl w:val="0"/>
          <w:numId w:val="1002"/>
        </w:numPr>
        <w:pStyle w:val="Compact"/>
      </w:pPr>
      <w:r>
        <w:t xml:space="preserve">为后续三次迭代开发提供统一的需求基础</w:t>
      </w:r>
    </w:p>
    <w:p>
      <w:pPr>
        <w:numPr>
          <w:ilvl w:val="0"/>
          <w:numId w:val="1002"/>
        </w:numPr>
        <w:pStyle w:val="Compact"/>
      </w:pPr>
      <w:r>
        <w:t xml:space="preserve">保证 UML 建模文档能够与后续代码实现对应</w:t>
      </w:r>
    </w:p>
    <w:p>
      <w:pPr>
        <w:pStyle w:val="FirstParagraph"/>
      </w:pPr>
      <w:r>
        <w:t xml:space="preserve">根据</w:t>
      </w:r>
      <w:r>
        <w:t xml:space="preserve"> </w:t>
      </w:r>
      <w:r>
        <w:rPr>
          <w:rStyle w:val="VerbatimChar"/>
        </w:rPr>
        <w:t xml:space="preserve">ATM_UML作业方案.md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ATM_四人分工与三次迭代任务.md</w:t>
      </w:r>
      <w:r>
        <w:t xml:space="preserve">，系统后续将围绕以下核心功能逐步展开：</w:t>
      </w:r>
    </w:p>
    <w:p>
      <w:pPr>
        <w:numPr>
          <w:ilvl w:val="0"/>
          <w:numId w:val="1003"/>
        </w:numPr>
        <w:pStyle w:val="Compact"/>
      </w:pPr>
      <w:r>
        <w:t xml:space="preserve">插卡登录</w:t>
      </w:r>
    </w:p>
    <w:p>
      <w:pPr>
        <w:numPr>
          <w:ilvl w:val="0"/>
          <w:numId w:val="1003"/>
        </w:numPr>
        <w:pStyle w:val="Compact"/>
      </w:pPr>
      <w:r>
        <w:t xml:space="preserve">密码验证</w:t>
      </w:r>
    </w:p>
    <w:p>
      <w:pPr>
        <w:numPr>
          <w:ilvl w:val="0"/>
          <w:numId w:val="1003"/>
        </w:numPr>
        <w:pStyle w:val="Compact"/>
      </w:pPr>
      <w:r>
        <w:t xml:space="preserve">查询余额</w:t>
      </w:r>
    </w:p>
    <w:p>
      <w:pPr>
        <w:numPr>
          <w:ilvl w:val="0"/>
          <w:numId w:val="1003"/>
        </w:numPr>
        <w:pStyle w:val="Compact"/>
      </w:pPr>
      <w:r>
        <w:t xml:space="preserve">取款</w:t>
      </w:r>
    </w:p>
    <w:p>
      <w:pPr>
        <w:numPr>
          <w:ilvl w:val="0"/>
          <w:numId w:val="1003"/>
        </w:numPr>
        <w:pStyle w:val="Compact"/>
      </w:pPr>
      <w:r>
        <w:t xml:space="preserve">存款</w:t>
      </w:r>
    </w:p>
    <w:p>
      <w:pPr>
        <w:numPr>
          <w:ilvl w:val="0"/>
          <w:numId w:val="1003"/>
        </w:numPr>
        <w:pStyle w:val="Compact"/>
      </w:pPr>
      <w:r>
        <w:t xml:space="preserve">转账</w:t>
      </w:r>
    </w:p>
    <w:p>
      <w:pPr>
        <w:numPr>
          <w:ilvl w:val="0"/>
          <w:numId w:val="1003"/>
        </w:numPr>
        <w:pStyle w:val="Compact"/>
      </w:pPr>
      <w:r>
        <w:t xml:space="preserve">修改密码</w:t>
      </w:r>
    </w:p>
    <w:p>
      <w:pPr>
        <w:numPr>
          <w:ilvl w:val="0"/>
          <w:numId w:val="1003"/>
        </w:numPr>
        <w:pStyle w:val="Compact"/>
      </w:pPr>
      <w:r>
        <w:t xml:space="preserve">打印凭条</w:t>
      </w:r>
    </w:p>
    <w:p>
      <w:pPr>
        <w:numPr>
          <w:ilvl w:val="0"/>
          <w:numId w:val="1003"/>
        </w:numPr>
        <w:pStyle w:val="Compact"/>
      </w:pPr>
      <w:r>
        <w:t xml:space="preserve">退卡</w:t>
      </w:r>
    </w:p>
    <w:p>
      <w:pPr>
        <w:pStyle w:val="FirstParagraph"/>
      </w:pPr>
      <w:r>
        <w:t xml:space="preserve">本章属于初始阶段文档，重点不是实现全部功能，而是完成系统背景说明、参与者识别、用例分析和核心用例规约，为后续细化迭代建立分析基础。</w:t>
      </w:r>
    </w:p>
    <w:bookmarkEnd w:id="22"/>
    <w:bookmarkStart w:id="27" w:name="参与者识别"/>
    <w:p>
      <w:pPr>
        <w:pStyle w:val="Heading3"/>
      </w:pPr>
      <w:r>
        <w:t xml:space="preserve">1.2 参与者识别</w:t>
      </w:r>
    </w:p>
    <w:p>
      <w:pPr>
        <w:pStyle w:val="FirstParagraph"/>
      </w:pPr>
      <w:r>
        <w:t xml:space="preserve">结合 ATM 系统实际业务场景和课程作业范围，识别出本系统的主要参与者如下。</w:t>
      </w:r>
    </w:p>
    <w:bookmarkStart w:id="23" w:name="客户"/>
    <w:p>
      <w:pPr>
        <w:pStyle w:val="Heading4"/>
      </w:pPr>
      <w:r>
        <w:t xml:space="preserve">1.2.1 客户</w:t>
      </w:r>
    </w:p>
    <w:p>
      <w:pPr>
        <w:pStyle w:val="FirstParagraph"/>
      </w:pPr>
      <w:r>
        <w:t xml:space="preserve">客户是 ATM 系统的主要直接参与者，负责发起各类业务操作。客户通过插卡、输入密码和选择功能菜单，与 ATM 系统进行交互，可执行以下行为：</w:t>
      </w:r>
    </w:p>
    <w:p>
      <w:pPr>
        <w:numPr>
          <w:ilvl w:val="0"/>
          <w:numId w:val="1004"/>
        </w:numPr>
        <w:pStyle w:val="Compact"/>
      </w:pPr>
      <w:r>
        <w:t xml:space="preserve">登录验证</w:t>
      </w:r>
    </w:p>
    <w:p>
      <w:pPr>
        <w:numPr>
          <w:ilvl w:val="0"/>
          <w:numId w:val="1004"/>
        </w:numPr>
        <w:pStyle w:val="Compact"/>
      </w:pPr>
      <w:r>
        <w:t xml:space="preserve">查询余额</w:t>
      </w:r>
    </w:p>
    <w:p>
      <w:pPr>
        <w:numPr>
          <w:ilvl w:val="0"/>
          <w:numId w:val="1004"/>
        </w:numPr>
        <w:pStyle w:val="Compact"/>
      </w:pPr>
      <w:r>
        <w:t xml:space="preserve">取款</w:t>
      </w:r>
    </w:p>
    <w:p>
      <w:pPr>
        <w:numPr>
          <w:ilvl w:val="0"/>
          <w:numId w:val="1004"/>
        </w:numPr>
        <w:pStyle w:val="Compact"/>
      </w:pPr>
      <w:r>
        <w:t xml:space="preserve">存款</w:t>
      </w:r>
    </w:p>
    <w:p>
      <w:pPr>
        <w:numPr>
          <w:ilvl w:val="0"/>
          <w:numId w:val="1004"/>
        </w:numPr>
        <w:pStyle w:val="Compact"/>
      </w:pPr>
      <w:r>
        <w:t xml:space="preserve">转账</w:t>
      </w:r>
    </w:p>
    <w:p>
      <w:pPr>
        <w:numPr>
          <w:ilvl w:val="0"/>
          <w:numId w:val="1004"/>
        </w:numPr>
        <w:pStyle w:val="Compact"/>
      </w:pPr>
      <w:r>
        <w:t xml:space="preserve">修改密码</w:t>
      </w:r>
    </w:p>
    <w:p>
      <w:pPr>
        <w:numPr>
          <w:ilvl w:val="0"/>
          <w:numId w:val="1004"/>
        </w:numPr>
        <w:pStyle w:val="Compact"/>
      </w:pPr>
      <w:r>
        <w:t xml:space="preserve">打印凭条</w:t>
      </w:r>
    </w:p>
    <w:p>
      <w:pPr>
        <w:numPr>
          <w:ilvl w:val="0"/>
          <w:numId w:val="1004"/>
        </w:numPr>
        <w:pStyle w:val="Compact"/>
      </w:pPr>
      <w:r>
        <w:t xml:space="preserve">退卡</w:t>
      </w:r>
    </w:p>
    <w:bookmarkEnd w:id="23"/>
    <w:bookmarkStart w:id="24" w:name="银行核心系统"/>
    <w:p>
      <w:pPr>
        <w:pStyle w:val="Heading4"/>
      </w:pPr>
      <w:r>
        <w:t xml:space="preserve">1.2.2 银行核心系统</w:t>
      </w:r>
    </w:p>
    <w:p>
      <w:pPr>
        <w:pStyle w:val="FirstParagraph"/>
      </w:pPr>
      <w:r>
        <w:t xml:space="preserve">银行核心系统是 ATM 系统的重要外部支撑参与者，不直接操作 ATM 界面，但为 ATM 提供关键业务数据和校验能力，主要承担以下职责：</w:t>
      </w:r>
    </w:p>
    <w:p>
      <w:pPr>
        <w:numPr>
          <w:ilvl w:val="0"/>
          <w:numId w:val="1005"/>
        </w:numPr>
        <w:pStyle w:val="Compact"/>
      </w:pPr>
      <w:r>
        <w:t xml:space="preserve">校验银行卡和密码是否合法</w:t>
      </w:r>
    </w:p>
    <w:p>
      <w:pPr>
        <w:numPr>
          <w:ilvl w:val="0"/>
          <w:numId w:val="1005"/>
        </w:numPr>
        <w:pStyle w:val="Compact"/>
      </w:pPr>
      <w:r>
        <w:t xml:space="preserve">提供账户信息与余额信息</w:t>
      </w:r>
    </w:p>
    <w:p>
      <w:pPr>
        <w:numPr>
          <w:ilvl w:val="0"/>
          <w:numId w:val="1005"/>
        </w:numPr>
        <w:pStyle w:val="Compact"/>
      </w:pPr>
      <w:r>
        <w:t xml:space="preserve">支持取款、存款、转账等交易处理</w:t>
      </w:r>
    </w:p>
    <w:p>
      <w:pPr>
        <w:numPr>
          <w:ilvl w:val="0"/>
          <w:numId w:val="1005"/>
        </w:numPr>
        <w:pStyle w:val="Compact"/>
      </w:pPr>
      <w:r>
        <w:t xml:space="preserve">记录交易流水</w:t>
      </w:r>
    </w:p>
    <w:p>
      <w:pPr>
        <w:numPr>
          <w:ilvl w:val="0"/>
          <w:numId w:val="1005"/>
        </w:numPr>
        <w:pStyle w:val="Compact"/>
      </w:pPr>
      <w:r>
        <w:t xml:space="preserve">返回业务处理结果</w:t>
      </w:r>
    </w:p>
    <w:bookmarkEnd w:id="24"/>
    <w:bookmarkStart w:id="25" w:name="atm-设备"/>
    <w:p>
      <w:pPr>
        <w:pStyle w:val="Heading4"/>
      </w:pPr>
      <w:r>
        <w:t xml:space="preserve">1.2.3 ATM 设备</w:t>
      </w:r>
    </w:p>
    <w:p>
      <w:pPr>
        <w:pStyle w:val="FirstParagraph"/>
      </w:pPr>
      <w:r>
        <w:t xml:space="preserve">ATM 设备作为业务承载终端，负责连接客户操作和后台服务，其职责包括：</w:t>
      </w:r>
    </w:p>
    <w:p>
      <w:pPr>
        <w:numPr>
          <w:ilvl w:val="0"/>
          <w:numId w:val="1006"/>
        </w:numPr>
        <w:pStyle w:val="Compact"/>
      </w:pPr>
      <w:r>
        <w:t xml:space="preserve">接收客户输入</w:t>
      </w:r>
    </w:p>
    <w:p>
      <w:pPr>
        <w:numPr>
          <w:ilvl w:val="0"/>
          <w:numId w:val="1006"/>
        </w:numPr>
        <w:pStyle w:val="Compact"/>
      </w:pPr>
      <w:r>
        <w:t xml:space="preserve">展示业务菜单和处理结果</w:t>
      </w:r>
    </w:p>
    <w:p>
      <w:pPr>
        <w:numPr>
          <w:ilvl w:val="0"/>
          <w:numId w:val="1006"/>
        </w:numPr>
        <w:pStyle w:val="Compact"/>
      </w:pPr>
      <w:r>
        <w:t xml:space="preserve">吐钞</w:t>
      </w:r>
    </w:p>
    <w:p>
      <w:pPr>
        <w:numPr>
          <w:ilvl w:val="0"/>
          <w:numId w:val="1006"/>
        </w:numPr>
        <w:pStyle w:val="Compact"/>
      </w:pPr>
      <w:r>
        <w:t xml:space="preserve">打印凭条</w:t>
      </w:r>
    </w:p>
    <w:p>
      <w:pPr>
        <w:numPr>
          <w:ilvl w:val="0"/>
          <w:numId w:val="1006"/>
        </w:numPr>
        <w:pStyle w:val="Compact"/>
      </w:pPr>
      <w:r>
        <w:t xml:space="preserve">退卡</w:t>
      </w:r>
    </w:p>
    <w:p>
      <w:pPr>
        <w:numPr>
          <w:ilvl w:val="0"/>
          <w:numId w:val="1006"/>
        </w:numPr>
        <w:pStyle w:val="Compact"/>
      </w:pPr>
      <w:r>
        <w:t xml:space="preserve">反馈设备状态</w:t>
      </w:r>
    </w:p>
    <w:p>
      <w:pPr>
        <w:pStyle w:val="FirstParagraph"/>
      </w:pPr>
      <w:r>
        <w:t xml:space="preserve">在用例分析中，ATM 设备通常作为系统边界的一部分，因此本章重点将其作为系统运行环境进行说明。</w:t>
      </w:r>
    </w:p>
    <w:bookmarkEnd w:id="25"/>
    <w:bookmarkStart w:id="26" w:name="管理员可选参与者"/>
    <w:p>
      <w:pPr>
        <w:pStyle w:val="Heading4"/>
      </w:pPr>
      <w:r>
        <w:t xml:space="preserve">1.2.4 管理员（可选参与者）</w:t>
      </w:r>
    </w:p>
    <w:p>
      <w:pPr>
        <w:pStyle w:val="FirstParagraph"/>
      </w:pPr>
      <w:r>
        <w:t xml:space="preserve">在课程作业的扩展场景中，可将管理员作为次要参与者，负责设备状态检查、日志查看和系统维护。但在本次初始阶段中，管理员不作为核心业务建模对象，仅保留为可扩展角色。</w:t>
      </w:r>
    </w:p>
    <w:bookmarkEnd w:id="26"/>
    <w:bookmarkEnd w:id="27"/>
    <w:bookmarkStart w:id="28" w:name="系统边界与功能范围"/>
    <w:p>
      <w:pPr>
        <w:pStyle w:val="Heading3"/>
      </w:pPr>
      <w:r>
        <w:t xml:space="preserve">1.3 系统边界与功能范围</w:t>
      </w:r>
    </w:p>
    <w:p>
      <w:pPr>
        <w:pStyle w:val="FirstParagraph"/>
      </w:pPr>
      <w:r>
        <w:t xml:space="preserve">根据作业方案，ATM 系统边界可定义为“客户通过 ATM 前端与系统交互，系统调用后台服务和数据库完成认证、账户处理与交易处理，并返回结果”。</w:t>
      </w:r>
    </w:p>
    <w:p>
      <w:pPr>
        <w:pStyle w:val="BodyText"/>
      </w:pPr>
      <w:r>
        <w:t xml:space="preserve">本系统当前纳入分析范围的功能包括：</w:t>
      </w:r>
    </w:p>
    <w:p>
      <w:pPr>
        <w:numPr>
          <w:ilvl w:val="0"/>
          <w:numId w:val="1007"/>
        </w:numPr>
        <w:pStyle w:val="Compact"/>
      </w:pPr>
      <w:r>
        <w:t xml:space="preserve">身份认证：插卡、输入密码、登录验证、退卡</w:t>
      </w:r>
    </w:p>
    <w:p>
      <w:pPr>
        <w:numPr>
          <w:ilvl w:val="0"/>
          <w:numId w:val="1007"/>
        </w:numPr>
        <w:pStyle w:val="Compact"/>
      </w:pPr>
      <w:r>
        <w:t xml:space="preserve">账户业务：查询余额、查询账户信息、修改密码</w:t>
      </w:r>
    </w:p>
    <w:p>
      <w:pPr>
        <w:numPr>
          <w:ilvl w:val="0"/>
          <w:numId w:val="1007"/>
        </w:numPr>
        <w:pStyle w:val="Compact"/>
      </w:pPr>
      <w:r>
        <w:t xml:space="preserve">交易业务：取款、存款、转账</w:t>
      </w:r>
    </w:p>
    <w:p>
      <w:pPr>
        <w:numPr>
          <w:ilvl w:val="0"/>
          <w:numId w:val="1007"/>
        </w:numPr>
        <w:pStyle w:val="Compact"/>
      </w:pPr>
      <w:r>
        <w:t xml:space="preserve">辅助业务：打印凭条、查询交易流水、设备状态检查</w:t>
      </w:r>
    </w:p>
    <w:p>
      <w:pPr>
        <w:pStyle w:val="FirstParagraph"/>
      </w:pPr>
      <w:r>
        <w:t xml:space="preserve">本课程项目不重点覆盖的内容包括：</w:t>
      </w:r>
    </w:p>
    <w:p>
      <w:pPr>
        <w:numPr>
          <w:ilvl w:val="0"/>
          <w:numId w:val="1008"/>
        </w:numPr>
        <w:pStyle w:val="Compact"/>
      </w:pPr>
      <w:r>
        <w:t xml:space="preserve">真实银行级密码加密体系</w:t>
      </w:r>
    </w:p>
    <w:p>
      <w:pPr>
        <w:numPr>
          <w:ilvl w:val="0"/>
          <w:numId w:val="1008"/>
        </w:numPr>
        <w:pStyle w:val="Compact"/>
      </w:pPr>
      <w:r>
        <w:t xml:space="preserve">跨行结算细节</w:t>
      </w:r>
    </w:p>
    <w:p>
      <w:pPr>
        <w:numPr>
          <w:ilvl w:val="0"/>
          <w:numId w:val="1008"/>
        </w:numPr>
        <w:pStyle w:val="Compact"/>
      </w:pPr>
      <w:r>
        <w:t xml:space="preserve">复杂风控策略</w:t>
      </w:r>
    </w:p>
    <w:p>
      <w:pPr>
        <w:numPr>
          <w:ilvl w:val="0"/>
          <w:numId w:val="1008"/>
        </w:numPr>
        <w:pStyle w:val="Compact"/>
      </w:pPr>
      <w:r>
        <w:t xml:space="preserve">生产级设备驱动与硬件通信协议</w:t>
      </w:r>
    </w:p>
    <w:p>
      <w:pPr>
        <w:pStyle w:val="FirstParagraph"/>
      </w:pPr>
      <w:r>
        <w:t xml:space="preserve">因此，本系统定位为一个适合课程分析设计与建模的 ATM 业务模拟系统。</w:t>
      </w:r>
    </w:p>
    <w:bookmarkEnd w:id="28"/>
    <w:bookmarkStart w:id="29" w:name="用例图"/>
    <w:p>
      <w:pPr>
        <w:pStyle w:val="Heading3"/>
      </w:pPr>
      <w:r>
        <w:t xml:space="preserve">1.4 用例图</w:t>
      </w:r>
    </w:p>
    <w:p>
      <w:pPr>
        <w:pStyle w:val="FirstParagraph"/>
      </w:pPr>
      <w:r>
        <w:t xml:space="preserve">根据初始阶段识别的参与者和功能范围，可得到 ATM 系统的总体用例关系如下：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C[客户]</w:t>
      </w:r>
      <w:r>
        <w:br/>
      </w:r>
      <w:r>
        <w:rPr>
          <w:rStyle w:val="VerbatimChar"/>
        </w:rPr>
        <w:t xml:space="preserve">    B[银行核心系统]</w:t>
      </w:r>
      <w:r>
        <w:br/>
      </w:r>
      <w:r>
        <w:rPr>
          <w:rStyle w:val="VerbatimChar"/>
        </w:rPr>
        <w:t xml:space="preserve">    A[ATM系统]</w:t>
      </w:r>
      <w:r>
        <w:br/>
      </w:r>
      <w:r>
        <w:br/>
      </w:r>
      <w:r>
        <w:rPr>
          <w:rStyle w:val="VerbatimChar"/>
        </w:rPr>
        <w:t xml:space="preserve">    C --&gt; UC1[登录/身份验证]</w:t>
      </w:r>
      <w:r>
        <w:br/>
      </w:r>
      <w:r>
        <w:rPr>
          <w:rStyle w:val="VerbatimChar"/>
        </w:rPr>
        <w:t xml:space="preserve">    C --&gt; UC2[查询余额]</w:t>
      </w:r>
      <w:r>
        <w:br/>
      </w:r>
      <w:r>
        <w:rPr>
          <w:rStyle w:val="VerbatimChar"/>
        </w:rPr>
        <w:t xml:space="preserve">    C --&gt; UC3[取款]</w:t>
      </w:r>
      <w:r>
        <w:br/>
      </w:r>
      <w:r>
        <w:rPr>
          <w:rStyle w:val="VerbatimChar"/>
        </w:rPr>
        <w:t xml:space="preserve">    C --&gt; UC4[存款]</w:t>
      </w:r>
      <w:r>
        <w:br/>
      </w:r>
      <w:r>
        <w:rPr>
          <w:rStyle w:val="VerbatimChar"/>
        </w:rPr>
        <w:t xml:space="preserve">    C --&gt; UC5[转账]</w:t>
      </w:r>
      <w:r>
        <w:br/>
      </w:r>
      <w:r>
        <w:rPr>
          <w:rStyle w:val="VerbatimChar"/>
        </w:rPr>
        <w:t xml:space="preserve">    C --&gt; UC6[修改密码]</w:t>
      </w:r>
      <w:r>
        <w:br/>
      </w:r>
      <w:r>
        <w:rPr>
          <w:rStyle w:val="VerbatimChar"/>
        </w:rPr>
        <w:t xml:space="preserve">    C --&gt; UC7[打印凭条]</w:t>
      </w:r>
      <w:r>
        <w:br/>
      </w:r>
      <w:r>
        <w:rPr>
          <w:rStyle w:val="VerbatimChar"/>
        </w:rPr>
        <w:t xml:space="preserve">    C --&gt; UC8[退卡]</w:t>
      </w:r>
      <w:r>
        <w:br/>
      </w:r>
      <w:r>
        <w:br/>
      </w:r>
      <w:r>
        <w:rPr>
          <w:rStyle w:val="VerbatimChar"/>
        </w:rPr>
        <w:t xml:space="preserve">    UC1 --&gt; B</w:t>
      </w:r>
      <w:r>
        <w:br/>
      </w:r>
      <w:r>
        <w:rPr>
          <w:rStyle w:val="VerbatimChar"/>
        </w:rPr>
        <w:t xml:space="preserve">    UC2 --&gt; B</w:t>
      </w:r>
      <w:r>
        <w:br/>
      </w:r>
      <w:r>
        <w:rPr>
          <w:rStyle w:val="VerbatimChar"/>
        </w:rPr>
        <w:t xml:space="preserve">    UC3 --&gt; B</w:t>
      </w:r>
      <w:r>
        <w:br/>
      </w:r>
      <w:r>
        <w:rPr>
          <w:rStyle w:val="VerbatimChar"/>
        </w:rPr>
        <w:t xml:space="preserve">    UC4 --&gt; B</w:t>
      </w:r>
      <w:r>
        <w:br/>
      </w:r>
      <w:r>
        <w:rPr>
          <w:rStyle w:val="VerbatimChar"/>
        </w:rPr>
        <w:t xml:space="preserve">    UC5 --&gt; B</w:t>
      </w:r>
      <w:r>
        <w:br/>
      </w:r>
      <w:r>
        <w:rPr>
          <w:rStyle w:val="VerbatimChar"/>
        </w:rPr>
        <w:t xml:space="preserve">    UC6 --&gt; B</w:t>
      </w:r>
      <w:r>
        <w:br/>
      </w:r>
      <w:r>
        <w:rPr>
          <w:rStyle w:val="VerbatimChar"/>
        </w:rPr>
        <w:t xml:space="preserve">    UC7 --&gt; B</w:t>
      </w:r>
    </w:p>
    <w:p>
      <w:pPr>
        <w:pStyle w:val="FirstParagraph"/>
      </w:pPr>
      <w:r>
        <w:t xml:space="preserve">由上图可见：</w:t>
      </w:r>
    </w:p>
    <w:p>
      <w:pPr>
        <w:numPr>
          <w:ilvl w:val="0"/>
          <w:numId w:val="1009"/>
        </w:numPr>
        <w:pStyle w:val="Compact"/>
      </w:pPr>
      <w:r>
        <w:t xml:space="preserve">客户是触发全部核心业务的直接参与者</w:t>
      </w:r>
    </w:p>
    <w:p>
      <w:pPr>
        <w:numPr>
          <w:ilvl w:val="0"/>
          <w:numId w:val="1009"/>
        </w:numPr>
        <w:pStyle w:val="Compact"/>
      </w:pPr>
      <w:r>
        <w:t xml:space="preserve">银行核心系统为认证、账户查询和交易处理提供支撑</w:t>
      </w:r>
    </w:p>
    <w:p>
      <w:pPr>
        <w:numPr>
          <w:ilvl w:val="0"/>
          <w:numId w:val="1009"/>
        </w:numPr>
        <w:pStyle w:val="Compact"/>
      </w:pPr>
      <w:r>
        <w:t xml:space="preserve">退卡属于 ATM 系统内部直接完成的终止型业务</w:t>
      </w:r>
    </w:p>
    <w:p>
      <w:pPr>
        <w:numPr>
          <w:ilvl w:val="0"/>
          <w:numId w:val="1009"/>
        </w:numPr>
        <w:pStyle w:val="Compact"/>
      </w:pPr>
      <w:r>
        <w:t xml:space="preserve">打印凭条与具体交易结果关联，属于交易后的辅助功能</w:t>
      </w:r>
    </w:p>
    <w:bookmarkEnd w:id="29"/>
    <w:bookmarkStart w:id="34" w:name="核心用例规约"/>
    <w:p>
      <w:pPr>
        <w:pStyle w:val="Heading3"/>
      </w:pPr>
      <w:r>
        <w:t xml:space="preserve">1.5 核心用例规约</w:t>
      </w:r>
    </w:p>
    <w:p>
      <w:pPr>
        <w:pStyle w:val="FirstParagraph"/>
      </w:pPr>
      <w:r>
        <w:t xml:space="preserve">结合初始化阶段的任务要求，本章选择“取款”</w:t>
      </w:r>
      <w:r>
        <w:t xml:space="preserve">“</w:t>
      </w:r>
      <w:r>
        <w:t xml:space="preserve">查询余额</w:t>
      </w:r>
      <w:r>
        <w:t xml:space="preserve">”</w:t>
      </w:r>
      <w:r>
        <w:t xml:space="preserve">“</w:t>
      </w:r>
      <w:r>
        <w:t xml:space="preserve">登录认证</w:t>
      </w:r>
      <w:r>
        <w:t xml:space="preserve">”</w:t>
      </w:r>
      <w:r>
        <w:t xml:space="preserve">三个代表性用例进行规约说明。这三个用例分别覆盖了交易类、查询类和认证类场景，能够支撑后续分析类图和顺序图的细化。</w:t>
      </w:r>
    </w:p>
    <w:bookmarkStart w:id="30" w:name="用例一登录认证"/>
    <w:p>
      <w:pPr>
        <w:pStyle w:val="Heading4"/>
      </w:pPr>
      <w:r>
        <w:t xml:space="preserve">1.5.1 用例一：登录认证</w:t>
      </w:r>
    </w:p>
    <w:p>
      <w:pPr>
        <w:numPr>
          <w:ilvl w:val="0"/>
          <w:numId w:val="1010"/>
        </w:numPr>
        <w:pStyle w:val="Compact"/>
      </w:pPr>
      <w:r>
        <w:t xml:space="preserve">用例名称：登录认证</w:t>
      </w:r>
    </w:p>
    <w:p>
      <w:pPr>
        <w:numPr>
          <w:ilvl w:val="0"/>
          <w:numId w:val="1010"/>
        </w:numPr>
        <w:pStyle w:val="Compact"/>
      </w:pPr>
      <w:r>
        <w:t xml:space="preserve">用例编号：SUC001</w:t>
      </w:r>
    </w:p>
    <w:p>
      <w:pPr>
        <w:numPr>
          <w:ilvl w:val="0"/>
          <w:numId w:val="1010"/>
        </w:numPr>
        <w:pStyle w:val="Compact"/>
      </w:pPr>
      <w:r>
        <w:t xml:space="preserve">参与者：客户</w:t>
      </w:r>
    </w:p>
    <w:p>
      <w:pPr>
        <w:numPr>
          <w:ilvl w:val="0"/>
          <w:numId w:val="1010"/>
        </w:numPr>
        <w:pStyle w:val="Compact"/>
      </w:pPr>
      <w:r>
        <w:t xml:space="preserve">前置条件：客户已持有有效银行卡，ATM 设备运行正常</w:t>
      </w:r>
    </w:p>
    <w:p>
      <w:pPr>
        <w:numPr>
          <w:ilvl w:val="0"/>
          <w:numId w:val="1010"/>
        </w:numPr>
        <w:pStyle w:val="Compact"/>
      </w:pPr>
      <w:r>
        <w:t xml:space="preserve">后置条件：系统建立有效会话，客户进入主菜单；若失败，则停留在登录流程</w:t>
      </w:r>
    </w:p>
    <w:p>
      <w:pPr>
        <w:numPr>
          <w:ilvl w:val="0"/>
          <w:numId w:val="1010"/>
        </w:numPr>
        <w:pStyle w:val="Compact"/>
      </w:pPr>
      <w:r>
        <w:t xml:space="preserve">用例简述：客户通过插卡和输入密码完成身份验证，登录 ATM 系统</w:t>
      </w:r>
    </w:p>
    <w:p>
      <w:pPr>
        <w:pStyle w:val="FirstParagraph"/>
      </w:pPr>
      <w:r>
        <w:t xml:space="preserve">主要流程：</w:t>
      </w:r>
    </w:p>
    <w:p>
      <w:pPr>
        <w:numPr>
          <w:ilvl w:val="0"/>
          <w:numId w:val="1011"/>
        </w:numPr>
        <w:pStyle w:val="Compact"/>
      </w:pPr>
      <w:r>
        <w:t xml:space="preserve">客户将银行卡插入 ATM。</w:t>
      </w:r>
    </w:p>
    <w:p>
      <w:pPr>
        <w:numPr>
          <w:ilvl w:val="0"/>
          <w:numId w:val="1011"/>
        </w:numPr>
        <w:pStyle w:val="Compact"/>
      </w:pPr>
      <w:r>
        <w:t xml:space="preserve">ATM 系统读取卡号信息并提示输入密码。</w:t>
      </w:r>
    </w:p>
    <w:p>
      <w:pPr>
        <w:numPr>
          <w:ilvl w:val="0"/>
          <w:numId w:val="1011"/>
        </w:numPr>
        <w:pStyle w:val="Compact"/>
      </w:pPr>
      <w:r>
        <w:t xml:space="preserve">客户输入密码。</w:t>
      </w:r>
    </w:p>
    <w:p>
      <w:pPr>
        <w:numPr>
          <w:ilvl w:val="0"/>
          <w:numId w:val="1011"/>
        </w:numPr>
        <w:pStyle w:val="Compact"/>
      </w:pPr>
      <w:r>
        <w:t xml:space="preserve">ATM 系统将卡号和密码提交给后台认证模块。</w:t>
      </w:r>
    </w:p>
    <w:p>
      <w:pPr>
        <w:numPr>
          <w:ilvl w:val="0"/>
          <w:numId w:val="1011"/>
        </w:numPr>
        <w:pStyle w:val="Compact"/>
      </w:pPr>
      <w:r>
        <w:t xml:space="preserve">认证模块调用银行核心系统或账户数据完成校验。</w:t>
      </w:r>
    </w:p>
    <w:p>
      <w:pPr>
        <w:numPr>
          <w:ilvl w:val="0"/>
          <w:numId w:val="1011"/>
        </w:numPr>
        <w:pStyle w:val="Compact"/>
      </w:pPr>
      <w:r>
        <w:t xml:space="preserve">系统返回认证成功结果。</w:t>
      </w:r>
    </w:p>
    <w:p>
      <w:pPr>
        <w:numPr>
          <w:ilvl w:val="0"/>
          <w:numId w:val="1011"/>
        </w:numPr>
        <w:pStyle w:val="Compact"/>
      </w:pPr>
      <w:r>
        <w:t xml:space="preserve">ATM 系统建立当前会话并显示主菜单。</w:t>
      </w:r>
    </w:p>
    <w:p>
      <w:pPr>
        <w:pStyle w:val="FirstParagraph"/>
      </w:pPr>
      <w:r>
        <w:t xml:space="preserve">替代流程：</w:t>
      </w:r>
    </w:p>
    <w:p>
      <w:pPr>
        <w:numPr>
          <w:ilvl w:val="0"/>
          <w:numId w:val="1012"/>
        </w:numPr>
        <w:pStyle w:val="Compact"/>
      </w:pPr>
      <w:r>
        <w:t xml:space="preserve">若银行卡状态异常，则系统提示该卡不可用。</w:t>
      </w:r>
    </w:p>
    <w:p>
      <w:pPr>
        <w:numPr>
          <w:ilvl w:val="0"/>
          <w:numId w:val="1012"/>
        </w:numPr>
        <w:pStyle w:val="Compact"/>
      </w:pPr>
      <w:r>
        <w:t xml:space="preserve">若密码错误，则系统提示重新输入。</w:t>
      </w:r>
    </w:p>
    <w:p>
      <w:pPr>
        <w:numPr>
          <w:ilvl w:val="0"/>
          <w:numId w:val="1012"/>
        </w:numPr>
        <w:pStyle w:val="Compact"/>
      </w:pPr>
      <w:r>
        <w:t xml:space="preserve">若连续多次输入错误，则系统可终止本次会话。</w:t>
      </w:r>
    </w:p>
    <w:p>
      <w:pPr>
        <w:numPr>
          <w:ilvl w:val="0"/>
          <w:numId w:val="1012"/>
        </w:numPr>
        <w:pStyle w:val="Compact"/>
      </w:pPr>
      <w:r>
        <w:t xml:space="preserve">若后台服务不可用，则系统提示暂时无法登录。</w:t>
      </w:r>
    </w:p>
    <w:p>
      <w:pPr>
        <w:pStyle w:val="FirstParagraph"/>
      </w:pPr>
      <w:r>
        <w:t xml:space="preserve">特殊要求：</w:t>
      </w:r>
    </w:p>
    <w:p>
      <w:pPr>
        <w:numPr>
          <w:ilvl w:val="0"/>
          <w:numId w:val="1013"/>
        </w:numPr>
        <w:pStyle w:val="Compact"/>
      </w:pPr>
      <w:r>
        <w:t xml:space="preserve">登录成功后应进入统一业务菜单</w:t>
      </w:r>
    </w:p>
    <w:p>
      <w:pPr>
        <w:numPr>
          <w:ilvl w:val="0"/>
          <w:numId w:val="1013"/>
        </w:numPr>
        <w:pStyle w:val="Compact"/>
      </w:pPr>
      <w:r>
        <w:t xml:space="preserve">登录失败不得暴露敏感认证信息</w:t>
      </w:r>
    </w:p>
    <w:p>
      <w:pPr>
        <w:numPr>
          <w:ilvl w:val="0"/>
          <w:numId w:val="1013"/>
        </w:numPr>
        <w:pStyle w:val="Compact"/>
      </w:pPr>
      <w:r>
        <w:t xml:space="preserve">会话建立后才能访问余额查询和交易功能</w:t>
      </w:r>
    </w:p>
    <w:bookmarkEnd w:id="30"/>
    <w:bookmarkStart w:id="31" w:name="用例二查询余额"/>
    <w:p>
      <w:pPr>
        <w:pStyle w:val="Heading4"/>
      </w:pPr>
      <w:r>
        <w:t xml:space="preserve">1.5.2 用例二：查询余额</w:t>
      </w:r>
    </w:p>
    <w:p>
      <w:pPr>
        <w:numPr>
          <w:ilvl w:val="0"/>
          <w:numId w:val="1014"/>
        </w:numPr>
        <w:pStyle w:val="Compact"/>
      </w:pPr>
      <w:r>
        <w:t xml:space="preserve">用例名称：查询余额</w:t>
      </w:r>
    </w:p>
    <w:p>
      <w:pPr>
        <w:numPr>
          <w:ilvl w:val="0"/>
          <w:numId w:val="1014"/>
        </w:numPr>
        <w:pStyle w:val="Compact"/>
      </w:pPr>
      <w:r>
        <w:t xml:space="preserve">用例编号：SUC002</w:t>
      </w:r>
    </w:p>
    <w:p>
      <w:pPr>
        <w:numPr>
          <w:ilvl w:val="0"/>
          <w:numId w:val="1014"/>
        </w:numPr>
        <w:pStyle w:val="Compact"/>
      </w:pPr>
      <w:r>
        <w:t xml:space="preserve">参与者：客户</w:t>
      </w:r>
    </w:p>
    <w:p>
      <w:pPr>
        <w:numPr>
          <w:ilvl w:val="0"/>
          <w:numId w:val="1014"/>
        </w:numPr>
        <w:pStyle w:val="Compact"/>
      </w:pPr>
      <w:r>
        <w:t xml:space="preserve">前置条件：客户已完成登录认证</w:t>
      </w:r>
    </w:p>
    <w:p>
      <w:pPr>
        <w:numPr>
          <w:ilvl w:val="0"/>
          <w:numId w:val="1014"/>
        </w:numPr>
        <w:pStyle w:val="Compact"/>
      </w:pPr>
      <w:r>
        <w:t xml:space="preserve">后置条件：系统展示当前账户余额信息</w:t>
      </w:r>
    </w:p>
    <w:p>
      <w:pPr>
        <w:numPr>
          <w:ilvl w:val="0"/>
          <w:numId w:val="1014"/>
        </w:numPr>
        <w:pStyle w:val="Compact"/>
      </w:pPr>
      <w:r>
        <w:t xml:space="preserve">用例简述：客户在 ATM 上查询当前账户可用余额</w:t>
      </w:r>
    </w:p>
    <w:p>
      <w:pPr>
        <w:pStyle w:val="FirstParagraph"/>
      </w:pPr>
      <w:r>
        <w:t xml:space="preserve">主要流程：</w:t>
      </w:r>
    </w:p>
    <w:p>
      <w:pPr>
        <w:numPr>
          <w:ilvl w:val="0"/>
          <w:numId w:val="1015"/>
        </w:numPr>
        <w:pStyle w:val="Compact"/>
      </w:pPr>
      <w:r>
        <w:t xml:space="preserve">客户在主菜单中选择“查询余额”。</w:t>
      </w:r>
    </w:p>
    <w:p>
      <w:pPr>
        <w:numPr>
          <w:ilvl w:val="0"/>
          <w:numId w:val="1015"/>
        </w:numPr>
        <w:pStyle w:val="Compact"/>
      </w:pPr>
      <w:r>
        <w:t xml:space="preserve">ATM 系统向账户服务发起余额查询请求。</w:t>
      </w:r>
    </w:p>
    <w:p>
      <w:pPr>
        <w:numPr>
          <w:ilvl w:val="0"/>
          <w:numId w:val="1015"/>
        </w:numPr>
        <w:pStyle w:val="Compact"/>
      </w:pPr>
      <w:r>
        <w:t xml:space="preserve">账户服务根据当前会话获取账户信息。</w:t>
      </w:r>
    </w:p>
    <w:p>
      <w:pPr>
        <w:numPr>
          <w:ilvl w:val="0"/>
          <w:numId w:val="1015"/>
        </w:numPr>
        <w:pStyle w:val="Compact"/>
      </w:pPr>
      <w:r>
        <w:t xml:space="preserve">系统读取账户余额数据。</w:t>
      </w:r>
    </w:p>
    <w:p>
      <w:pPr>
        <w:numPr>
          <w:ilvl w:val="0"/>
          <w:numId w:val="1015"/>
        </w:numPr>
        <w:pStyle w:val="Compact"/>
      </w:pPr>
      <w:r>
        <w:t xml:space="preserve">ATM 系统将余额结果展示给客户。</w:t>
      </w:r>
    </w:p>
    <w:p>
      <w:pPr>
        <w:numPr>
          <w:ilvl w:val="0"/>
          <w:numId w:val="1015"/>
        </w:numPr>
        <w:pStyle w:val="Compact"/>
      </w:pPr>
      <w:r>
        <w:t xml:space="preserve">客户可选择返回主菜单或结束操作。</w:t>
      </w:r>
    </w:p>
    <w:p>
      <w:pPr>
        <w:pStyle w:val="FirstParagraph"/>
      </w:pPr>
      <w:r>
        <w:t xml:space="preserve">替代流程：</w:t>
      </w:r>
    </w:p>
    <w:p>
      <w:pPr>
        <w:numPr>
          <w:ilvl w:val="0"/>
          <w:numId w:val="1016"/>
        </w:numPr>
        <w:pStyle w:val="Compact"/>
      </w:pPr>
      <w:r>
        <w:t xml:space="preserve">若会话失效，则系统提示重新登录。</w:t>
      </w:r>
    </w:p>
    <w:p>
      <w:pPr>
        <w:numPr>
          <w:ilvl w:val="0"/>
          <w:numId w:val="1016"/>
        </w:numPr>
        <w:pStyle w:val="Compact"/>
      </w:pPr>
      <w:r>
        <w:t xml:space="preserve">若账户信息不存在，则系统提示查询失败。</w:t>
      </w:r>
    </w:p>
    <w:p>
      <w:pPr>
        <w:numPr>
          <w:ilvl w:val="0"/>
          <w:numId w:val="1016"/>
        </w:numPr>
        <w:pStyle w:val="Compact"/>
      </w:pPr>
      <w:r>
        <w:t xml:space="preserve">若后台服务异常，则系统提示稍后重试。</w:t>
      </w:r>
    </w:p>
    <w:p>
      <w:pPr>
        <w:pStyle w:val="FirstParagraph"/>
      </w:pPr>
      <w:r>
        <w:t xml:space="preserve">业务规则：</w:t>
      </w:r>
    </w:p>
    <w:p>
      <w:pPr>
        <w:numPr>
          <w:ilvl w:val="0"/>
          <w:numId w:val="1017"/>
        </w:numPr>
        <w:pStyle w:val="Compact"/>
      </w:pPr>
      <w:r>
        <w:t xml:space="preserve">余额查询必须基于有效会话</w:t>
      </w:r>
    </w:p>
    <w:p>
      <w:pPr>
        <w:numPr>
          <w:ilvl w:val="0"/>
          <w:numId w:val="1017"/>
        </w:numPr>
        <w:pStyle w:val="Compact"/>
      </w:pPr>
      <w:r>
        <w:t xml:space="preserve">只允许查询当前登录账户的余额</w:t>
      </w:r>
    </w:p>
    <w:p>
      <w:pPr>
        <w:numPr>
          <w:ilvl w:val="0"/>
          <w:numId w:val="1017"/>
        </w:numPr>
        <w:pStyle w:val="Compact"/>
      </w:pPr>
      <w:r>
        <w:t xml:space="preserve">结果应以清晰金额格式展示</w:t>
      </w:r>
    </w:p>
    <w:bookmarkEnd w:id="31"/>
    <w:bookmarkStart w:id="32" w:name="用例三取款"/>
    <w:p>
      <w:pPr>
        <w:pStyle w:val="Heading4"/>
      </w:pPr>
      <w:r>
        <w:t xml:space="preserve">1.5.3 用例三：取款</w:t>
      </w:r>
    </w:p>
    <w:p>
      <w:pPr>
        <w:numPr>
          <w:ilvl w:val="0"/>
          <w:numId w:val="1018"/>
        </w:numPr>
        <w:pStyle w:val="Compact"/>
      </w:pPr>
      <w:r>
        <w:t xml:space="preserve">用例名称：取款</w:t>
      </w:r>
    </w:p>
    <w:p>
      <w:pPr>
        <w:numPr>
          <w:ilvl w:val="0"/>
          <w:numId w:val="1018"/>
        </w:numPr>
        <w:pStyle w:val="Compact"/>
      </w:pPr>
      <w:r>
        <w:t xml:space="preserve">用例编号：SUC003</w:t>
      </w:r>
    </w:p>
    <w:p>
      <w:pPr>
        <w:numPr>
          <w:ilvl w:val="0"/>
          <w:numId w:val="1018"/>
        </w:numPr>
        <w:pStyle w:val="Compact"/>
      </w:pPr>
      <w:r>
        <w:t xml:space="preserve">参与者：客户</w:t>
      </w:r>
    </w:p>
    <w:p>
      <w:pPr>
        <w:numPr>
          <w:ilvl w:val="0"/>
          <w:numId w:val="1018"/>
        </w:numPr>
        <w:pStyle w:val="Compact"/>
      </w:pPr>
      <w:r>
        <w:t xml:space="preserve">前置条件：客户已完成登录认证，账户状态正常，ATM 设备现金充足</w:t>
      </w:r>
    </w:p>
    <w:p>
      <w:pPr>
        <w:numPr>
          <w:ilvl w:val="0"/>
          <w:numId w:val="1018"/>
        </w:numPr>
        <w:pStyle w:val="Compact"/>
      </w:pPr>
      <w:r>
        <w:t xml:space="preserve">后置条件：账户余额被扣减，系统生成交易记录，并可选择打印凭条</w:t>
      </w:r>
    </w:p>
    <w:p>
      <w:pPr>
        <w:numPr>
          <w:ilvl w:val="0"/>
          <w:numId w:val="1018"/>
        </w:numPr>
        <w:pStyle w:val="Compact"/>
      </w:pPr>
      <w:r>
        <w:t xml:space="preserve">用例简述：客户在 ATM 上输入取款金额，系统校验通过后完成扣款和吐钞</w:t>
      </w:r>
    </w:p>
    <w:p>
      <w:pPr>
        <w:pStyle w:val="FirstParagraph"/>
      </w:pPr>
      <w:r>
        <w:t xml:space="preserve">主要流程：</w:t>
      </w:r>
    </w:p>
    <w:p>
      <w:pPr>
        <w:numPr>
          <w:ilvl w:val="0"/>
          <w:numId w:val="1019"/>
        </w:numPr>
        <w:pStyle w:val="Compact"/>
      </w:pPr>
      <w:r>
        <w:t xml:space="preserve">客户登录系统并进入主菜单。</w:t>
      </w:r>
    </w:p>
    <w:p>
      <w:pPr>
        <w:numPr>
          <w:ilvl w:val="0"/>
          <w:numId w:val="1019"/>
        </w:numPr>
        <w:pStyle w:val="Compact"/>
      </w:pPr>
      <w:r>
        <w:t xml:space="preserve">客户选择“取款”功能。</w:t>
      </w:r>
    </w:p>
    <w:p>
      <w:pPr>
        <w:numPr>
          <w:ilvl w:val="0"/>
          <w:numId w:val="1019"/>
        </w:numPr>
        <w:pStyle w:val="Compact"/>
      </w:pPr>
      <w:r>
        <w:t xml:space="preserve">ATM 系统提示客户输入取款金额。</w:t>
      </w:r>
    </w:p>
    <w:p>
      <w:pPr>
        <w:numPr>
          <w:ilvl w:val="0"/>
          <w:numId w:val="1019"/>
        </w:numPr>
        <w:pStyle w:val="Compact"/>
      </w:pPr>
      <w:r>
        <w:t xml:space="preserve">客户输入金额并确认。</w:t>
      </w:r>
    </w:p>
    <w:p>
      <w:pPr>
        <w:numPr>
          <w:ilvl w:val="0"/>
          <w:numId w:val="1019"/>
        </w:numPr>
        <w:pStyle w:val="Compact"/>
      </w:pPr>
      <w:r>
        <w:t xml:space="preserve">系统校验金额格式和取款规则。</w:t>
      </w:r>
    </w:p>
    <w:p>
      <w:pPr>
        <w:numPr>
          <w:ilvl w:val="0"/>
          <w:numId w:val="1019"/>
        </w:numPr>
        <w:pStyle w:val="Compact"/>
      </w:pPr>
      <w:r>
        <w:t xml:space="preserve">系统校验账户余额是否充足。</w:t>
      </w:r>
    </w:p>
    <w:p>
      <w:pPr>
        <w:numPr>
          <w:ilvl w:val="0"/>
          <w:numId w:val="1019"/>
        </w:numPr>
        <w:pStyle w:val="Compact"/>
      </w:pPr>
      <w:r>
        <w:t xml:space="preserve">系统校验 ATM 当前现金是否充足。</w:t>
      </w:r>
    </w:p>
    <w:p>
      <w:pPr>
        <w:numPr>
          <w:ilvl w:val="0"/>
          <w:numId w:val="1019"/>
        </w:numPr>
        <w:pStyle w:val="Compact"/>
      </w:pPr>
      <w:r>
        <w:t xml:space="preserve">系统完成账户扣款。</w:t>
      </w:r>
    </w:p>
    <w:p>
      <w:pPr>
        <w:numPr>
          <w:ilvl w:val="0"/>
          <w:numId w:val="1019"/>
        </w:numPr>
        <w:pStyle w:val="Compact"/>
      </w:pPr>
      <w:r>
        <w:t xml:space="preserve">ATM 执行吐钞。</w:t>
      </w:r>
    </w:p>
    <w:p>
      <w:pPr>
        <w:numPr>
          <w:ilvl w:val="0"/>
          <w:numId w:val="1019"/>
        </w:numPr>
        <w:pStyle w:val="Compact"/>
      </w:pPr>
      <w:r>
        <w:t xml:space="preserve">系统记录交易流水。</w:t>
      </w:r>
    </w:p>
    <w:p>
      <w:pPr>
        <w:numPr>
          <w:ilvl w:val="0"/>
          <w:numId w:val="1019"/>
        </w:numPr>
        <w:pStyle w:val="Compact"/>
      </w:pPr>
      <w:r>
        <w:t xml:space="preserve">系统提示是否打印凭条。</w:t>
      </w:r>
    </w:p>
    <w:p>
      <w:pPr>
        <w:numPr>
          <w:ilvl w:val="0"/>
          <w:numId w:val="1019"/>
        </w:numPr>
        <w:pStyle w:val="Compact"/>
      </w:pPr>
      <w:r>
        <w:t xml:space="preserve">客户选择打印凭条或直接返回菜单。</w:t>
      </w:r>
    </w:p>
    <w:p>
      <w:pPr>
        <w:pStyle w:val="FirstParagraph"/>
      </w:pPr>
      <w:r>
        <w:t xml:space="preserve">替代流程：</w:t>
      </w:r>
    </w:p>
    <w:p>
      <w:pPr>
        <w:numPr>
          <w:ilvl w:val="0"/>
          <w:numId w:val="1020"/>
        </w:numPr>
        <w:pStyle w:val="Compact"/>
      </w:pPr>
      <w:r>
        <w:t xml:space="preserve">若金额不合法，则系统提示重新输入。</w:t>
      </w:r>
    </w:p>
    <w:p>
      <w:pPr>
        <w:numPr>
          <w:ilvl w:val="0"/>
          <w:numId w:val="1020"/>
        </w:numPr>
        <w:pStyle w:val="Compact"/>
      </w:pPr>
      <w:r>
        <w:t xml:space="preserve">若余额不足，则系统提示交易失败。</w:t>
      </w:r>
    </w:p>
    <w:p>
      <w:pPr>
        <w:numPr>
          <w:ilvl w:val="0"/>
          <w:numId w:val="1020"/>
        </w:numPr>
        <w:pStyle w:val="Compact"/>
      </w:pPr>
      <w:r>
        <w:t xml:space="preserve">若 ATM 现金不足，则系统提示暂时无法完成取款。</w:t>
      </w:r>
    </w:p>
    <w:p>
      <w:pPr>
        <w:numPr>
          <w:ilvl w:val="0"/>
          <w:numId w:val="1020"/>
        </w:numPr>
        <w:pStyle w:val="Compact"/>
      </w:pPr>
      <w:r>
        <w:t xml:space="preserve">若交易处理过程中发生异常，则系统回滚交易并提示失败。</w:t>
      </w:r>
    </w:p>
    <w:p>
      <w:pPr>
        <w:pStyle w:val="FirstParagraph"/>
      </w:pPr>
      <w:r>
        <w:t xml:space="preserve">业务规则：</w:t>
      </w:r>
    </w:p>
    <w:p>
      <w:pPr>
        <w:numPr>
          <w:ilvl w:val="0"/>
          <w:numId w:val="1021"/>
        </w:numPr>
        <w:pStyle w:val="Compact"/>
      </w:pPr>
      <w:r>
        <w:t xml:space="preserve">取款金额必须满足 ATM 业务金额规则</w:t>
      </w:r>
    </w:p>
    <w:p>
      <w:pPr>
        <w:numPr>
          <w:ilvl w:val="0"/>
          <w:numId w:val="1021"/>
        </w:numPr>
        <w:pStyle w:val="Compact"/>
      </w:pPr>
      <w:r>
        <w:t xml:space="preserve">账户余额不足时不得扣款</w:t>
      </w:r>
    </w:p>
    <w:p>
      <w:pPr>
        <w:numPr>
          <w:ilvl w:val="0"/>
          <w:numId w:val="1021"/>
        </w:numPr>
        <w:pStyle w:val="Compact"/>
      </w:pPr>
      <w:r>
        <w:t xml:space="preserve">吐钞前必须保证扣款成功</w:t>
      </w:r>
    </w:p>
    <w:p>
      <w:pPr>
        <w:numPr>
          <w:ilvl w:val="0"/>
          <w:numId w:val="1021"/>
        </w:numPr>
        <w:pStyle w:val="Compact"/>
      </w:pPr>
      <w:r>
        <w:t xml:space="preserve">交易完成后必须记录流水</w:t>
      </w:r>
    </w:p>
    <w:bookmarkEnd w:id="32"/>
    <w:bookmarkStart w:id="33" w:name="用例四转账"/>
    <w:p>
      <w:pPr>
        <w:pStyle w:val="Heading4"/>
      </w:pPr>
      <w:r>
        <w:t xml:space="preserve">1.5.4 用例四：转账</w:t>
      </w:r>
    </w:p>
    <w:p>
      <w:pPr>
        <w:numPr>
          <w:ilvl w:val="0"/>
          <w:numId w:val="1022"/>
        </w:numPr>
        <w:pStyle w:val="Compact"/>
      </w:pPr>
      <w:r>
        <w:t xml:space="preserve">用例名称：转账</w:t>
      </w:r>
    </w:p>
    <w:p>
      <w:pPr>
        <w:numPr>
          <w:ilvl w:val="0"/>
          <w:numId w:val="1022"/>
        </w:numPr>
        <w:pStyle w:val="Compact"/>
      </w:pPr>
      <w:r>
        <w:t xml:space="preserve">用例编号：SUC004</w:t>
      </w:r>
    </w:p>
    <w:p>
      <w:pPr>
        <w:numPr>
          <w:ilvl w:val="0"/>
          <w:numId w:val="1022"/>
        </w:numPr>
        <w:pStyle w:val="Compact"/>
      </w:pPr>
      <w:r>
        <w:t xml:space="preserve">参与者：客户</w:t>
      </w:r>
    </w:p>
    <w:p>
      <w:pPr>
        <w:numPr>
          <w:ilvl w:val="0"/>
          <w:numId w:val="1022"/>
        </w:numPr>
        <w:pStyle w:val="Compact"/>
      </w:pPr>
      <w:r>
        <w:t xml:space="preserve">前置条件：客户已完成登录认证</w:t>
      </w:r>
    </w:p>
    <w:p>
      <w:pPr>
        <w:numPr>
          <w:ilvl w:val="0"/>
          <w:numId w:val="1022"/>
        </w:numPr>
        <w:pStyle w:val="Compact"/>
      </w:pPr>
      <w:r>
        <w:t xml:space="preserve">后置条件：转出账户扣款成功，目标账户入账成功，系统记录交易流水</w:t>
      </w:r>
    </w:p>
    <w:p>
      <w:pPr>
        <w:numPr>
          <w:ilvl w:val="0"/>
          <w:numId w:val="1022"/>
        </w:numPr>
        <w:pStyle w:val="Compact"/>
      </w:pPr>
      <w:r>
        <w:t xml:space="preserve">用例简述：客户通过 ATM 向其他账户发起转账</w:t>
      </w:r>
    </w:p>
    <w:p>
      <w:pPr>
        <w:pStyle w:val="FirstParagraph"/>
      </w:pPr>
      <w:r>
        <w:t xml:space="preserve">主要流程：</w:t>
      </w:r>
    </w:p>
    <w:p>
      <w:pPr>
        <w:numPr>
          <w:ilvl w:val="0"/>
          <w:numId w:val="1023"/>
        </w:numPr>
        <w:pStyle w:val="Compact"/>
      </w:pPr>
      <w:r>
        <w:t xml:space="preserve">客户登录后选择“转账”功能。</w:t>
      </w:r>
    </w:p>
    <w:p>
      <w:pPr>
        <w:numPr>
          <w:ilvl w:val="0"/>
          <w:numId w:val="1023"/>
        </w:numPr>
        <w:pStyle w:val="Compact"/>
      </w:pPr>
      <w:r>
        <w:t xml:space="preserve">输入目标账户和转账金额。</w:t>
      </w:r>
    </w:p>
    <w:p>
      <w:pPr>
        <w:numPr>
          <w:ilvl w:val="0"/>
          <w:numId w:val="1023"/>
        </w:numPr>
        <w:pStyle w:val="Compact"/>
      </w:pPr>
      <w:r>
        <w:t xml:space="preserve">系统校验目标账户是否存在。</w:t>
      </w:r>
    </w:p>
    <w:p>
      <w:pPr>
        <w:numPr>
          <w:ilvl w:val="0"/>
          <w:numId w:val="1023"/>
        </w:numPr>
        <w:pStyle w:val="Compact"/>
      </w:pPr>
      <w:r>
        <w:t xml:space="preserve">系统校验当前账户余额是否充足。</w:t>
      </w:r>
    </w:p>
    <w:p>
      <w:pPr>
        <w:numPr>
          <w:ilvl w:val="0"/>
          <w:numId w:val="1023"/>
        </w:numPr>
        <w:pStyle w:val="Compact"/>
      </w:pPr>
      <w:r>
        <w:t xml:space="preserve">系统执行扣款和目标账户入账。</w:t>
      </w:r>
    </w:p>
    <w:p>
      <w:pPr>
        <w:numPr>
          <w:ilvl w:val="0"/>
          <w:numId w:val="1023"/>
        </w:numPr>
        <w:pStyle w:val="Compact"/>
      </w:pPr>
      <w:r>
        <w:t xml:space="preserve">系统记录交易流水。</w:t>
      </w:r>
    </w:p>
    <w:p>
      <w:pPr>
        <w:numPr>
          <w:ilvl w:val="0"/>
          <w:numId w:val="1023"/>
        </w:numPr>
        <w:pStyle w:val="Compact"/>
      </w:pPr>
      <w:r>
        <w:t xml:space="preserve">系统提示转账成功，并可选择打印凭条。</w:t>
      </w:r>
    </w:p>
    <w:p>
      <w:pPr>
        <w:pStyle w:val="FirstParagraph"/>
      </w:pPr>
      <w:r>
        <w:t xml:space="preserve">替代流程：</w:t>
      </w:r>
    </w:p>
    <w:p>
      <w:pPr>
        <w:numPr>
          <w:ilvl w:val="0"/>
          <w:numId w:val="1024"/>
        </w:numPr>
        <w:pStyle w:val="Compact"/>
      </w:pPr>
      <w:r>
        <w:t xml:space="preserve">目标账户不存在，系统提示失败。</w:t>
      </w:r>
    </w:p>
    <w:p>
      <w:pPr>
        <w:numPr>
          <w:ilvl w:val="0"/>
          <w:numId w:val="1024"/>
        </w:numPr>
        <w:pStyle w:val="Compact"/>
      </w:pPr>
      <w:r>
        <w:t xml:space="preserve">当前账户余额不足，系统提示失败。</w:t>
      </w:r>
    </w:p>
    <w:p>
      <w:pPr>
        <w:numPr>
          <w:ilvl w:val="0"/>
          <w:numId w:val="1024"/>
        </w:numPr>
        <w:pStyle w:val="Compact"/>
      </w:pPr>
      <w:r>
        <w:t xml:space="preserve">后台处理异常，系统提示转账失败。</w:t>
      </w:r>
    </w:p>
    <w:bookmarkEnd w:id="33"/>
    <w:bookmarkEnd w:id="34"/>
    <w:bookmarkStart w:id="35" w:name="本章小结"/>
    <w:p>
      <w:pPr>
        <w:pStyle w:val="Heading3"/>
      </w:pPr>
      <w:r>
        <w:t xml:space="preserve">1.6 本章小结</w:t>
      </w:r>
    </w:p>
    <w:p>
      <w:pPr>
        <w:pStyle w:val="FirstParagraph"/>
      </w:pPr>
      <w:r>
        <w:t xml:space="preserve">本章完成了 ATM 系统初始阶段的需求分析基础工作，主要包括：</w:t>
      </w:r>
    </w:p>
    <w:p>
      <w:pPr>
        <w:numPr>
          <w:ilvl w:val="0"/>
          <w:numId w:val="1025"/>
        </w:numPr>
        <w:pStyle w:val="Compact"/>
      </w:pPr>
      <w:r>
        <w:t xml:space="preserve">明确系统背景、建设目标和项目边界</w:t>
      </w:r>
    </w:p>
    <w:p>
      <w:pPr>
        <w:numPr>
          <w:ilvl w:val="0"/>
          <w:numId w:val="1025"/>
        </w:numPr>
        <w:pStyle w:val="Compact"/>
      </w:pPr>
      <w:r>
        <w:t xml:space="preserve">识别客户、银行核心系统等主要参与者</w:t>
      </w:r>
    </w:p>
    <w:p>
      <w:pPr>
        <w:numPr>
          <w:ilvl w:val="0"/>
          <w:numId w:val="1025"/>
        </w:numPr>
        <w:pStyle w:val="Compact"/>
      </w:pPr>
      <w:r>
        <w:t xml:space="preserve">建立 ATM 系统总体用例图</w:t>
      </w:r>
    </w:p>
    <w:p>
      <w:pPr>
        <w:numPr>
          <w:ilvl w:val="0"/>
          <w:numId w:val="1025"/>
        </w:numPr>
        <w:pStyle w:val="Compact"/>
      </w:pPr>
      <w:r>
        <w:t xml:space="preserve">对登录认证、查询余额、取款、转账等核心用例进行了规约</w:t>
      </w:r>
    </w:p>
    <w:p>
      <w:pPr>
        <w:pStyle w:val="FirstParagraph"/>
      </w:pPr>
      <w:r>
        <w:t xml:space="preserve">这些内容构成了后续细化迭代的分析基础。下一章将在此基础上继续细化分析类图、活动图和顺序图，并推动系统从需求分析进入结构化设计与实现阶段。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2026-03-21T05:32:15Z</dcterms:created>
  <dcterms:modified xsi:type="dcterms:W3CDTF">2026-03-21T05:32:15Z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