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rPr>
          <w:color w:val="000000"/>
        </w:rPr>
        <w:t>EzQuote 使用指南</w:t>
      </w:r>
    </w:p>
    <w:p>
      <w:pPr>
        <w:pStyle w:val="Subtitle"/>
        <w:snapToGrid w:val="0"/>
      </w:pPr>
      <w:r>
        <w:rPr>
          <w:color w:val="000000"/>
        </w:rPr>
        <w:t>Windows 队友试用 无 API</w:t>
      </w:r>
    </w:p>
    <w:p>
      <w:pPr>
        <w:keepLines/>
        <w:snapToGrid w:val="0"/>
      </w:pPr>
      <w:r>
        <w:t>本指南适用 1.6.1：深绿侧栏与薄荷绿报价卡。员工核对后提交，老板批准后准备 PDF 和回复；窄屏自动使用顶部导航，操作流程保持四步。</w:t>
      </w:r>
    </w:p>
    <w:p>
      <w:pPr>
        <w:pStyle w:val="Heading1"/>
        <w:snapToGrid w:val="0"/>
      </w:pPr>
      <w:r>
        <w:rPr>
          <w:color w:val="000000"/>
        </w:rPr>
        <w:t>一 更新和启动</w:t>
      </w:r>
    </w:p>
    <w:p>
      <w:pPr>
        <w:keepLines/>
        <w:ind w:left="288" w:hanging="288"/>
        <w:snapToGrid w:val="0"/>
      </w:pPr>
      <w:r>
        <w:t>1. 旧用户先 Ctrl+C 停服务并备份项目。把新版文件复制到原项目并替换，保留 data 和 .venv。新用户完整解压新包。</w:t>
      </w:r>
    </w:p>
    <w:p>
      <w:pPr>
        <w:keepLines/>
        <w:ind w:left="288" w:hanging="288"/>
        <w:snapToGrid w:val="0"/>
      </w:pPr>
      <w:r>
        <w:rPr>
          <w:b/>
        </w:rPr>
        <w:t>2. 需要 Python 3.10+，推荐 3.12。在 run.py 所在文件夹地址栏输入 cmd，运行 python run.py，保持窗口打开。</w:t>
      </w:r>
      <w:r/>
      <w:r>
        <w:t xml:space="preserve"> 若提示端口占用，先关旧服务再启动。</w:t>
      </w:r>
    </w:p>
    <w:p>
      <w:pPr>
        <w:keepLines/>
        <w:ind w:left="288" w:hanging="288"/>
        <w:snapToGrid w:val="0"/>
      </w:pPr>
      <w:r>
        <w:rPr>
          <w:b/>
        </w:rPr>
        <w:t>3. 打开 http://127.0.0.1:8765/。旧用户用原账号；新用户设置店名及不同的老板、员工密码。账号为 boss、staff。</w:t>
      </w:r>
      <w:r/>
    </w:p>
    <w:p>
      <w:pPr>
        <w:keepLines/>
        <w:ind w:left="288" w:hanging="288"/>
        <w:snapToGrid w:val="0"/>
      </w:pPr>
      <w:r>
        <w:t>4. Chrome 打开 chrome://extensions，加载或重新加载当前 extension 文件夹，确认 1.6.1，再刷新 WhatsApp 网页和工作台。</w:t>
      </w:r>
    </w:p>
    <w:p>
      <w:pPr>
        <w:pStyle w:val="Heading1"/>
        <w:snapToGrid w:val="0"/>
      </w:pPr>
      <w:r>
        <w:rPr>
          <w:color w:val="000000"/>
        </w:rPr>
        <w:t>二 导入新版经营数据</w:t>
      </w:r>
    </w:p>
    <w:p>
      <w:pPr>
        <w:keepLines/>
        <w:ind w:left="288" w:hanging="288"/>
        <w:snapToGrid w:val="0"/>
      </w:pPr>
      <w:r>
        <w:t>1. boss 进入“设置 → 经营数据”，检查并确认导入 samples/business_demo.xlsx。已有完整经营数据可跳过，不必再导入 products.xlsx。</w:t>
      </w:r>
    </w:p>
    <w:p>
      <w:pPr>
        <w:keepLines/>
        <w:ind w:left="288" w:hanging="288"/>
        <w:snapToGrid w:val="0"/>
      </w:pPr>
      <w:r>
        <w:t>2. 表含商品、库存、历史、配送和规则。真实 AI 和手机自动通知保持关闭，本次无需 key 或充值。</w:t>
      </w:r>
    </w:p>
    <w:p>
      <w:pPr>
        <w:pStyle w:val="Heading1"/>
        <w:snapToGrid w:val="0"/>
      </w:pPr>
      <w:r>
        <w:rPr>
          <w:color w:val="000000"/>
        </w:rPr>
        <w:t>三 跑通一笔报价</w:t>
      </w:r>
    </w:p>
    <w:p>
      <w:pPr>
        <w:keepLines/>
        <w:ind w:left="288" w:hanging="288"/>
        <w:snapToGrid w:val="0"/>
      </w:pPr>
      <w:r>
        <w:t>1. WhatsApp 侧栏用 staff 登录，另一个完整工作台用 boss 登录。员工首页点“新建报价”，或从消息带入询价。</w:t>
      </w:r>
    </w:p>
    <w:p>
      <w:pPr>
        <w:keepLines/>
        <w:ind w:left="288" w:hanging="288"/>
        <w:snapToGrid w:val="0"/>
      </w:pPr>
      <w:r>
        <w:t>2. 展开示例，点“完整流程样例”，再整理需求。每种商品建议分行，每次最多 40 条商品明细。样例推荐 20 袋 Brand A 快凝水泥，50kg、库存 85、单价 RM23，送到 Shah Alam。</w:t>
      </w:r>
    </w:p>
    <w:p>
      <w:pPr>
        <w:keepLines/>
        <w:ind w:left="288" w:hanging="288"/>
        <w:snapToGrid w:val="0"/>
      </w:pPr>
      <w:r>
        <w:t>3. 商品页核对规格、数量和配送，点“确认商品，查看报价”。若提示需求差异，按下一页说明处理；通过后勾选来源确认，提交老板。</w:t>
      </w:r>
    </w:p>
    <w:p>
      <w:pPr>
        <w:keepLines/>
        <w:ind w:left="288" w:hanging="288"/>
        <w:snapToGrid w:val="0"/>
      </w:pPr>
      <w:r>
        <w:t>4. 老板打开报价，先核对人工更正和原因，再批准。要改价时展开“调整折扣和运费”；后台检查最高折扣及最低预估毛利。</w:t>
      </w:r>
    </w:p>
    <w:p>
      <w:pPr>
        <w:keepLines/>
        <w:ind w:left="288" w:hanging="288"/>
        <w:snapToGrid w:val="0"/>
      </w:pPr>
      <w:r>
        <w:t>5. 员工下载 PDF、Excel，选回复语言。回填聊天后核对并手动发送，PDF 单独附加；待跟进列表可找回已批准报价。</w:t>
      </w:r>
    </w:p>
    <w:p>
      <w:pPr>
        <w:pStyle w:val="Title"/>
        <w:pageBreakBefore/>
        <w:snapToGrid w:val="0"/>
      </w:pPr>
      <w:r>
        <w:rPr>
          <w:color w:val="000000"/>
        </w:rPr>
        <w:t>核对提示与演示结果</w:t>
      </w:r>
    </w:p>
    <w:p>
      <w:pPr>
        <w:pStyle w:val="Subtitle"/>
        <w:snapToGrid w:val="0"/>
      </w:pPr>
      <w:r>
        <w:rPr>
          <w:color w:val="000000"/>
        </w:rPr>
        <w:t>先核对原文与商品 再查看建议和记录结果</w:t>
      </w:r>
    </w:p>
    <w:p>
      <w:pPr>
        <w:pStyle w:val="Heading1"/>
        <w:snapToGrid w:val="0"/>
      </w:pPr>
      <w:r>
        <w:rPr>
          <w:color w:val="000000"/>
        </w:rPr>
        <w:t>四 处理新增核对提示</w:t>
      </w:r>
    </w:p>
    <w:p>
      <w:pPr>
        <w:keepLines/>
        <w:snapToGrid w:val="0"/>
      </w:pPr>
      <w:r>
        <w:t>数量、商品或配送有变更，按提示填原因再核对。20／30、异常文字数量或未理解内容，要问清后分行改写。提示内容过多时分批提交；库存不足不能跳过。</w:t>
      </w:r>
    </w:p>
    <w:p>
      <w:pPr>
        <w:keepLines/>
        <w:snapToGrid w:val="0"/>
      </w:pPr>
      <w:r>
        <w:rPr>
          <w:b w:val="0"/>
        </w:rPr>
        <w:t>未知商品须补充商品和数量。客户取消时，删行后选择“客户已取消这项商品”并填原因。旧未批准单需重新核对并保存新版本，已批准记录保留。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92"/>
        <w:gridCol w:w="2736"/>
        <w:gridCol w:w="2736"/>
      </w:tblGrid>
      <w:tr>
        <w:tc>
          <w:tcPr>
            <w:tcW w:type="dxa" w:w="3389"/>
            <w:vAlign w:val="center"/>
            <w:shd w:fill="174A78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389"/>
            <w:vAlign w:val="center"/>
            <w:shd w:fill="174A78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/>
                <w:color w:val="FFFFFF"/>
                <w:sz w:val="21"/>
              </w:rPr>
              <w:t>初始建议</w:t>
            </w:r>
          </w:p>
        </w:tc>
        <w:tc>
          <w:tcPr>
            <w:tcW w:type="dxa" w:w="3389"/>
            <w:vAlign w:val="center"/>
            <w:shd w:fill="174A78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/>
                <w:color w:val="FFFFFF"/>
                <w:sz w:val="21"/>
              </w:rPr>
              <w:t>老板改价示例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 w:val="0"/>
                <w:color w:val="000000"/>
                <w:sz w:val="21"/>
              </w:rPr>
              <w:t>商品原价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RM460.00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RM460.00</w:t>
            </w:r>
          </w:p>
        </w:tc>
      </w:tr>
      <w:tr>
        <w:tc>
          <w:tcPr>
            <w:tcW w:type="dxa" w:w="4392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 w:val="0"/>
                <w:color w:val="000000"/>
                <w:sz w:val="21"/>
              </w:rPr>
              <w:t>折扣百分比</w:t>
            </w:r>
          </w:p>
        </w:tc>
        <w:tc>
          <w:tcPr>
            <w:tcW w:type="dxa" w:w="2736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3%</w:t>
            </w:r>
          </w:p>
        </w:tc>
        <w:tc>
          <w:tcPr>
            <w:tcW w:type="dxa" w:w="2736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4%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 w:val="0"/>
                <w:color w:val="000000"/>
                <w:sz w:val="21"/>
              </w:rPr>
              <w:t>折扣金额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RM13.80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RM18.40</w:t>
            </w:r>
          </w:p>
        </w:tc>
      </w:tr>
      <w:tr>
        <w:tc>
          <w:tcPr>
            <w:tcW w:type="dxa" w:w="4392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 w:val="0"/>
                <w:color w:val="000000"/>
                <w:sz w:val="21"/>
              </w:rPr>
              <w:t>最终收取运费</w:t>
            </w:r>
          </w:p>
        </w:tc>
        <w:tc>
          <w:tcPr>
            <w:tcW w:type="dxa" w:w="2736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RM25.00</w:t>
            </w:r>
          </w:p>
        </w:tc>
        <w:tc>
          <w:tcPr>
            <w:tcW w:type="dxa" w:w="2736"/>
            <w:vAlign w:val="center"/>
            <w:shd w:fill="F2F6FA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RM30.00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b w:val="0"/>
                <w:color w:val="000000"/>
                <w:sz w:val="21"/>
              </w:rPr>
              <w:t>最终总额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RM471.20</w:t>
            </w:r>
          </w:p>
        </w:tc>
        <w:tc>
          <w:tcPr>
            <w:tcW w:type="dxa" w:w="2736"/>
            <w:vAlign w:val="center"/>
            <w:shd w:fill="FFFFFF"/>
            <w:tcMar>
              <w:top w:w="105" w:type="dxa"/>
              <w:bottom w:w="105" w:type="dxa"/>
              <w:left w:w="110" w:type="dxa"/>
              <w:right w:w="110" w:type="dxa"/>
            </w:tcMar>
          </w:tcPr>
          <w:p>
            <w:pPr>
              <w:spacing w:after="0"/>
              <w:jc w:val="right"/>
            </w:pPr>
            <w:r>
              <w:rPr>
                <w:b w:val="0"/>
                <w:color w:val="000000"/>
                <w:sz w:val="21"/>
              </w:rPr>
              <w:t>RM471.60</w:t>
            </w:r>
          </w:p>
        </w:tc>
      </w:tr>
    </w:tbl>
    <w:p>
      <w:pPr>
        <w:keepLines/>
        <w:snapToGrid w:val="0"/>
      </w:pPr>
      <w:r>
        <w:rPr>
          <w:b w:val="0"/>
        </w:rPr>
        <w:t>首次样例：商品 RM460，基础运费 RM35，原始总额 RM495。正式总额为商品原价减折扣再加最终运费，基础运费不重复收取。</w:t>
      </w:r>
    </w:p>
    <w:p>
      <w:pPr>
        <w:pStyle w:val="Heading1"/>
        <w:snapToGrid w:val="0"/>
      </w:pPr>
      <w:r>
        <w:rPr>
          <w:color w:val="000000"/>
        </w:rPr>
        <w:t>五 记录结果并观察下一笔</w:t>
      </w:r>
    </w:p>
    <w:p>
      <w:pPr>
        <w:keepLines/>
        <w:ind w:left="288" w:hanging="288"/>
        <w:snapToGrid w:val="0"/>
      </w:pPr>
      <w:r>
        <w:t>1. 客户决定后，展开报价底部的结果区，保存已成交、未成交或待回复，可填实际配送成本。老板批准不等于客户成交。</w:t>
      </w:r>
    </w:p>
    <w:p>
      <w:pPr>
        <w:keepLines/>
        <w:ind w:left="288" w:hanging="288"/>
        <w:snapToGrid w:val="0"/>
      </w:pPr>
      <w:r>
        <w:rPr>
          <w:b/>
        </w:rPr>
        <w:t>2. 首次样例按上表改价批准，结果填已成交、实际配送成本 RM29。再建同类询价，类似已结束订单从 8 变 9，建议折扣变为 3.17%；后续随记录改变。</w:t>
      </w:r>
      <w:r/>
    </w:p>
    <w:p>
      <w:pPr>
        <w:keepLines/>
        <w:ind w:left="288" w:hanging="288"/>
        <w:snapToGrid w:val="0"/>
      </w:pPr>
      <w:r>
        <w:rPr>
          <w:b/>
        </w:rPr>
        <w:t>3. 待回复不计转化率，未填实际成本不会当成运费历史。原建议、老板改价和人工修改原因保留，可在报价记录查看。</w:t>
      </w:r>
      <w:r/>
    </w:p>
    <w:p>
      <w:pPr>
        <w:pStyle w:val="Heading1"/>
        <w:snapToGrid w:val="0"/>
      </w:pPr>
      <w:r>
        <w:rPr>
          <w:color w:val="000000"/>
        </w:rPr>
        <w:t>六 保存和团队试用</w:t>
      </w:r>
    </w:p>
    <w:p>
      <w:pPr>
        <w:keepLines/>
        <w:snapToGrid w:val="0"/>
      </w:pPr>
      <w:r>
        <w:rPr>
          <w:b w:val="0"/>
        </w:rPr>
        <w:t>账号、经营表、报价和日志在 data；PDF 在 data/pdf，Excel 在 data/exports/quotations.xlsx。报价须保存或提交，下次在原目录运行 python run.py。</w:t>
      </w:r>
    </w:p>
    <w:p>
      <w:pPr>
        <w:keepLines/>
        <w:snapToGrid w:val="0"/>
      </w:pPr>
      <w:r>
        <w:rPr>
          <w:b w:val="0"/>
        </w:rPr>
        <w:t>备份前先停服务，再复制完整项目或 data。各电脑数据独立，127.0.0.1 只指当前电脑。给队友发干净安装包，不发个人 data。</w:t>
      </w:r>
    </w:p>
    <w:p>
      <w:pPr>
        <w:keepLines/>
        <w:snapToGrid w:val="0"/>
      </w:pPr>
      <w:r>
        <w:rPr>
          <w:b w:val="0"/>
        </w:rPr>
        <w:t>库存为导入快照，不自动预留或出库。本版用本地规则与统计，复杂表达仍需人工核实；未启用真实手机自动通知或客户自动发送。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0" w:lineRule="exact"/>
    </w:pPr>
    <w:rPr>
      <w:rFonts w:ascii="Calibri" w:hAnsi="Calibri" w:eastAsia="Noto Sans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400" w:lineRule="exact"/>
      <w:outlineLvl w:val="0"/>
    </w:pPr>
    <w:rPr>
      <w:rFonts w:asciiTheme="majorHAnsi" w:eastAsiaTheme="majorEastAsia" w:hAnsiTheme="majorHAnsi" w:cstheme="majorBidi" w:ascii="Calibri" w:hAnsi="Calibri" w:eastAsia="Noto Sans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Calibri" w:hAnsi="Calibri" w:eastAsia="Noto Sans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560" w:lineRule="exact"/>
      <w:contextualSpacing/>
    </w:pPr>
    <w:rPr>
      <w:rFonts w:asciiTheme="majorHAnsi" w:eastAsiaTheme="majorEastAsia" w:hAnsiTheme="majorHAnsi" w:cstheme="majorBidi" w:ascii="Calibri" w:hAnsi="Calibri" w:eastAsia="Noto Sans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line="280" w:lineRule="exact"/>
    </w:pPr>
    <w:rPr>
      <w:rFonts w:asciiTheme="majorHAnsi" w:eastAsiaTheme="majorEastAsia" w:hAnsiTheme="majorHAnsi" w:cstheme="majorBidi" w:ascii="Calibri" w:hAnsi="Calibri" w:eastAsia="Noto Sans SC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Quote Copilot 使用指南</dc:title>
  <dc:subject>1.4 分步报价与老板审批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