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pPr>
      <w:r>
        <w:rPr>
          <w:color w:val="000000"/>
        </w:rPr>
        <w:t>EzQuote User Guide</w:t>
      </w:r>
    </w:p>
    <w:p>
      <w:pPr>
        <w:pStyle w:val="Subtitle"/>
        <w:snapToGrid w:val="0"/>
      </w:pPr>
      <w:r>
        <w:rPr>
          <w:color w:val="000000"/>
        </w:rPr>
        <w:t>Windows Team Trial — No API Required</w:t>
      </w:r>
    </w:p>
    <w:p>
      <w:pPr>
        <w:keepLines/>
        <w:snapToGrid w:val="0"/>
      </w:pPr>
      <w:r>
        <w:t>For version 1.6.1, with a dark green sidebar and mint green quotation cards. Staff review and submit; the owner approves before PDF and reply preparation. Narrow screens use top navigation. The workflow still has four steps.</w:t>
      </w:r>
    </w:p>
    <w:p>
      <w:pPr>
        <w:pStyle w:val="Heading1"/>
        <w:snapToGrid w:val="0"/>
      </w:pPr>
      <w:r>
        <w:rPr>
          <w:color w:val="000000"/>
        </w:rPr>
        <w:t>1. Update and Start</w:t>
      </w:r>
    </w:p>
    <w:p>
      <w:pPr>
        <w:keepLines/>
        <w:ind w:left="288" w:hanging="288"/>
        <w:snapToGrid w:val="0"/>
      </w:pPr>
      <w:r>
        <w:t>1. Existing users: stop the service with Ctrl+C and back up the project. Copy the new files into the existing project and replace them, keeping data and .venv. New users: extract the entire package.</w:t>
      </w:r>
    </w:p>
    <w:p>
      <w:pPr>
        <w:keepLines/>
        <w:ind w:left="288" w:hanging="288"/>
        <w:snapToGrid w:val="0"/>
      </w:pPr>
      <w:r>
        <w:rPr>
          <w:b/>
        </w:rPr>
        <w:t>2. Requires Python 3.10+; 3.12 is recommended. In the folder containing run.py, type cmd in the address bar, run python run.py and keep the window open.</w:t>
      </w:r>
      <w:r/>
      <w:r>
        <w:t xml:space="preserve"> If the port is in use, close the old service before starting again.</w:t>
      </w:r>
    </w:p>
    <w:p>
      <w:pPr>
        <w:keepLines/>
        <w:ind w:left="288" w:hanging="288"/>
        <w:snapToGrid w:val="0"/>
      </w:pPr>
      <w:r>
        <w:rPr>
          <w:b/>
        </w:rPr>
        <w:t>3. Open http://127.0.0.1:8765/. Existing users keep their accounts. New users set the shop name and different owner and staff passwords. Usernames are boss and staff.</w:t>
      </w:r>
      <w:r/>
    </w:p>
    <w:p>
      <w:pPr>
        <w:keepLines/>
        <w:ind w:left="288" w:hanging="288"/>
        <w:snapToGrid w:val="0"/>
      </w:pPr>
      <w:r>
        <w:t>4. In Chrome, open chrome://extensions. Load or reload the current extension folder, confirm version 1.6.1, then refresh WhatsApp Web and the workspace.</w:t>
      </w:r>
    </w:p>
    <w:p>
      <w:pPr>
        <w:pStyle w:val="Heading1"/>
        <w:snapToGrid w:val="0"/>
      </w:pPr>
      <w:r>
        <w:rPr>
          <w:color w:val="000000"/>
        </w:rPr>
        <w:t>2. Import Business Data</w:t>
      </w:r>
    </w:p>
    <w:p>
      <w:pPr>
        <w:keepLines/>
        <w:ind w:left="288" w:hanging="288"/>
        <w:snapToGrid w:val="0"/>
      </w:pPr>
      <w:r>
        <w:t>1. As boss, open Settings → Business Data, check samples/business_demo.xlsx and confirm the import. Skip this if complete business data is already present; do not also import products.xlsx.</w:t>
      </w:r>
    </w:p>
    <w:p>
      <w:pPr>
        <w:keepLines/>
        <w:ind w:left="288" w:hanging="288"/>
        <w:snapToGrid w:val="0"/>
      </w:pPr>
      <w:r>
        <w:t>2. The workbook contains products, inventory, history, delivery and rules. Leave live AI and automatic phone notifications off. No API key or paid credit is required for this trial.</w:t>
      </w:r>
    </w:p>
    <w:p>
      <w:pPr>
        <w:pStyle w:val="Heading1"/>
        <w:snapToGrid w:val="0"/>
      </w:pPr>
      <w:r>
        <w:rPr>
          <w:color w:val="000000"/>
        </w:rPr>
        <w:t>3. Complete a Quotation</w:t>
      </w:r>
    </w:p>
    <w:p>
      <w:pPr>
        <w:keepLines/>
        <w:ind w:left="288" w:hanging="288"/>
        <w:snapToGrid w:val="0"/>
      </w:pPr>
      <w:r>
        <w:t>1. Sign in as staff in the WhatsApp sidebar and as boss in a separate full workspace. Select New Quotation on the staff home page, or capture an inquiry from a message.</w:t>
      </w:r>
    </w:p>
    <w:p>
      <w:pPr>
        <w:keepLines/>
        <w:ind w:left="288" w:hanging="288"/>
        <w:snapToGrid w:val="0"/>
      </w:pPr>
      <w:r>
        <w:t>2. Expand the examples, select the complete workflow example, then organize the requirements. Use a separate line for each product, with at most 40 product lines per inquiry. The example recommends 20 bags of Brand A fast-setting cement, 50kg, stock 85, RM23 each, delivered to Shah Alam.</w:t>
      </w:r>
    </w:p>
    <w:p>
      <w:pPr>
        <w:keepLines/>
        <w:ind w:left="288" w:hanging="288"/>
        <w:snapToGrid w:val="0"/>
      </w:pPr>
      <w:r>
        <w:t>3. Check specification, quantity and delivery on the product page, then confirm products to view the quotation. Resolve requirement differences as described on the next page. After review passes, confirm the source and submit to the owner.</w:t>
      </w:r>
    </w:p>
    <w:p>
      <w:pPr>
        <w:keepLines/>
        <w:ind w:left="288" w:hanging="288"/>
        <w:snapToGrid w:val="0"/>
      </w:pPr>
      <w:r>
        <w:t>4. The owner opens the quotation, reviews manual corrections and reasons, then approves. Expand Adjust Discount and Freight to change the price. The backend checks the maximum discount and minimum estimated gross margin.</w:t>
      </w:r>
    </w:p>
    <w:p>
      <w:pPr>
        <w:keepLines/>
        <w:ind w:left="288" w:hanging="288"/>
        <w:snapToGrid w:val="0"/>
      </w:pPr>
      <w:r>
        <w:t>5. Staff download the PDF and Excel and select a reply language. Check the reply after inserting it into the chat, then send it manually; attach the PDF separately. Approved quotations remain available in Follow Up.</w:t>
      </w:r>
    </w:p>
    <w:p>
      <w:pPr>
        <w:pStyle w:val="Title"/>
        <w:pageBreakBefore/>
        <w:snapToGrid w:val="0"/>
      </w:pPr>
      <w:r>
        <w:rPr>
          <w:color w:val="000000"/>
        </w:rPr>
        <w:t>Review Prompts and Demo Results</w:t>
      </w:r>
    </w:p>
    <w:p>
      <w:pPr>
        <w:pStyle w:val="Subtitle"/>
        <w:snapToGrid w:val="0"/>
      </w:pPr>
      <w:r>
        <w:rPr>
          <w:color w:val="000000"/>
        </w:rPr>
        <w:t>Check the original inquiry and products first; then view suggestions and record the result.</w:t>
      </w:r>
    </w:p>
    <w:p>
      <w:pPr>
        <w:pStyle w:val="Heading1"/>
        <w:snapToGrid w:val="0"/>
      </w:pPr>
      <w:r>
        <w:rPr>
          <w:color w:val="000000"/>
        </w:rPr>
        <w:t>4. Resolve Review Prompts</w:t>
      </w:r>
    </w:p>
    <w:p>
      <w:pPr>
        <w:keepLines/>
        <w:snapToGrid w:val="0"/>
      </w:pPr>
      <w:r>
        <w:t>If quantity, product or delivery changes, enter a reason and review again. Clarify quantities such as 20／30, unusual number words or unrecognized content, then rewrite on separate lines. Split oversized inquiries into batches. Insufficient stock cannot be bypassed.</w:t>
      </w:r>
    </w:p>
    <w:p>
      <w:pPr>
        <w:keepLines/>
        <w:snapToGrid w:val="0"/>
      </w:pPr>
      <w:r>
        <w:rPr>
          <w:b w:val="0"/>
        </w:rPr>
        <w:t>For unknown products, supply the product and quantity. If the customer cancels an item, remove the line, select Customer Cancelled This Item and enter a reason. Existing unapproved quotations need a new review and saved revision; approved records are retained.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392"/>
        <w:gridCol w:w="2736"/>
        <w:gridCol w:w="2736"/>
      </w:tblGrid>
      <w:tr>
        <w:tc>
          <w:tcPr>
            <w:tcW w:type="dxa" w:w="3389"/>
            <w:vAlign w:val="center"/>
            <w:shd w:fill="174A78"/>
            <w:tcMar>
              <w:top w:w="105" w:type="dxa"/>
              <w:bottom w:w="105" w:type="dxa"/>
              <w:left w:w="110" w:type="dxa"/>
              <w:right w:w="110" w:type="dxa"/>
            </w:tcMar>
          </w:tcPr>
          <w:p>
            <w:pPr>
              <w:spacing w:after="0"/>
            </w:pPr>
            <w:r>
              <w:rPr>
                <w:b/>
                <w:color w:val="FFFFFF"/>
                <w:sz w:val="21"/>
              </w:rPr>
              <w:t>Item</w:t>
            </w:r>
          </w:p>
        </w:tc>
        <w:tc>
          <w:tcPr>
            <w:tcW w:type="dxa" w:w="3389"/>
            <w:vAlign w:val="center"/>
            <w:shd w:fill="174A78"/>
            <w:tcMar>
              <w:top w:w="105" w:type="dxa"/>
              <w:bottom w:w="105" w:type="dxa"/>
              <w:left w:w="110" w:type="dxa"/>
              <w:right w:w="110" w:type="dxa"/>
            </w:tcMar>
          </w:tcPr>
          <w:p>
            <w:pPr>
              <w:spacing w:after="0"/>
              <w:jc w:val="right"/>
            </w:pPr>
            <w:r>
              <w:rPr>
                <w:b/>
                <w:color w:val="FFFFFF"/>
                <w:sz w:val="21"/>
              </w:rPr>
              <w:t>Initial Suggestion</w:t>
            </w:r>
          </w:p>
        </w:tc>
        <w:tc>
          <w:tcPr>
            <w:tcW w:type="dxa" w:w="3389"/>
            <w:vAlign w:val="center"/>
            <w:shd w:fill="174A78"/>
            <w:tcMar>
              <w:top w:w="105" w:type="dxa"/>
              <w:bottom w:w="105" w:type="dxa"/>
              <w:left w:w="110" w:type="dxa"/>
              <w:right w:w="110" w:type="dxa"/>
            </w:tcMar>
          </w:tcPr>
          <w:p>
            <w:pPr>
              <w:spacing w:after="0"/>
              <w:jc w:val="right"/>
            </w:pPr>
            <w:r>
              <w:rPr>
                <w:b/>
                <w:color w:val="FFFFFF"/>
                <w:sz w:val="21"/>
              </w:rPr>
              <w:t>Owner Edit Example</w:t>
            </w:r>
          </w:p>
        </w:tc>
      </w:tr>
      <w:tr>
        <w:tc>
          <w:tcPr>
            <w:tcW w:type="dxa" w:w="4392"/>
            <w:vAlign w:val="center"/>
            <w:shd w:fill="FFFFFF"/>
            <w:tcMar>
              <w:top w:w="105" w:type="dxa"/>
              <w:bottom w:w="105" w:type="dxa"/>
              <w:left w:w="110" w:type="dxa"/>
              <w:right w:w="110" w:type="dxa"/>
            </w:tcMar>
          </w:tcPr>
          <w:p>
            <w:pPr>
              <w:spacing w:after="0"/>
            </w:pPr>
            <w:r>
              <w:rPr>
                <w:b w:val="0"/>
                <w:color w:val="000000"/>
                <w:sz w:val="21"/>
              </w:rPr>
              <w:t>Original Product Price</w:t>
            </w:r>
          </w:p>
        </w:tc>
        <w:tc>
          <w:tcPr>
            <w:tcW w:type="dxa" w:w="2736"/>
            <w:vAlign w:val="center"/>
            <w:shd w:fill="FFFFFF"/>
            <w:tcMar>
              <w:top w:w="105" w:type="dxa"/>
              <w:bottom w:w="105" w:type="dxa"/>
              <w:left w:w="110" w:type="dxa"/>
              <w:right w:w="110" w:type="dxa"/>
            </w:tcMar>
          </w:tcPr>
          <w:p>
            <w:pPr>
              <w:spacing w:after="0"/>
              <w:jc w:val="right"/>
            </w:pPr>
            <w:r>
              <w:rPr>
                <w:b w:val="0"/>
                <w:color w:val="000000"/>
                <w:sz w:val="21"/>
              </w:rPr>
              <w:t>RM460.00</w:t>
            </w:r>
          </w:p>
        </w:tc>
        <w:tc>
          <w:tcPr>
            <w:tcW w:type="dxa" w:w="2736"/>
            <w:vAlign w:val="center"/>
            <w:shd w:fill="FFFFFF"/>
            <w:tcMar>
              <w:top w:w="105" w:type="dxa"/>
              <w:bottom w:w="105" w:type="dxa"/>
              <w:left w:w="110" w:type="dxa"/>
              <w:right w:w="110" w:type="dxa"/>
            </w:tcMar>
          </w:tcPr>
          <w:p>
            <w:pPr>
              <w:spacing w:after="0"/>
              <w:jc w:val="right"/>
            </w:pPr>
            <w:r>
              <w:rPr>
                <w:b w:val="0"/>
                <w:color w:val="000000"/>
                <w:sz w:val="21"/>
              </w:rPr>
              <w:t>RM460.00</w:t>
            </w:r>
          </w:p>
        </w:tc>
      </w:tr>
      <w:tr>
        <w:tc>
          <w:tcPr>
            <w:tcW w:type="dxa" w:w="4392"/>
            <w:vAlign w:val="center"/>
            <w:shd w:fill="F2F6FA"/>
            <w:tcMar>
              <w:top w:w="105" w:type="dxa"/>
              <w:bottom w:w="105" w:type="dxa"/>
              <w:left w:w="110" w:type="dxa"/>
              <w:right w:w="110" w:type="dxa"/>
            </w:tcMar>
          </w:tcPr>
          <w:p>
            <w:pPr>
              <w:spacing w:after="0"/>
            </w:pPr>
            <w:r>
              <w:rPr>
                <w:b w:val="0"/>
                <w:color w:val="000000"/>
                <w:sz w:val="21"/>
              </w:rPr>
              <w:t>Discount Percentage</w:t>
            </w:r>
          </w:p>
        </w:tc>
        <w:tc>
          <w:tcPr>
            <w:tcW w:type="dxa" w:w="2736"/>
            <w:vAlign w:val="center"/>
            <w:shd w:fill="F2F6FA"/>
            <w:tcMar>
              <w:top w:w="105" w:type="dxa"/>
              <w:bottom w:w="105" w:type="dxa"/>
              <w:left w:w="110" w:type="dxa"/>
              <w:right w:w="110" w:type="dxa"/>
            </w:tcMar>
          </w:tcPr>
          <w:p>
            <w:pPr>
              <w:spacing w:after="0"/>
              <w:jc w:val="right"/>
            </w:pPr>
            <w:r>
              <w:rPr>
                <w:b w:val="0"/>
                <w:color w:val="000000"/>
                <w:sz w:val="21"/>
              </w:rPr>
              <w:t>3%</w:t>
            </w:r>
          </w:p>
        </w:tc>
        <w:tc>
          <w:tcPr>
            <w:tcW w:type="dxa" w:w="2736"/>
            <w:vAlign w:val="center"/>
            <w:shd w:fill="F2F6FA"/>
            <w:tcMar>
              <w:top w:w="105" w:type="dxa"/>
              <w:bottom w:w="105" w:type="dxa"/>
              <w:left w:w="110" w:type="dxa"/>
              <w:right w:w="110" w:type="dxa"/>
            </w:tcMar>
          </w:tcPr>
          <w:p>
            <w:pPr>
              <w:spacing w:after="0"/>
              <w:jc w:val="right"/>
            </w:pPr>
            <w:r>
              <w:rPr>
                <w:b w:val="0"/>
                <w:color w:val="000000"/>
                <w:sz w:val="21"/>
              </w:rPr>
              <w:t>4%</w:t>
            </w:r>
          </w:p>
        </w:tc>
      </w:tr>
      <w:tr>
        <w:tc>
          <w:tcPr>
            <w:tcW w:type="dxa" w:w="4392"/>
            <w:vAlign w:val="center"/>
            <w:shd w:fill="FFFFFF"/>
            <w:tcMar>
              <w:top w:w="105" w:type="dxa"/>
              <w:bottom w:w="105" w:type="dxa"/>
              <w:left w:w="110" w:type="dxa"/>
              <w:right w:w="110" w:type="dxa"/>
            </w:tcMar>
          </w:tcPr>
          <w:p>
            <w:pPr>
              <w:spacing w:after="0"/>
            </w:pPr>
            <w:r>
              <w:rPr>
                <w:b w:val="0"/>
                <w:color w:val="000000"/>
                <w:sz w:val="21"/>
              </w:rPr>
              <w:t>Discount Amount</w:t>
            </w:r>
          </w:p>
        </w:tc>
        <w:tc>
          <w:tcPr>
            <w:tcW w:type="dxa" w:w="2736"/>
            <w:vAlign w:val="center"/>
            <w:shd w:fill="FFFFFF"/>
            <w:tcMar>
              <w:top w:w="105" w:type="dxa"/>
              <w:bottom w:w="105" w:type="dxa"/>
              <w:left w:w="110" w:type="dxa"/>
              <w:right w:w="110" w:type="dxa"/>
            </w:tcMar>
          </w:tcPr>
          <w:p>
            <w:pPr>
              <w:spacing w:after="0"/>
              <w:jc w:val="right"/>
            </w:pPr>
            <w:r>
              <w:rPr>
                <w:b w:val="0"/>
                <w:color w:val="000000"/>
                <w:sz w:val="21"/>
              </w:rPr>
              <w:t>RM13.80</w:t>
            </w:r>
          </w:p>
        </w:tc>
        <w:tc>
          <w:tcPr>
            <w:tcW w:type="dxa" w:w="2736"/>
            <w:vAlign w:val="center"/>
            <w:shd w:fill="FFFFFF"/>
            <w:tcMar>
              <w:top w:w="105" w:type="dxa"/>
              <w:bottom w:w="105" w:type="dxa"/>
              <w:left w:w="110" w:type="dxa"/>
              <w:right w:w="110" w:type="dxa"/>
            </w:tcMar>
          </w:tcPr>
          <w:p>
            <w:pPr>
              <w:spacing w:after="0"/>
              <w:jc w:val="right"/>
            </w:pPr>
            <w:r>
              <w:rPr>
                <w:b w:val="0"/>
                <w:color w:val="000000"/>
                <w:sz w:val="21"/>
              </w:rPr>
              <w:t>RM18.40</w:t>
            </w:r>
          </w:p>
        </w:tc>
      </w:tr>
      <w:tr>
        <w:tc>
          <w:tcPr>
            <w:tcW w:type="dxa" w:w="4392"/>
            <w:vAlign w:val="center"/>
            <w:shd w:fill="F2F6FA"/>
            <w:tcMar>
              <w:top w:w="105" w:type="dxa"/>
              <w:bottom w:w="105" w:type="dxa"/>
              <w:left w:w="110" w:type="dxa"/>
              <w:right w:w="110" w:type="dxa"/>
            </w:tcMar>
          </w:tcPr>
          <w:p>
            <w:pPr>
              <w:spacing w:after="0"/>
            </w:pPr>
            <w:r>
              <w:rPr>
                <w:b w:val="0"/>
                <w:color w:val="000000"/>
                <w:sz w:val="21"/>
              </w:rPr>
              <w:t>Final Freight Charged</w:t>
            </w:r>
          </w:p>
        </w:tc>
        <w:tc>
          <w:tcPr>
            <w:tcW w:type="dxa" w:w="2736"/>
            <w:vAlign w:val="center"/>
            <w:shd w:fill="F2F6FA"/>
            <w:tcMar>
              <w:top w:w="105" w:type="dxa"/>
              <w:bottom w:w="105" w:type="dxa"/>
              <w:left w:w="110" w:type="dxa"/>
              <w:right w:w="110" w:type="dxa"/>
            </w:tcMar>
          </w:tcPr>
          <w:p>
            <w:pPr>
              <w:spacing w:after="0"/>
              <w:jc w:val="right"/>
            </w:pPr>
            <w:r>
              <w:rPr>
                <w:b w:val="0"/>
                <w:color w:val="000000"/>
                <w:sz w:val="21"/>
              </w:rPr>
              <w:t>RM25.00</w:t>
            </w:r>
          </w:p>
        </w:tc>
        <w:tc>
          <w:tcPr>
            <w:tcW w:type="dxa" w:w="2736"/>
            <w:vAlign w:val="center"/>
            <w:shd w:fill="F2F6FA"/>
            <w:tcMar>
              <w:top w:w="105" w:type="dxa"/>
              <w:bottom w:w="105" w:type="dxa"/>
              <w:left w:w="110" w:type="dxa"/>
              <w:right w:w="110" w:type="dxa"/>
            </w:tcMar>
          </w:tcPr>
          <w:p>
            <w:pPr>
              <w:spacing w:after="0"/>
              <w:jc w:val="right"/>
            </w:pPr>
            <w:r>
              <w:rPr>
                <w:b w:val="0"/>
                <w:color w:val="000000"/>
                <w:sz w:val="21"/>
              </w:rPr>
              <w:t>RM30.00</w:t>
            </w:r>
          </w:p>
        </w:tc>
      </w:tr>
      <w:tr>
        <w:tc>
          <w:tcPr>
            <w:tcW w:type="dxa" w:w="4392"/>
            <w:vAlign w:val="center"/>
            <w:shd w:fill="FFFFFF"/>
            <w:tcMar>
              <w:top w:w="105" w:type="dxa"/>
              <w:bottom w:w="105" w:type="dxa"/>
              <w:left w:w="110" w:type="dxa"/>
              <w:right w:w="110" w:type="dxa"/>
            </w:tcMar>
          </w:tcPr>
          <w:p>
            <w:pPr>
              <w:spacing w:after="0"/>
            </w:pPr>
            <w:r>
              <w:rPr>
                <w:b w:val="0"/>
                <w:color w:val="000000"/>
                <w:sz w:val="21"/>
              </w:rPr>
              <w:t>Final Total</w:t>
            </w:r>
          </w:p>
        </w:tc>
        <w:tc>
          <w:tcPr>
            <w:tcW w:type="dxa" w:w="2736"/>
            <w:vAlign w:val="center"/>
            <w:shd w:fill="FFFFFF"/>
            <w:tcMar>
              <w:top w:w="105" w:type="dxa"/>
              <w:bottom w:w="105" w:type="dxa"/>
              <w:left w:w="110" w:type="dxa"/>
              <w:right w:w="110" w:type="dxa"/>
            </w:tcMar>
          </w:tcPr>
          <w:p>
            <w:pPr>
              <w:spacing w:after="0"/>
              <w:jc w:val="right"/>
            </w:pPr>
            <w:r>
              <w:rPr>
                <w:b w:val="0"/>
                <w:color w:val="000000"/>
                <w:sz w:val="21"/>
              </w:rPr>
              <w:t>RM471.20</w:t>
            </w:r>
          </w:p>
        </w:tc>
        <w:tc>
          <w:tcPr>
            <w:tcW w:type="dxa" w:w="2736"/>
            <w:vAlign w:val="center"/>
            <w:shd w:fill="FFFFFF"/>
            <w:tcMar>
              <w:top w:w="105" w:type="dxa"/>
              <w:bottom w:w="105" w:type="dxa"/>
              <w:left w:w="110" w:type="dxa"/>
              <w:right w:w="110" w:type="dxa"/>
            </w:tcMar>
          </w:tcPr>
          <w:p>
            <w:pPr>
              <w:spacing w:after="0"/>
              <w:jc w:val="right"/>
            </w:pPr>
            <w:r>
              <w:rPr>
                <w:b w:val="0"/>
                <w:color w:val="000000"/>
                <w:sz w:val="21"/>
              </w:rPr>
              <w:t>RM471.60</w:t>
            </w:r>
          </w:p>
        </w:tc>
      </w:tr>
    </w:tbl>
    <w:p>
      <w:pPr>
        <w:keepLines/>
        <w:snapToGrid w:val="0"/>
      </w:pPr>
      <w:r>
        <w:rPr>
          <w:b w:val="0"/>
        </w:rPr>
        <w:t>Initial example: products RM460, base freight RM35, original total RM495. The final total is the original product price minus the discount plus final freight. Base freight is not charged again.</w:t>
      </w:r>
    </w:p>
    <w:p>
      <w:pPr>
        <w:pStyle w:val="Heading1"/>
        <w:snapToGrid w:val="0"/>
      </w:pPr>
      <w:r>
        <w:rPr>
          <w:color w:val="000000"/>
        </w:rPr>
        <w:t>5. Record the Result and Check the Next Quote</w:t>
      </w:r>
    </w:p>
    <w:p>
      <w:pPr>
        <w:keepLines/>
        <w:ind w:left="288" w:hanging="288"/>
        <w:snapToGrid w:val="0"/>
      </w:pPr>
      <w:r>
        <w:t>1. After the customer decides, expand the result section at the bottom of the quotation. Save Won, Lost or Awaiting Reply, with actual delivery cost if available. Owner approval does not mean the customer has placed an order.</w:t>
      </w:r>
    </w:p>
    <w:p>
      <w:pPr>
        <w:keepLines/>
        <w:ind w:left="288" w:hanging="288"/>
        <w:snapToGrid w:val="0"/>
      </w:pPr>
      <w:r>
        <w:rPr>
          <w:b/>
        </w:rPr>
        <w:t>2. For the first example, approve the edited price above, record Won and actual delivery cost RM29. Create a similar inquiry: comparable closed orders increase from 8 to 9 and the suggested discount becomes 3.17%. Later values change with the records.</w:t>
      </w:r>
      <w:r/>
    </w:p>
    <w:p>
      <w:pPr>
        <w:keepLines/>
        <w:ind w:left="288" w:hanging="288"/>
        <w:snapToGrid w:val="0"/>
      </w:pPr>
      <w:r>
        <w:rPr>
          <w:b/>
        </w:rPr>
        <w:t>3. Awaiting Reply is excluded from conversion rates. A missing actual delivery cost is not treated as freight history. The original suggestion, owner edits and reasons for manual changes remain visible in quotation records.</w:t>
      </w:r>
      <w:r/>
    </w:p>
    <w:p>
      <w:pPr>
        <w:pStyle w:val="Heading1"/>
        <w:snapToGrid w:val="0"/>
      </w:pPr>
      <w:r>
        <w:rPr>
          <w:color w:val="000000"/>
        </w:rPr>
        <w:t>6. Save and Share a Team Trial</w:t>
      </w:r>
    </w:p>
    <w:p>
      <w:pPr>
        <w:keepLines/>
        <w:snapToGrid w:val="0"/>
      </w:pPr>
      <w:r>
        <w:rPr>
          <w:b w:val="0"/>
        </w:rPr>
        <w:t>Accounts, business data, quotations and logs are in data; PDFs are in data/pdf and Excel in data/exports/quotations.xlsx. Save or submit quotations. Next time, run python run.py from the same folder.</w:t>
      </w:r>
    </w:p>
    <w:p>
      <w:pPr>
        <w:keepLines/>
        <w:snapToGrid w:val="0"/>
      </w:pPr>
      <w:r>
        <w:rPr>
          <w:b w:val="0"/>
        </w:rPr>
        <w:t>Stop the service before backing up the complete project or data folder. Each computer has separate data; 127.0.0.1 always means the current computer. Send teammates a clean installation package, without your personal data folder.</w:t>
      </w:r>
    </w:p>
    <w:p>
      <w:pPr>
        <w:keepLines/>
        <w:snapToGrid w:val="0"/>
      </w:pPr>
      <w:r>
        <w:rPr>
          <w:b w:val="0"/>
        </w:rPr>
        <w:t>Inventory is an imported snapshot, with no automatic reservation or stock deduction. This version uses local rules and statistics; complex wording still needs human review. Live automatic phone notifications and automatic customer sending are not enabled.</w:t>
      </w:r>
    </w:p>
    <w:sectPr w:rsidR="00FC693F" w:rsidRPr="0006063C" w:rsidSect="00034616">
      <w:headerReference w:type="default" r:id="rId9"/>
      <w:footerReference w:type="default" r:id="rId10"/>
      <w:pgSz w:w="12240" w:h="15840"/>
      <w:pgMar w:top="936" w:right="1037" w:bottom="936" w:left="103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20" w:lineRule="exact"/>
    </w:pPr>
    <w:rPr>
      <w:rFonts w:ascii="Calibri" w:hAnsi="Calibri" w:eastAsia="Noto Sans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400" w:lineRule="exact"/>
      <w:outlineLvl w:val="0"/>
    </w:pPr>
    <w:rPr>
      <w:rFonts w:asciiTheme="majorHAnsi" w:eastAsiaTheme="majorEastAsia" w:hAnsiTheme="majorHAnsi" w:cstheme="majorBidi" w:ascii="Calibri" w:hAnsi="Calibri" w:eastAsia="Noto Sans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line="360" w:lineRule="exact"/>
      <w:outlineLvl w:val="1"/>
    </w:pPr>
    <w:rPr>
      <w:rFonts w:asciiTheme="majorHAnsi" w:eastAsiaTheme="majorEastAsia" w:hAnsiTheme="majorHAnsi" w:cstheme="majorBidi" w:ascii="Calibri" w:hAnsi="Calibri" w:eastAsia="Noto Sans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560" w:lineRule="exact"/>
      <w:contextualSpacing/>
    </w:pPr>
    <w:rPr>
      <w:rFonts w:asciiTheme="majorHAnsi" w:eastAsiaTheme="majorEastAsia" w:hAnsiTheme="majorHAnsi" w:cstheme="majorBidi" w:ascii="Calibri" w:hAnsi="Calibri" w:eastAsia="Noto Sans SC"/>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00" w:line="280" w:lineRule="exact"/>
    </w:pPr>
    <w:rPr>
      <w:rFonts w:asciiTheme="majorHAnsi" w:eastAsiaTheme="majorEastAsia" w:hAnsiTheme="majorHAnsi" w:cstheme="majorBidi" w:ascii="Calibri" w:hAnsi="Calibri" w:eastAsia="Noto Sans SC"/>
      <w:i w:val="0"/>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Quote Copilot User Guide</dc:title>
  <dc:subject>1.4 Step-by-Step Quotation and Owner Approval</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