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DecisionMetadata"/>
      </w:pPr>
      <w:r>
        <w:t>Processo n.º [[PROCESSO_NUMERO]]</w:t>
      </w:r>
    </w:p>
    <w:p>
      <w:pPr>
        <w:pStyle w:val="DecisionMetadata"/>
      </w:pPr>
      <w:r>
        <w:t>Reclamante: [[RECLAMANTE]]</w:t>
      </w:r>
    </w:p>
    <w:p>
      <w:pPr>
        <w:pStyle w:val="DecisionMetadata"/>
      </w:pPr>
      <w:r>
        <w:t>Reclamada: [[RECLAMADA]]</w:t>
      </w:r>
    </w:p>
    <w:p>
      <w:pPr>
        <w:pStyle w:val="DecisionHeading"/>
      </w:pPr>
      <w:r>
        <w:t>SUMÁRIO</w:t>
      </w:r>
    </w:p>
    <w:p>
      <w:pPr>
        <w:pStyle w:val="DecisionMarker"/>
      </w:pPr>
      <w:r>
        <w:t>[[SUMARIO]]</w:t>
      </w:r>
    </w:p>
    <w:p>
      <w:pPr>
        <w:pStyle w:val="DecisionHeading"/>
      </w:pPr>
      <w:r>
        <w:t>I – RELATÓRIO</w:t>
      </w:r>
    </w:p>
    <w:p>
      <w:pPr>
        <w:pStyle w:val="DecisionMarker"/>
      </w:pPr>
      <w:r>
        <w:t>[[RELATORIO]]</w:t>
      </w:r>
    </w:p>
    <w:p>
      <w:pPr>
        <w:pStyle w:val="DecisionHeading"/>
      </w:pPr>
      <w:r>
        <w:t>II – OBJETO DO LITÍGIO</w:t>
      </w:r>
    </w:p>
    <w:p>
      <w:pPr>
        <w:pStyle w:val="DecisionMarker"/>
      </w:pPr>
      <w:r>
        <w:t>[[OBJETO_LITIGIO]]</w:t>
      </w:r>
    </w:p>
    <w:p>
      <w:pPr>
        <w:pStyle w:val="DecisionHeading"/>
      </w:pPr>
      <w:r>
        <w:t>III – SANEADOR</w:t>
      </w:r>
    </w:p>
    <w:p>
      <w:pPr>
        <w:pStyle w:val="DecisionMarker"/>
      </w:pPr>
      <w:r>
        <w:t>[[SANEADOR]]</w:t>
      </w:r>
    </w:p>
    <w:p>
      <w:pPr>
        <w:pStyle w:val="DecisionHeading"/>
      </w:pPr>
      <w:r>
        <w:t>IV – FUNDAMENTAÇÃO</w:t>
      </w:r>
    </w:p>
    <w:p>
      <w:pPr>
        <w:pStyle w:val="DecisionSubheading"/>
      </w:pPr>
      <w:r>
        <w:t>Da Fundamentação de Facto</w:t>
      </w:r>
    </w:p>
    <w:p>
      <w:pPr>
        <w:pStyle w:val="DecisionSubheading"/>
      </w:pPr>
      <w:r>
        <w:t>4.1 Factos Provados</w:t>
      </w:r>
    </w:p>
    <w:p>
      <w:r>
        <w:t>Atendendo às alegações das partes e aos elementos efetivamente disponibilizados, consideram-se provados, de entre os essenciais para o objeto do litígio, os seguintes factos:</w:t>
      </w:r>
    </w:p>
    <w:p>
      <w:pPr>
        <w:pStyle w:val="DecisionMarker"/>
      </w:pPr>
      <w:r>
        <w:t>[[FACTOS_PROVADOS]]</w:t>
      </w:r>
    </w:p>
    <w:p>
      <w:pPr>
        <w:pStyle w:val="DecisionSubheading"/>
      </w:pPr>
      <w:r>
        <w:t>4.2 Factos Não Provados</w:t>
      </w:r>
    </w:p>
    <w:p>
      <w:pPr>
        <w:pStyle w:val="DecisionMarker"/>
      </w:pPr>
      <w:r>
        <w:t>[[FACTOS_NAO_PROVADOS]]</w:t>
      </w:r>
    </w:p>
    <w:p>
      <w:pPr>
        <w:pStyle w:val="DecisionHeading"/>
      </w:pPr>
      <w:r>
        <w:t>V – MOTIVAÇÃO</w:t>
      </w:r>
    </w:p>
    <w:p>
      <w:pPr>
        <w:pStyle w:val="DecisionMarker"/>
      </w:pPr>
      <w:r>
        <w:t>[[MOTIVACAO]]</w:t>
      </w:r>
    </w:p>
    <w:p>
      <w:pPr>
        <w:pStyle w:val="DecisionHeading"/>
      </w:pPr>
      <w:r>
        <w:t>VI – FUNDAMENTAÇÃO DE DIREITO</w:t>
      </w:r>
    </w:p>
    <w:p>
      <w:pPr>
        <w:pStyle w:val="DecisionMarker"/>
      </w:pPr>
      <w:r>
        <w:t>[[FUNDAMENTACAO_DIREITO]]</w:t>
      </w:r>
    </w:p>
    <w:p>
      <w:pPr>
        <w:pStyle w:val="DecisionHeading"/>
      </w:pPr>
      <w:r>
        <w:t>VII – DECISÃO</w:t>
      </w:r>
    </w:p>
    <w:p>
      <w:pPr>
        <w:pStyle w:val="DecisionMarker"/>
      </w:pPr>
      <w:r>
        <w:t>[[DECISAO]]</w:t>
      </w:r>
    </w:p>
    <w:p>
      <w:pPr>
        <w:pStyle w:val="DecisionMetadata"/>
      </w:pPr>
      <w:r>
        <w:t>Valor do processo: [[VALOR_PROCESSO]]</w:t>
      </w:r>
    </w:p>
    <w:p>
      <w:pPr>
        <w:pStyle w:val="DecisionMetadata"/>
      </w:pPr>
      <w:r>
        <w:t>[[LOCAL_DATA]]</w:t>
      </w:r>
    </w:p>
    <w:p>
      <w:pPr>
        <w:pStyle w:val="DecisionMetadata"/>
      </w:pPr>
      <w:r>
        <w:t>A Juíza-Árbitra (minuta não assinada),</w:t>
      </w:r>
    </w:p>
    <w:p>
      <w:pPr>
        <w:pStyle w:val="DecisionMetadata"/>
      </w:pPr>
      <w:r>
        <w:t>Sem identidade ou assinatura aposta</w:t>
      </w:r>
    </w:p>
    <w:sectPr w:rsidR="00455FE0" w:rsidSect="00CC2625"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5A3F" w:rsidRDefault="00C25A3F" w:rsidP="00CC2625">
      <w:pPr>
        <w:spacing w:after="0" w:line="240" w:lineRule="auto"/>
      </w:pPr>
      <w:r>
        <w:separator/>
      </w:r>
    </w:p>
  </w:endnote>
  <w:endnote w:type="continuationSeparator" w:id="0">
    <w:p w:rsidR="00C25A3F" w:rsidRDefault="00C25A3F" w:rsidP="00CC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4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spacing w:before="0" w:after="0"/>
      <w:jc w:val="center"/>
    </w:pPr>
    <w:r>
      <w:rPr>
        <w:rFonts w:ascii="Calibri" w:hAnsi="Calibri"/>
        <w:sz w:val="16"/>
      </w:rPr>
      <w:t xml:space="preserve">Minuta não assinada  |  Página </w:t>
    </w:r>
    <w:r>
      <w:rPr>
        <w:rFonts w:ascii="Calibri" w:hAnsi="Calibri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5A3F" w:rsidRDefault="00C25A3F" w:rsidP="00CC2625">
      <w:pPr>
        <w:spacing w:after="0" w:line="240" w:lineRule="auto"/>
      </w:pPr>
      <w:r>
        <w:separator/>
      </w:r>
    </w:p>
  </w:footnote>
  <w:footnote w:type="continuationSeparator" w:id="0">
    <w:p w:rsidR="00C25A3F" w:rsidRDefault="00C25A3F" w:rsidP="00CC2625">
      <w:pPr>
        <w:spacing w:after="0" w:line="240" w:lineRule="auto"/>
      </w:pPr>
      <w:r>
        <w:continuationSeparator/>
      </w:r>
    </w:p>
  </w:footnote>
  <w:footnote w:id="1">
    <w:p w:rsidR="00CC2625" w:rsidRPr="00B16765" w:rsidRDefault="00CC2625" w:rsidP="00CC2625">
      <w:pPr>
        <w:pStyle w:val="Textodenotaderodap"/>
        <w:spacing w:after="0"/>
        <w:rPr>
          <w:rFonts w:asciiTheme="minorHAnsi" w:hAnsiTheme="minorHAnsi" w:cstheme="minorHAnsi"/>
        </w:rPr>
      </w:pPr>
      <w:r w:rsidRPr="00B16765">
        <w:rPr>
          <w:rStyle w:val="Refdenotaderodap"/>
          <w:rFonts w:asciiTheme="minorHAnsi" w:hAnsiTheme="minorHAnsi" w:cstheme="minorHAnsi"/>
        </w:rPr>
        <w:footnoteRef/>
      </w:r>
      <w:r w:rsidRPr="00B16765">
        <w:rPr>
          <w:rFonts w:asciiTheme="minorHAnsi" w:hAnsiTheme="minorHAnsi" w:cstheme="minorHAnsi"/>
        </w:rPr>
        <w:t xml:space="preserve"> Sobre as noções de “litígio”, material e formal, “questões”, “</w:t>
      </w:r>
      <w:proofErr w:type="spellStart"/>
      <w:r w:rsidRPr="00B16765">
        <w:rPr>
          <w:rFonts w:asciiTheme="minorHAnsi" w:hAnsiTheme="minorHAnsi" w:cstheme="minorHAnsi"/>
          <w:i/>
        </w:rPr>
        <w:t>thema</w:t>
      </w:r>
      <w:proofErr w:type="spellEnd"/>
      <w:r w:rsidRPr="00B16765">
        <w:rPr>
          <w:rFonts w:asciiTheme="minorHAnsi" w:hAnsiTheme="minorHAnsi" w:cstheme="minorHAnsi"/>
          <w:i/>
        </w:rPr>
        <w:t xml:space="preserve"> </w:t>
      </w:r>
      <w:proofErr w:type="spellStart"/>
      <w:r w:rsidRPr="00B16765">
        <w:rPr>
          <w:rFonts w:asciiTheme="minorHAnsi" w:hAnsiTheme="minorHAnsi" w:cstheme="minorHAnsi"/>
          <w:i/>
        </w:rPr>
        <w:t>decidendum</w:t>
      </w:r>
      <w:proofErr w:type="spellEnd"/>
      <w:r w:rsidRPr="00B16765">
        <w:rPr>
          <w:rFonts w:asciiTheme="minorHAnsi" w:hAnsiTheme="minorHAnsi" w:cstheme="minorHAnsi"/>
        </w:rPr>
        <w:t>”, “questões fundamentais” e “questões instrumentais”, ver João de Castro Mendes, Do Conceito de Prova em Processo Civil, Edições Ática, 1961, pp 131 e ss.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pStyle w:val="DraftWarning"/>
    </w:pPr>
    <w:r>
      <w:t>MINUTA NÃO ASSINADA — AUXÍLIO À INVESTIGAÇÃO JURÍDICA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629B4"/>
    <w:multiLevelType w:val="multilevel"/>
    <w:tmpl w:val="422AD2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C2A6C47"/>
    <w:multiLevelType w:val="hybridMultilevel"/>
    <w:tmpl w:val="2548A05A"/>
    <w:lvl w:ilvl="0" w:tplc="40F68056">
      <w:start w:val="1"/>
      <w:numFmt w:val="lowerLetter"/>
      <w:lvlText w:val="%1)"/>
      <w:lvlJc w:val="left"/>
      <w:pPr>
        <w:ind w:left="1637" w:hanging="360"/>
      </w:pPr>
      <w:rPr>
        <w:rFonts w:asciiTheme="minorHAnsi" w:eastAsia="Calibri" w:hAnsiTheme="minorHAnsi" w:cstheme="minorHAnsi"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51102C"/>
    <w:multiLevelType w:val="hybridMultilevel"/>
    <w:tmpl w:val="94DAD590"/>
    <w:lvl w:ilvl="0" w:tplc="04E4DD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50C7F"/>
    <w:multiLevelType w:val="hybridMultilevel"/>
    <w:tmpl w:val="B8A067C8"/>
    <w:lvl w:ilvl="0" w:tplc="218C4CB2">
      <w:start w:val="3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51E06"/>
    <w:multiLevelType w:val="hybridMultilevel"/>
    <w:tmpl w:val="E2C89CD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07BD"/>
    <w:multiLevelType w:val="hybridMultilevel"/>
    <w:tmpl w:val="BB82FDAE"/>
    <w:lvl w:ilvl="0" w:tplc="153E6BB0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E1E46"/>
    <w:multiLevelType w:val="hybridMultilevel"/>
    <w:tmpl w:val="280A7C0A"/>
    <w:lvl w:ilvl="0" w:tplc="2D2411A4">
      <w:start w:val="6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874BE"/>
    <w:multiLevelType w:val="hybridMultilevel"/>
    <w:tmpl w:val="C51E926C"/>
    <w:lvl w:ilvl="0" w:tplc="DF2C39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371DF"/>
    <w:multiLevelType w:val="hybridMultilevel"/>
    <w:tmpl w:val="46C8D52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C165A"/>
    <w:multiLevelType w:val="hybridMultilevel"/>
    <w:tmpl w:val="46C8D52A"/>
    <w:lvl w:ilvl="0" w:tplc="9CBA2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856492">
    <w:abstractNumId w:val="6"/>
  </w:num>
  <w:num w:numId="2" w16cid:durableId="1700353104">
    <w:abstractNumId w:val="5"/>
  </w:num>
  <w:num w:numId="3" w16cid:durableId="1272785384">
    <w:abstractNumId w:val="1"/>
  </w:num>
  <w:num w:numId="4" w16cid:durableId="1751851018">
    <w:abstractNumId w:val="0"/>
  </w:num>
  <w:num w:numId="5" w16cid:durableId="1198741522">
    <w:abstractNumId w:val="4"/>
  </w:num>
  <w:num w:numId="6" w16cid:durableId="652761661">
    <w:abstractNumId w:val="3"/>
  </w:num>
  <w:num w:numId="7" w16cid:durableId="2055739546">
    <w:abstractNumId w:val="7"/>
  </w:num>
  <w:num w:numId="8" w16cid:durableId="1716273045">
    <w:abstractNumId w:val="2"/>
  </w:num>
  <w:num w:numId="9" w16cid:durableId="983705454">
    <w:abstractNumId w:val="9"/>
  </w:num>
  <w:num w:numId="10" w16cid:durableId="1183785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25"/>
    <w:rsid w:val="00250C0D"/>
    <w:rsid w:val="002709D1"/>
    <w:rsid w:val="0043132E"/>
    <w:rsid w:val="00455FE0"/>
    <w:rsid w:val="004661CA"/>
    <w:rsid w:val="004766B6"/>
    <w:rsid w:val="004F1D32"/>
    <w:rsid w:val="005933ED"/>
    <w:rsid w:val="006565AD"/>
    <w:rsid w:val="006A1399"/>
    <w:rsid w:val="006D32D4"/>
    <w:rsid w:val="00C10564"/>
    <w:rsid w:val="00C25A3F"/>
    <w:rsid w:val="00CB5D69"/>
    <w:rsid w:val="00CC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86330"/>
  <w15:chartTrackingRefBased/>
  <w15:docId w15:val="{EBAE0CCF-C5E6-4306-94D0-B6F26C63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25"/>
    <w:pPr>
      <w:spacing w:after="120" w:line="276" w:lineRule="auto"/>
      <w:jc w:val="both"/>
    </w:pPr>
    <w:rPr>
      <w:rFonts w:ascii="Calibri" w:eastAsia="Calibri" w:hAnsi="Calibri" w:cs="Times New Roman"/>
      <w:kern w:val="0"/>
      <w14:ligatures w14:val="none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1"/>
    <w:uiPriority w:val="99"/>
    <w:unhideWhenUsed/>
    <w:rsid w:val="00CC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uiPriority w:val="99"/>
    <w:semiHidden/>
    <w:rsid w:val="00CC2625"/>
    <w:rPr>
      <w:rFonts w:ascii="Calibri" w:eastAsia="Calibri" w:hAnsi="Calibri" w:cs="Times New Roman"/>
      <w:kern w:val="0"/>
      <w14:ligatures w14:val="none"/>
    </w:rPr>
  </w:style>
  <w:style w:type="character" w:customStyle="1" w:styleId="CabealhoCarter1">
    <w:name w:val="Cabeçalho Caráter1"/>
    <w:link w:val="Cabealho"/>
    <w:uiPriority w:val="99"/>
    <w:rsid w:val="00CC2625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arter1"/>
    <w:uiPriority w:val="99"/>
    <w:unhideWhenUsed/>
    <w:rsid w:val="00CC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uiPriority w:val="99"/>
    <w:semiHidden/>
    <w:rsid w:val="00CC2625"/>
    <w:rPr>
      <w:rFonts w:ascii="Calibri" w:eastAsia="Calibri" w:hAnsi="Calibri" w:cs="Times New Roman"/>
      <w:kern w:val="0"/>
      <w14:ligatures w14:val="none"/>
    </w:rPr>
  </w:style>
  <w:style w:type="character" w:customStyle="1" w:styleId="RodapCarter1">
    <w:name w:val="Rodapé Caráter1"/>
    <w:link w:val="Rodap"/>
    <w:uiPriority w:val="99"/>
    <w:rsid w:val="00CC2625"/>
    <w:rPr>
      <w:rFonts w:ascii="Calibri" w:eastAsia="Calibri" w:hAnsi="Calibri" w:cs="Times New Roman"/>
      <w:kern w:val="0"/>
      <w14:ligatures w14:val="none"/>
    </w:rPr>
  </w:style>
  <w:style w:type="paragraph" w:styleId="Textodenotaderodap">
    <w:name w:val="footnote text"/>
    <w:basedOn w:val="Normal"/>
    <w:link w:val="TextodenotaderodapCarter1"/>
    <w:rsid w:val="00CC2625"/>
    <w:pPr>
      <w:suppressAutoHyphens/>
      <w:autoSpaceDN w:val="0"/>
      <w:jc w:val="both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uiPriority w:val="99"/>
    <w:semiHidden/>
    <w:rsid w:val="00CC2625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customStyle="1" w:styleId="TextodenotaderodapCarter1">
    <w:name w:val="Texto de nota de rodapé Caráter1"/>
    <w:link w:val="Textodenotaderodap"/>
    <w:rsid w:val="00CC262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Refdenotaderodap">
    <w:name w:val="footnote reference"/>
    <w:rsid w:val="00CC2625"/>
    <w:rPr>
      <w:position w:val="0"/>
      <w:vertAlign w:val="superscript"/>
    </w:rPr>
  </w:style>
  <w:style w:type="paragraph" w:styleId="PargrafodaLista">
    <w:name w:val="List Paragraph"/>
    <w:basedOn w:val="Normal"/>
    <w:qFormat/>
    <w:rsid w:val="00CC2625"/>
    <w:pPr>
      <w:ind w:left="708"/>
    </w:pPr>
  </w:style>
  <w:style w:type="paragraph" w:styleId="NormalWeb">
    <w:name w:val="Normal (Web)"/>
    <w:basedOn w:val="Normal"/>
    <w:uiPriority w:val="99"/>
    <w:rsid w:val="00CC26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paragraph" w:customStyle="1" w:styleId="Default">
    <w:name w:val="Default"/>
    <w:rsid w:val="00CC262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DecisionHeading">
    <w:name w:val="Decision Heading"/>
    <w:basedOn w:val="Normal"/>
    <w:pPr>
      <w:keepNext/>
      <w:spacing w:before="240" w:after="120"/>
      <w:jc w:val="left"/>
    </w:pPr>
    <w:rPr>
      <w:rFonts w:ascii="Calibri" w:hAnsi="Calibri"/>
      <w:b/>
      <w:sz w:val="22"/>
    </w:rPr>
  </w:style>
  <w:style w:type="paragraph" w:customStyle="1" w:styleId="DecisionSubheading">
    <w:name w:val="Decision Subheading"/>
    <w:basedOn w:val="Normal"/>
    <w:pPr>
      <w:keepNext/>
      <w:spacing w:before="160" w:after="80"/>
      <w:jc w:val="left"/>
    </w:pPr>
    <w:rPr>
      <w:rFonts w:ascii="Calibri" w:hAnsi="Calibri"/>
      <w:b/>
      <w:sz w:val="22"/>
    </w:rPr>
  </w:style>
  <w:style w:type="paragraph" w:customStyle="1" w:styleId="DecisionMarker">
    <w:name w:val="Decision Marker"/>
    <w:basedOn w:val="Normal"/>
    <w:pPr>
      <w:jc w:val="left"/>
    </w:pPr>
    <w:rPr>
      <w:rFonts w:ascii="Consolas" w:hAnsi="Consolas"/>
      <w:color w:val="808080"/>
      <w:sz w:val="16"/>
    </w:rPr>
  </w:style>
  <w:style w:type="paragraph" w:customStyle="1" w:styleId="DecisionMetadata">
    <w:name w:val="Decision Metadata"/>
    <w:basedOn w:val="Normal"/>
    <w:pPr>
      <w:spacing w:after="40"/>
      <w:jc w:val="left"/>
    </w:pPr>
    <w:rPr>
      <w:rFonts w:ascii="Calibri" w:hAnsi="Calibri"/>
      <w:sz w:val="22"/>
    </w:rPr>
  </w:style>
  <w:style w:type="paragraph" w:customStyle="1" w:styleId="DraftWarning">
    <w:name w:val="Draft Warning"/>
    <w:basedOn w:val="Normal"/>
    <w:pPr>
      <w:spacing w:after="0"/>
      <w:jc w:val="center"/>
    </w:pPr>
    <w:rPr>
      <w:rFonts w:ascii="Calibri" w:hAnsi="Calibri"/>
      <w:b/>
      <w:color w:val="8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1013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</dc:creator>
  <cp:keywords/>
  <dc:description/>
  <cp:lastModifiedBy>Andreia</cp:lastModifiedBy>
  <cp:revision>1</cp:revision>
  <dcterms:created xsi:type="dcterms:W3CDTF">2024-11-07T18:03:00Z</dcterms:created>
  <dcterms:modified xsi:type="dcterms:W3CDTF">2024-11-07T18:21:00Z</dcterms:modified>
</cp:coreProperties>
</file>