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question.txt (Custom question and analysis result)</w:t>
      </w:r>
    </w:p>
    <w:p>
      <w:pPr>
        <w:pStyle w:val="text"/>
      </w:pPr>
      <w:r>
        <w:t xml:space="preserve">Question: What is the distribution of DALYs across all countries in 2019, and what are the key summary statistics of this distribution?</w:t>
      </w:r>
    </w:p>
    <w:p>
      <w:pPr>
        <w:pStyle w:val="text"/>
      </w:pPr>
      <w:r>
        <w:t xml:space="preserve">Line number of the start of the answering code in dalys.py: 74</w:t>
      </w:r>
    </w:p>
    <w:p>
      <w:pPr>
        <w:pStyle w:val="text"/>
      </w:pPr>
      <w:r>
        <w:t xml:space="preserve">Result discussion:</w:t>
      </w:r>
    </w:p>
    <w:p>
      <w:pPr>
        <w:pStyle w:val="text"/>
      </w:pPr>
      <w:r>
        <w:t xml:space="preserve">From the analysis, we found that the mean DALYs across all countries in 2019 was 33645.16 per 100,000 population, while the median was 29562.60. The fact that the mean is higher than the median indicates that the distribution is right-skewed. This means most countries have relatively lower DALYs values, while a small number of countries have extremely high DALYs, which pulls the overall mean upwards.</w:t>
      </w:r>
    </w:p>
    <w:p>
      <w:pPr>
        <w:pStyle w:val="text"/>
      </w:pPr>
      <w:r>
        <w:t xml:space="preserve">The generated histogram plot also confirms this pattern: most countries cluster in the 20,000 to 40,000 DALYs range, while only a very small number of countries have DALYs exceeding 60,000. This matches our earlier finding that Lesotho had the highest DALYs in 2019, which is one of these outlier countries with extremely high overall disease burden.</w:t>
      </w:r>
    </w:p>
    <w:p>
      <w:pPr>
        <w:pStyle w:val="text"/>
      </w:pPr>
      <w:r>
        <w:t xml:space="preserve">This result is as expected. Countries with weaker healthcare infrastructure, higher poverty rates, ongoing conflict, or limited public health resources tend to have much higher disease burden. These countries are relatively rare globally, which creates this skewed distribution where most countries have moderate DALYs, but a small subset face severe health challenges.</w:t>
      </w:r>
    </w:p>
    <w:p>
      <w:pPr>
        <w:pStyle w:val="blockquote"/>
        <w:pBdr>
          <w:left w:val="single" w:color="BBBFC4" w:sz="18" w:space="0"/>
        </w:pBdr>
      </w:pPr>
      <w:r>
        <w:t xml:space="preserve">（注：文档部分内容可能由 AI 生成）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2026-04-24T01:50:50.583Z</dcterms:created>
  <dcterms:modified xsi:type="dcterms:W3CDTF">2026-04-24T01:50:50.583Z</dcterms:modified>
</cp:coreProperties>
</file>

<file path=docProps/custom.xml><?xml version="1.0" encoding="utf-8"?>
<Properties xmlns="http://schemas.openxmlformats.org/officeDocument/2006/custom-properties" xmlns:vt="http://schemas.openxmlformats.org/officeDocument/2006/docPropsVTypes"/>
</file>