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7F3B65D">
      <w:pPr>
        <w:widowControl/>
        <w:ind w:firstLine="0" w:firstLineChars="0"/>
        <w:jc w:val="left"/>
        <w:rPr>
          <w:rFonts w:ascii="Arial" w:hAnsi="Arial" w:eastAsia="黑体" w:cs="Arial"/>
          <w:bCs/>
          <w:sz w:val="36"/>
          <w:szCs w:val="36"/>
        </w:rPr>
      </w:pPr>
      <w:r>
        <w:rPr>
          <w:rFonts w:ascii="Arial" w:hAnsi="Arial" w:eastAsia="黑体" w:cs="Arial"/>
          <w:bCs/>
          <w:sz w:val="36"/>
          <w:szCs w:val="36"/>
        </w:rPr>
        <w:fldChar w:fldCharType="begin"/>
      </w:r>
      <w:r>
        <w:rPr>
          <w:rFonts w:ascii="Arial" w:hAnsi="Arial" w:eastAsia="黑体" w:cs="Arial"/>
          <w:bCs/>
          <w:sz w:val="36"/>
          <w:szCs w:val="36"/>
        </w:rPr>
        <w:instrText xml:space="preserve"> MACROBUTTON AMEditEquationSection2 </w:instrText>
      </w:r>
      <w:r>
        <w:rPr>
          <w:rStyle w:val="38"/>
        </w:rPr>
        <w:instrText xml:space="preserve">Equation Chapter 1 Section 1</w:instrText>
      </w:r>
      <w:r>
        <w:rPr>
          <w:rFonts w:ascii="Arial" w:hAnsi="Arial" w:eastAsia="黑体" w:cs="Arial"/>
          <w:bCs/>
          <w:sz w:val="36"/>
          <w:szCs w:val="36"/>
        </w:rPr>
        <w:fldChar w:fldCharType="begin"/>
      </w:r>
      <w:r>
        <w:rPr>
          <w:rFonts w:ascii="Arial" w:hAnsi="Arial" w:eastAsia="黑体" w:cs="Arial"/>
          <w:bCs/>
          <w:sz w:val="36"/>
          <w:szCs w:val="36"/>
        </w:rPr>
        <w:instrText xml:space="preserve"> SEQ AMEqn \r \h \* MERGEFORMAT </w:instrText>
      </w:r>
      <w:r>
        <w:rPr>
          <w:rFonts w:ascii="Arial" w:hAnsi="Arial" w:eastAsia="黑体" w:cs="Arial"/>
          <w:bCs/>
          <w:sz w:val="36"/>
          <w:szCs w:val="36"/>
        </w:rPr>
        <w:fldChar w:fldCharType="end"/>
      </w:r>
      <w:r>
        <w:rPr>
          <w:rFonts w:ascii="Arial" w:hAnsi="Arial" w:eastAsia="黑体" w:cs="Arial"/>
          <w:bCs/>
          <w:sz w:val="36"/>
          <w:szCs w:val="36"/>
        </w:rPr>
        <w:fldChar w:fldCharType="begin"/>
      </w:r>
      <w:r>
        <w:rPr>
          <w:rFonts w:ascii="Arial" w:hAnsi="Arial" w:eastAsia="黑体" w:cs="Arial"/>
          <w:bCs/>
          <w:sz w:val="36"/>
          <w:szCs w:val="36"/>
        </w:rPr>
        <w:instrText xml:space="preserve"> SEQ AMSec \r 1 \h \* MERGEFORMAT </w:instrText>
      </w:r>
      <w:r>
        <w:rPr>
          <w:rFonts w:ascii="Arial" w:hAnsi="Arial" w:eastAsia="黑体" w:cs="Arial"/>
          <w:bCs/>
          <w:sz w:val="36"/>
          <w:szCs w:val="36"/>
        </w:rPr>
        <w:fldChar w:fldCharType="end"/>
      </w:r>
      <w:r>
        <w:rPr>
          <w:rFonts w:ascii="Arial" w:hAnsi="Arial" w:eastAsia="黑体" w:cs="Arial"/>
          <w:bCs/>
          <w:sz w:val="36"/>
          <w:szCs w:val="36"/>
        </w:rPr>
        <w:fldChar w:fldCharType="begin"/>
      </w:r>
      <w:r>
        <w:rPr>
          <w:rFonts w:ascii="Arial" w:hAnsi="Arial" w:eastAsia="黑体" w:cs="Arial"/>
          <w:bCs/>
          <w:sz w:val="36"/>
          <w:szCs w:val="36"/>
        </w:rPr>
        <w:instrText xml:space="preserve"> SEQ AMChap \r 1 \h \* MERGEFORMAT </w:instrText>
      </w:r>
      <w:r>
        <w:rPr>
          <w:rFonts w:ascii="Arial" w:hAnsi="Arial" w:eastAsia="黑体" w:cs="Arial"/>
          <w:bCs/>
          <w:sz w:val="36"/>
          <w:szCs w:val="36"/>
        </w:rPr>
        <w:fldChar w:fldCharType="end"/>
      </w:r>
      <w:r>
        <w:rPr>
          <w:rFonts w:ascii="Arial" w:hAnsi="Arial" w:eastAsia="黑体" w:cs="Arial"/>
          <w:bCs/>
          <w:sz w:val="36"/>
          <w:szCs w:val="36"/>
        </w:rPr>
        <w:fldChar w:fldCharType="end"/>
      </w:r>
    </w:p>
    <w:p w14:paraId="051FFD19">
      <w:pPr>
        <w:pStyle w:val="27"/>
        <w:spacing w:line="360" w:lineRule="auto"/>
        <w:rPr>
          <w:rStyle w:val="18"/>
          <w:rFonts w:ascii="Segoe UI" w:hAnsi="Segoe UI" w:cs="Segoe UI"/>
          <w:color w:val="0F1115"/>
          <w:shd w:val="clear" w:color="auto" w:fill="FFFFFF"/>
        </w:rPr>
      </w:pPr>
      <w:r>
        <w:rPr>
          <w:rStyle w:val="17"/>
          <w:rFonts w:ascii="Segoe UI" w:hAnsi="Segoe UI" w:cs="Segoe UI"/>
          <w:color w:val="0F1115"/>
          <w:shd w:val="clear" w:color="auto" w:fill="FFFFFF"/>
        </w:rPr>
        <w:t>强化学习在复杂序列决策问题中的应用综述</w:t>
      </w:r>
      <w:r>
        <w:rPr>
          <w:rFonts w:ascii="Segoe UI" w:hAnsi="Segoe UI" w:cs="Segoe UI"/>
          <w:color w:val="0F1115"/>
        </w:rPr>
        <w:br w:type="textWrapping"/>
      </w:r>
      <w:r>
        <w:rPr>
          <w:rStyle w:val="18"/>
          <w:rFonts w:ascii="Segoe UI" w:hAnsi="Segoe UI" w:cs="Segoe UI"/>
          <w:color w:val="0F1115"/>
          <w:shd w:val="clear" w:color="auto" w:fill="FFFFFF"/>
        </w:rPr>
        <w:t>——以机器人控制、游戏AI、大语言模型与无人驾驶为例</w:t>
      </w:r>
    </w:p>
    <w:p w14:paraId="20BD35B1">
      <w:pPr>
        <w:pStyle w:val="27"/>
        <w:spacing w:line="360" w:lineRule="auto"/>
        <w:rPr>
          <w:color w:val="FF0000"/>
        </w:rPr>
      </w:pPr>
      <w:r>
        <w:rPr>
          <w:rFonts w:hint="eastAsia"/>
        </w:rPr>
        <w:t>姓 名</w:t>
      </w:r>
      <w:r>
        <w:rPr>
          <w:rFonts w:hint="eastAsia"/>
          <w:vertAlign w:val="superscript"/>
        </w:rPr>
        <w:t xml:space="preserve">  </w:t>
      </w:r>
      <w:r>
        <w:rPr>
          <w:rFonts w:hint="eastAsia"/>
        </w:rPr>
        <w:t>田峻硕 魏天明 彭大彬 刘超然</w:t>
      </w:r>
    </w:p>
    <w:p w14:paraId="15C180ED">
      <w:pPr>
        <w:pStyle w:val="28"/>
        <w:spacing w:before="156" w:after="156" w:line="360" w:lineRule="auto"/>
        <w:ind w:left="360"/>
        <w:rPr>
          <w:color w:val="FF0000"/>
        </w:rPr>
      </w:pPr>
      <w:r>
        <w:rPr>
          <w:rFonts w:hint="eastAsia"/>
        </w:rPr>
        <w:t>（电子科技大学 自动化工程学院，四川省 成都市 邮编610000）</w:t>
      </w:r>
    </w:p>
    <w:p w14:paraId="358F6AFD">
      <w:pPr>
        <w:pStyle w:val="28"/>
        <w:spacing w:before="156" w:after="156" w:line="360" w:lineRule="auto"/>
        <w:jc w:val="both"/>
      </w:pPr>
      <w:commentRangeStart w:id="0"/>
      <w:r>
        <w:rPr>
          <w:rFonts w:hint="eastAsia" w:ascii="黑体" w:hAnsi="黑体" w:eastAsia="黑体"/>
        </w:rPr>
        <w:t>[摘  要]</w:t>
      </w:r>
      <w:r>
        <w:t xml:space="preserve"> </w:t>
      </w:r>
      <w:r>
        <w:rPr>
          <w:rFonts w:hint="eastAsia"/>
        </w:rPr>
        <w:t>（田峻硕）强化学习作为机器学习的重要分支，其核心在于智能体通过与环境的交互来学习最优策略，为求解复杂的序列决策问题提供了强大范式。本文围绕“复杂序列决策”这一核心问题，系统梳理了强化学习在机器人控制、游戏AI、大语言模型及无人驾驶四个典型领域中的应用进展。通过评述代表性文献，本文剖析了各领域面临的核心决策挑战，包括机器人控制中的“仿真-现实”迁移、游戏AI中的大规模空间搜索与多智能体协作、大语言模型对齐中的人类偏好优化，以及无人驾驶中的安全约束与复杂交互博弈。进而，本文重点论述了为应对这些挑战而产生的关键技术路径，如仿真到现实迁移、分层强化学习、基于人类反馈的强化学习以及离线强化学习等。对比分析发现，这些领域在样本效率、奖励函数设计及安全可信决策等层面存在共性难题。最后，文章总结了强化学习技术在解决复杂序列决策问题上的跨领域演进趋势，并展望了其与基础模型融合、向通用人工智能发展的重要方向。</w:t>
      </w:r>
      <w:commentRangeEnd w:id="0"/>
      <w:r>
        <w:rPr>
          <w:rStyle w:val="20"/>
          <w:rFonts w:eastAsia="宋体"/>
        </w:rPr>
        <w:commentReference w:id="0"/>
      </w:r>
    </w:p>
    <w:p w14:paraId="326DCC43">
      <w:pPr>
        <w:pStyle w:val="30"/>
        <w:spacing w:before="78" w:line="360" w:lineRule="auto"/>
        <w:rPr>
          <w:spacing w:val="-2"/>
          <w:szCs w:val="18"/>
        </w:rPr>
      </w:pPr>
      <w:r>
        <w:rPr>
          <w:rFonts w:hint="eastAsia" w:eastAsia="黑体"/>
          <w:spacing w:val="-2"/>
          <w:szCs w:val="18"/>
        </w:rPr>
        <w:t>[关键词]</w:t>
      </w:r>
      <w:r>
        <w:rPr>
          <w:rFonts w:hint="eastAsia"/>
          <w:spacing w:val="-2"/>
          <w:szCs w:val="18"/>
        </w:rPr>
        <w:t xml:space="preserve"> 强化学习；机器人控制；无人驾驶；大语言模型；游戏AI；应用综述</w:t>
      </w:r>
    </w:p>
    <w:p w14:paraId="6D0EF983">
      <w:pPr>
        <w:pStyle w:val="30"/>
        <w:spacing w:before="78" w:line="360" w:lineRule="auto"/>
        <w:ind w:firstLine="482"/>
        <w:rPr>
          <w:rFonts w:hint="eastAsia" w:ascii="黑体" w:hAnsi="黑体" w:eastAsia="黑体"/>
          <w:b/>
          <w:bCs/>
          <w:sz w:val="24"/>
          <w:szCs w:val="24"/>
        </w:rPr>
      </w:pPr>
      <w:commentRangeStart w:id="1"/>
      <w:r>
        <w:rPr>
          <w:rFonts w:hint="eastAsia" w:ascii="黑体" w:hAnsi="黑体" w:eastAsia="黑体"/>
          <w:b/>
          <w:bCs/>
          <w:sz w:val="24"/>
          <w:szCs w:val="24"/>
        </w:rPr>
        <w:t xml:space="preserve">1  </w:t>
      </w:r>
      <w:commentRangeStart w:id="2"/>
      <w:r>
        <w:rPr>
          <w:rFonts w:hint="eastAsia" w:ascii="黑体" w:hAnsi="黑体" w:eastAsia="黑体"/>
          <w:b/>
          <w:bCs/>
          <w:sz w:val="24"/>
          <w:szCs w:val="24"/>
        </w:rPr>
        <w:t>引言</w:t>
      </w:r>
      <w:commentRangeEnd w:id="2"/>
      <w:r>
        <w:rPr>
          <w:rStyle w:val="20"/>
        </w:rPr>
        <w:commentReference w:id="2"/>
      </w:r>
      <w:r>
        <w:rPr>
          <w:rFonts w:hint="eastAsia" w:ascii="黑体" w:hAnsi="黑体" w:eastAsia="黑体"/>
          <w:b/>
          <w:bCs/>
          <w:sz w:val="24"/>
          <w:szCs w:val="24"/>
        </w:rPr>
        <w:t>(魏天明)</w:t>
      </w:r>
    </w:p>
    <w:p w14:paraId="72871A9C">
      <w:pPr>
        <w:pStyle w:val="30"/>
        <w:spacing w:before="78" w:line="360" w:lineRule="auto"/>
        <w:ind w:firstLine="420" w:firstLineChars="200"/>
        <w:rPr>
          <w:rFonts w:hint="eastAsia" w:asciiTheme="majorEastAsia" w:hAnsiTheme="majorEastAsia" w:eastAsiaTheme="majorEastAsia"/>
          <w:sz w:val="21"/>
        </w:rPr>
      </w:pPr>
      <w:commentRangeStart w:id="3"/>
      <w:r>
        <w:rPr>
          <w:rFonts w:hint="eastAsia" w:asciiTheme="majorEastAsia" w:hAnsiTheme="majorEastAsia" w:eastAsiaTheme="majorEastAsia"/>
          <w:sz w:val="21"/>
        </w:rPr>
        <w:t>随着人工智能领域的快速进步，强化学习作为其中一个关键方向，因其通过智能体与环境互动来学习最优策略的独特方式，在处理复杂的序列决策任务中表现出巨大潜力。在展开具体应用分析之前，有必要对强化学习的基本框架和主流方法作一简要回顾。强化学习的核心过程涉及智能体（Agent）与环境（Environment）的持续交互：智能体在某一状态（State）下选择动作（Action），环境随之反馈奖励（Reward）并转移到新状态。智能体的目标是学习一个策略（Policy），即从状态到动作的映射，以最大化长期累积奖励。价值函数（Value Function）则用于评估状态或状态-动作对的长期价值，是策略优化的关键依据。</w:t>
      </w:r>
      <w:commentRangeEnd w:id="3"/>
      <w:r>
        <w:commentReference w:id="3"/>
      </w:r>
    </w:p>
    <w:p w14:paraId="4414D4F9">
      <w:pPr>
        <w:pStyle w:val="30"/>
        <w:spacing w:before="78" w:line="360" w:lineRule="auto"/>
        <w:ind w:firstLine="420" w:firstLineChars="200"/>
        <w:rPr>
          <w:rFonts w:hint="eastAsia" w:asciiTheme="majorEastAsia" w:hAnsiTheme="majorEastAsia" w:eastAsiaTheme="majorEastAsia"/>
          <w:sz w:val="21"/>
        </w:rPr>
      </w:pPr>
      <w:r>
        <w:rPr>
          <w:rFonts w:hint="eastAsia" w:asciiTheme="majorEastAsia" w:hAnsiTheme="majorEastAsia" w:eastAsiaTheme="majorEastAsia"/>
          <w:sz w:val="21"/>
        </w:rPr>
        <w:t>从算法范式上看，主流方法可分为三类：一是基于价值的算法（如DQN），通过逼近最优价值函数间接导出策略；二是基于策略的算法（如策略梯度法），直接优化策略函数本身；三是结合两者优势的演员-评论家算法（Actor-Critic），其中演员负责执行策略，评论家负责评估价值。尤其值得关注的是，</w:t>
      </w:r>
      <w:commentRangeStart w:id="4"/>
      <w:r>
        <w:rPr>
          <w:rFonts w:hint="eastAsia" w:asciiTheme="majorEastAsia" w:hAnsiTheme="majorEastAsia" w:eastAsiaTheme="majorEastAsia"/>
          <w:sz w:val="21"/>
        </w:rPr>
        <w:t>如A2C/A3C、PPO、SAC等演员-评论家算法，</w:t>
      </w:r>
      <w:commentRangeEnd w:id="4"/>
      <w:r>
        <w:commentReference w:id="4"/>
      </w:r>
      <w:r>
        <w:rPr>
          <w:rFonts w:hint="eastAsia" w:asciiTheme="majorEastAsia" w:hAnsiTheme="majorEastAsia" w:eastAsiaTheme="majorEastAsia"/>
          <w:sz w:val="21"/>
        </w:rPr>
        <w:t>因其在稳定性、样本效率与收敛性能方面的优势，已成为当前诸多前沿应用的主流选择。</w:t>
      </w:r>
    </w:p>
    <w:p w14:paraId="6E3B2980">
      <w:pPr>
        <w:pStyle w:val="30"/>
        <w:spacing w:before="78" w:line="360" w:lineRule="auto"/>
        <w:ind w:firstLine="420" w:firstLineChars="200"/>
        <w:rPr>
          <w:rFonts w:hint="eastAsia" w:asciiTheme="majorEastAsia" w:hAnsiTheme="majorEastAsia" w:eastAsiaTheme="majorEastAsia"/>
          <w:sz w:val="21"/>
        </w:rPr>
      </w:pPr>
      <w:r>
        <w:rPr>
          <w:rFonts w:hint="eastAsia" w:asciiTheme="majorEastAsia" w:hAnsiTheme="majorEastAsia" w:eastAsiaTheme="majorEastAsia"/>
          <w:sz w:val="21"/>
        </w:rPr>
        <w:t>在此理论基础上，强化学习在多个领域取得了显著成效。在机器人控制方面，强化学习使机器人具备自主适应并优化其动作的能力，从而能够在工业自动化、辅助医疗手术等场合准确完成操作，有效提高工作效率与安全性。在无人驾驶系统中，借助强化学习技术，车辆能够根据实时交通状况做出精确判断，在保障行驶安全的同时改进路线规划，促进智能交通系统的完善。在大语言模型的应用中，强化学习帮助模型更好地理解语言规则，生成通顺且上下文连贯的文本，为智能客服和自动化内容生成等任务提供更深层的语言处理支持。而在游戏人工智能方面，强化学习赋予虚拟角色更强的决策智能，使其能够与玩家实现更自然的互动，提升游戏体验的真实感和吸引力。上述四个方向分别体现了强化学习在实体交互、高可靠性系统、自然语言理解以及虚拟场景中的典型应用，系统分析其技术进展，对拓展人工智能的应用范围、促进技术迭代具有重要意义。</w:t>
      </w:r>
    </w:p>
    <w:p w14:paraId="6EB3F38E">
      <w:pPr>
        <w:pStyle w:val="30"/>
        <w:spacing w:before="78" w:line="360" w:lineRule="auto"/>
        <w:ind w:firstLine="420" w:firstLineChars="200"/>
        <w:rPr>
          <w:rFonts w:hint="eastAsia" w:asciiTheme="majorEastAsia" w:hAnsiTheme="majorEastAsia" w:eastAsiaTheme="majorEastAsia"/>
          <w:sz w:val="21"/>
        </w:rPr>
      </w:pPr>
      <w:r>
        <w:rPr>
          <w:rFonts w:hint="eastAsia" w:asciiTheme="majorEastAsia" w:hAnsiTheme="majorEastAsia" w:eastAsiaTheme="majorEastAsia"/>
          <w:sz w:val="21"/>
        </w:rPr>
        <w:t>本文将对强化学习在机器人控制、无人驾驶、大语言模型及游戏人工智能中的研究现状与难点进行梳理，解析各方向的关键问题与常用方法，并探讨跨领域整合的潜在方向与共性挑战，为未来进一步研究提供参考。文章首先将介绍强化学习的基础理论，进而分别深入讨论以上四个方向中的实践案例，具体说明其在不同情境下的技术应用与创新成果，为读者展示强化学习在多领域协同发展中的全景视野。</w:t>
      </w:r>
      <w:commentRangeEnd w:id="1"/>
      <w:r>
        <w:commentReference w:id="1"/>
      </w:r>
    </w:p>
    <w:p w14:paraId="6FD0830D">
      <w:pPr>
        <w:pStyle w:val="2"/>
        <w:spacing w:before="240" w:after="120" w:line="360" w:lineRule="auto"/>
        <w:ind w:firstLine="482"/>
        <w:rPr>
          <w:rFonts w:hint="eastAsia" w:ascii="黑体" w:hAnsi="黑体" w:eastAsia="黑体"/>
          <w:sz w:val="24"/>
          <w:szCs w:val="24"/>
        </w:rPr>
      </w:pPr>
      <w:r>
        <w:rPr>
          <w:rFonts w:hint="eastAsia" w:ascii="黑体" w:hAnsi="黑体" w:eastAsia="黑体"/>
          <w:sz w:val="24"/>
          <w:szCs w:val="24"/>
        </w:rPr>
        <w:t>2  强化学习的基本概念与发展(田峻硕)</w:t>
      </w:r>
    </w:p>
    <w:p w14:paraId="4AF2EFBB">
      <w:pPr>
        <w:ind w:firstLine="420"/>
        <w:rPr>
          <w:rFonts w:hint="eastAsia" w:asciiTheme="minorEastAsia" w:hAnsiTheme="minorEastAsia" w:eastAsiaTheme="minorEastAsia"/>
        </w:rPr>
      </w:pPr>
      <w:commentRangeStart w:id="5"/>
      <w:r>
        <w:rPr>
          <w:rFonts w:asciiTheme="minorEastAsia" w:hAnsiTheme="minorEastAsia" w:eastAsiaTheme="minorEastAsia"/>
        </w:rPr>
        <w:t>强化学习（Reinforcement Learning, RL）是机器学习的一个重要范式，与监督学习和无监督学习不同，它主要关注一个智能体（Agent）如何在复杂、不确定的环境（Environment）中通过试错来学习最优决策策略，以最大化长期累积奖励。其核心思想源于行为主义心理学，即智能体的行为会因环境带来的正向或负向反馈而得到强化或削弱。近年来，随着深度学习的发展，深度强化学习（Deep RL）在诸多领域取得了突破性进展，成为了人工智能领域最受关注的方向之一。</w:t>
      </w:r>
      <w:commentRangeEnd w:id="5"/>
      <w:r>
        <w:rPr>
          <w:rStyle w:val="20"/>
        </w:rPr>
        <w:commentReference w:id="5"/>
      </w:r>
    </w:p>
    <w:p w14:paraId="39852C82">
      <w:pPr>
        <w:ind w:firstLine="482"/>
        <w:rPr>
          <w:rFonts w:hint="eastAsia" w:ascii="黑体" w:hAnsi="黑体" w:eastAsia="黑体"/>
          <w:b/>
          <w:bCs/>
          <w:kern w:val="44"/>
          <w:sz w:val="24"/>
        </w:rPr>
      </w:pPr>
      <w:r>
        <w:rPr>
          <w:rFonts w:hint="eastAsia" w:ascii="黑体" w:hAnsi="黑体" w:eastAsia="黑体"/>
          <w:b/>
          <w:bCs/>
          <w:kern w:val="44"/>
          <w:sz w:val="24"/>
        </w:rPr>
        <w:t>2.1</w:t>
      </w:r>
      <w:r>
        <w:rPr>
          <w:rFonts w:ascii="Calibri" w:hAnsi="Calibri" w:eastAsia="黑体" w:cs="Calibri"/>
          <w:b/>
          <w:bCs/>
          <w:kern w:val="44"/>
          <w:sz w:val="24"/>
        </w:rPr>
        <w:t> </w:t>
      </w:r>
      <w:r>
        <w:rPr>
          <w:rFonts w:ascii="黑体" w:hAnsi="黑体" w:eastAsia="黑体"/>
          <w:b/>
          <w:bCs/>
          <w:kern w:val="44"/>
          <w:sz w:val="24"/>
        </w:rPr>
        <w:t>基本概念与数学模型</w:t>
      </w:r>
    </w:p>
    <w:p w14:paraId="1A14DC74">
      <w:pPr>
        <w:pStyle w:val="33"/>
        <w:spacing w:before="156" w:line="360" w:lineRule="auto"/>
        <w:ind w:firstLine="409" w:firstLineChars="195"/>
        <w:rPr>
          <w:rFonts w:hint="eastAsia" w:asciiTheme="minorEastAsia" w:hAnsiTheme="minorEastAsia" w:eastAsiaTheme="minorEastAsia"/>
        </w:rPr>
      </w:pPr>
      <w:r>
        <w:rPr>
          <w:rFonts w:asciiTheme="minorEastAsia" w:hAnsiTheme="minorEastAsia" w:eastAsiaTheme="minorEastAsia"/>
        </w:rPr>
        <w:t>RL问题通常用马尔可夫决策过程（Markov Decision Process, MDP）来形式化描述。一个MDP可以由一个五元组 (S,A,P,R,γ) 定义：</w:t>
      </w:r>
    </w:p>
    <w:p w14:paraId="6C63E9C2">
      <w:pPr>
        <w:pStyle w:val="33"/>
        <w:spacing w:before="156" w:line="360" w:lineRule="auto"/>
        <w:ind w:firstLine="409" w:firstLineChars="195"/>
        <w:jc w:val="left"/>
        <w:rPr>
          <w:rFonts w:hint="eastAsia" w:asciiTheme="minorEastAsia" w:hAnsiTheme="minorEastAsia" w:eastAsiaTheme="minorEastAsia"/>
        </w:rPr>
      </w:pPr>
      <w:r>
        <w:drawing>
          <wp:inline distT="0" distB="0" distL="0" distR="0">
            <wp:extent cx="5231765" cy="2879090"/>
            <wp:effectExtent l="0" t="0" r="6985" b="0"/>
            <wp:docPr id="151836308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363086" name="图片 2"/>
                    <pic:cNvPicPr>
                      <a:picLocks noChangeAspect="1" noChangeArrowheads="1"/>
                    </pic:cNvPicPr>
                  </pic:nvPicPr>
                  <pic:blipFill>
                    <a:blip r:embed="rId14">
                      <a:extLst>
                        <a:ext uri="{28A0092B-C50C-407E-A947-70E740481C1C}">
                          <a14:useLocalDpi xmlns:a14="http://schemas.microsoft.com/office/drawing/2010/main" val="0"/>
                        </a:ext>
                      </a:extLst>
                    </a:blip>
                    <a:srcRect l="800" r="1"/>
                    <a:stretch>
                      <a:fillRect/>
                    </a:stretch>
                  </pic:blipFill>
                  <pic:spPr>
                    <a:xfrm>
                      <a:off x="0" y="0"/>
                      <a:ext cx="5232107" cy="2879090"/>
                    </a:xfrm>
                    <a:prstGeom prst="rect">
                      <a:avLst/>
                    </a:prstGeom>
                    <a:noFill/>
                    <a:ln>
                      <a:noFill/>
                    </a:ln>
                  </pic:spPr>
                </pic:pic>
              </a:graphicData>
            </a:graphic>
          </wp:inline>
        </w:drawing>
      </w:r>
    </w:p>
    <w:p w14:paraId="2F03866E">
      <w:pPr>
        <w:pStyle w:val="33"/>
        <w:spacing w:before="156" w:line="360" w:lineRule="auto"/>
        <w:ind w:firstLine="390" w:firstLineChars="195"/>
        <w:jc w:val="center"/>
        <w:rPr>
          <w:rFonts w:hint="eastAsia" w:asciiTheme="minorEastAsia" w:hAnsiTheme="minorEastAsia" w:eastAsiaTheme="minorEastAsia"/>
          <w:sz w:val="20"/>
          <w:szCs w:val="20"/>
        </w:rPr>
      </w:pPr>
      <w:commentRangeStart w:id="6"/>
      <w:r>
        <w:rPr>
          <w:rFonts w:hint="eastAsia" w:asciiTheme="minorEastAsia" w:hAnsiTheme="minorEastAsia" w:eastAsiaTheme="minorEastAsia"/>
          <w:sz w:val="20"/>
          <w:szCs w:val="20"/>
        </w:rPr>
        <w:t>图1 强化学习流程示意图</w:t>
      </w:r>
      <w:commentRangeEnd w:id="6"/>
      <w:r>
        <w:rPr>
          <w:rStyle w:val="20"/>
        </w:rPr>
        <w:commentReference w:id="6"/>
      </w:r>
    </w:p>
    <w:p w14:paraId="2D5A0C68">
      <w:pPr>
        <w:pStyle w:val="33"/>
        <w:numPr>
          <w:ilvl w:val="0"/>
          <w:numId w:val="2"/>
        </w:numPr>
        <w:spacing w:before="156"/>
        <w:ind w:firstLine="200" w:firstLineChars="95"/>
        <w:rPr>
          <w:rFonts w:hint="eastAsia" w:asciiTheme="minorEastAsia" w:hAnsiTheme="minorEastAsia" w:eastAsiaTheme="minorEastAsia"/>
        </w:rPr>
      </w:pPr>
      <w:commentRangeStart w:id="7"/>
      <w:r>
        <w:rPr>
          <w:rFonts w:asciiTheme="minorEastAsia" w:hAnsiTheme="minorEastAsia" w:eastAsiaTheme="minorEastAsia"/>
          <w:b/>
          <w:bCs/>
        </w:rPr>
        <w:t>状态空间 S</w:t>
      </w:r>
      <w:r>
        <w:rPr>
          <w:rFonts w:asciiTheme="minorEastAsia" w:hAnsiTheme="minorEastAsia" w:eastAsiaTheme="minorEastAsia"/>
        </w:rPr>
        <w:t>：环境所有可能状态的集合。</w:t>
      </w:r>
    </w:p>
    <w:p w14:paraId="729AC972">
      <w:pPr>
        <w:pStyle w:val="33"/>
        <w:numPr>
          <w:ilvl w:val="0"/>
          <w:numId w:val="2"/>
        </w:numPr>
        <w:spacing w:before="156"/>
        <w:ind w:firstLine="200" w:firstLineChars="95"/>
        <w:rPr>
          <w:rFonts w:hint="eastAsia" w:asciiTheme="minorEastAsia" w:hAnsiTheme="minorEastAsia" w:eastAsiaTheme="minorEastAsia"/>
        </w:rPr>
      </w:pPr>
      <w:r>
        <w:rPr>
          <w:rFonts w:asciiTheme="minorEastAsia" w:hAnsiTheme="minorEastAsia" w:eastAsiaTheme="minorEastAsia"/>
          <w:b/>
          <w:bCs/>
        </w:rPr>
        <w:t>动作空间 A</w:t>
      </w:r>
      <w:r>
        <w:rPr>
          <w:rFonts w:asciiTheme="minorEastAsia" w:hAnsiTheme="minorEastAsia" w:eastAsiaTheme="minorEastAsia"/>
        </w:rPr>
        <w:t>：智能体在所有状态下可执行动作的集合。</w:t>
      </w:r>
    </w:p>
    <w:p w14:paraId="372F082F">
      <w:pPr>
        <w:pStyle w:val="33"/>
        <w:numPr>
          <w:ilvl w:val="0"/>
          <w:numId w:val="2"/>
        </w:numPr>
        <w:spacing w:before="156"/>
        <w:ind w:firstLine="200" w:firstLineChars="95"/>
        <w:rPr>
          <w:rFonts w:hint="eastAsia" w:asciiTheme="minorEastAsia" w:hAnsiTheme="minorEastAsia" w:eastAsiaTheme="minorEastAsia"/>
        </w:rPr>
      </w:pPr>
      <w:r>
        <w:rPr>
          <w:rFonts w:asciiTheme="minorEastAsia" w:hAnsiTheme="minorEastAsia" w:eastAsiaTheme="minorEastAsia"/>
          <w:b/>
          <w:bCs/>
        </w:rPr>
        <w:t>状态转移概率 P</w:t>
      </w:r>
      <w:r>
        <w:rPr>
          <w:rFonts w:asciiTheme="minorEastAsia" w:hAnsiTheme="minorEastAsia" w:eastAsiaTheme="minorEastAsia"/>
        </w:rPr>
        <w:t>：P(s′</w:t>
      </w:r>
      <w:r>
        <w:rPr>
          <w:rFonts w:cs="Cambria Math" w:asciiTheme="minorEastAsia" w:hAnsiTheme="minorEastAsia" w:eastAsiaTheme="minorEastAsia"/>
        </w:rPr>
        <w:t>∣</w:t>
      </w:r>
      <w:r>
        <w:rPr>
          <w:rFonts w:asciiTheme="minorEastAsia" w:hAnsiTheme="minorEastAsia" w:eastAsiaTheme="minorEastAsia"/>
        </w:rPr>
        <w:t>s,a) 表示在状态 s 执行动作 a 后，环境转移到状态s′的概率。这体现了环境的不确定性。</w:t>
      </w:r>
    </w:p>
    <w:p w14:paraId="2259D0F6">
      <w:pPr>
        <w:pStyle w:val="33"/>
        <w:numPr>
          <w:ilvl w:val="0"/>
          <w:numId w:val="2"/>
        </w:numPr>
        <w:spacing w:before="156"/>
        <w:ind w:firstLine="200" w:firstLineChars="95"/>
        <w:rPr>
          <w:rFonts w:hint="eastAsia" w:asciiTheme="minorEastAsia" w:hAnsiTheme="minorEastAsia" w:eastAsiaTheme="minorEastAsia"/>
        </w:rPr>
      </w:pPr>
      <w:r>
        <w:rPr>
          <w:rFonts w:asciiTheme="minorEastAsia" w:hAnsiTheme="minorEastAsia" w:eastAsiaTheme="minorEastAsia"/>
          <w:b/>
          <w:bCs/>
        </w:rPr>
        <w:t>奖励函数 R</w:t>
      </w:r>
      <w:r>
        <w:rPr>
          <w:rFonts w:asciiTheme="minorEastAsia" w:hAnsiTheme="minorEastAsia" w:eastAsiaTheme="minorEastAsia"/>
        </w:rPr>
        <w:t>：R(s,a,s′) 表示在状态 s 执行动作 a 并转移到状态 s′后，智能体获得的即时奖励。它是智能体学习的目标导向。</w:t>
      </w:r>
    </w:p>
    <w:p w14:paraId="35D2C0FD">
      <w:pPr>
        <w:pStyle w:val="33"/>
        <w:numPr>
          <w:ilvl w:val="0"/>
          <w:numId w:val="2"/>
        </w:numPr>
        <w:spacing w:before="156"/>
        <w:ind w:firstLine="200" w:firstLineChars="95"/>
        <w:rPr>
          <w:rFonts w:hint="eastAsia" w:asciiTheme="minorEastAsia" w:hAnsiTheme="minorEastAsia" w:eastAsiaTheme="minorEastAsia"/>
        </w:rPr>
      </w:pPr>
      <w:r>
        <w:rPr>
          <w:rFonts w:asciiTheme="minorEastAsia" w:hAnsiTheme="minorEastAsia" w:eastAsiaTheme="minorEastAsia"/>
          <w:b/>
          <w:bCs/>
        </w:rPr>
        <w:t>折扣因子 γ</w:t>
      </w:r>
      <w:r>
        <w:rPr>
          <w:rFonts w:asciiTheme="minorEastAsia" w:hAnsiTheme="minorEastAsia" w:eastAsiaTheme="minorEastAsia"/>
        </w:rPr>
        <w:t>：γ</w:t>
      </w:r>
      <w:r>
        <w:rPr>
          <w:rFonts w:cs="Cambria Math" w:asciiTheme="minorEastAsia" w:hAnsiTheme="minorEastAsia" w:eastAsiaTheme="minorEastAsia"/>
        </w:rPr>
        <w:t>∈</w:t>
      </w:r>
      <w:r>
        <w:rPr>
          <w:rFonts w:asciiTheme="minorEastAsia" w:hAnsiTheme="minorEastAsia" w:eastAsiaTheme="minorEastAsia"/>
        </w:rPr>
        <w:t>[0,1]，用于衡量未来奖励的当前价值。γ越接近1，表示智能体越有远见；越接近0，则越注重眼前利益。</w:t>
      </w:r>
      <w:commentRangeEnd w:id="7"/>
      <w:r>
        <w:rPr>
          <w:rStyle w:val="20"/>
        </w:rPr>
        <w:commentReference w:id="7"/>
      </w:r>
    </w:p>
    <w:p w14:paraId="1779216B">
      <w:pPr>
        <w:pStyle w:val="33"/>
        <w:spacing w:before="156" w:line="360" w:lineRule="auto"/>
        <w:ind w:firstLine="0" w:firstLineChars="0"/>
        <w:jc w:val="left"/>
        <w:rPr>
          <w:b/>
          <w:bCs/>
        </w:rPr>
      </w:pPr>
      <w:r>
        <w:t>智能体的目标不是最大化即时奖励，是最大化从当前时刻开始的</w:t>
      </w:r>
      <w:r>
        <w:rPr>
          <w:b/>
          <w:bCs/>
        </w:rPr>
        <w:t>累积折扣奖励</w:t>
      </w:r>
      <w:r>
        <w:t>称为</w:t>
      </w:r>
      <w:r>
        <w:rPr>
          <w:b/>
          <w:bCs/>
        </w:rPr>
        <w:t>回报</w:t>
      </w:r>
      <w:r>
        <w:rPr>
          <w:rFonts w:hint="eastAsia"/>
          <w:b/>
          <w:bCs/>
        </w:rPr>
        <w:t>[1]</w:t>
      </w:r>
    </w:p>
    <w:p w14:paraId="55D595A6">
      <w:pPr>
        <w:pStyle w:val="33"/>
        <w:spacing w:before="156" w:line="360" w:lineRule="auto"/>
        <w:ind w:firstLine="0" w:firstLineChars="0"/>
        <w:jc w:val="right"/>
      </w:pPr>
      <w:commentRangeStart w:id="8"/>
      <w:r>
        <w:drawing>
          <wp:inline distT="0" distB="0" distL="0" distR="0">
            <wp:extent cx="3636010" cy="510540"/>
            <wp:effectExtent l="0" t="0" r="2540" b="3810"/>
            <wp:docPr id="10461273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127383" name="图片 1"/>
                    <pic:cNvPicPr>
                      <a:picLocks noChangeAspect="1"/>
                    </pic:cNvPicPr>
                  </pic:nvPicPr>
                  <pic:blipFill>
                    <a:blip r:embed="rId15"/>
                    <a:stretch>
                      <a:fillRect/>
                    </a:stretch>
                  </pic:blipFill>
                  <pic:spPr>
                    <a:xfrm>
                      <a:off x="0" y="0"/>
                      <a:ext cx="3802084" cy="534197"/>
                    </a:xfrm>
                    <a:prstGeom prst="rect">
                      <a:avLst/>
                    </a:prstGeom>
                  </pic:spPr>
                </pic:pic>
              </a:graphicData>
            </a:graphic>
          </wp:inline>
        </w:drawing>
      </w:r>
      <w:r>
        <w:rPr>
          <w:rFonts w:hint="eastAsia"/>
          <w:b/>
          <w:bCs/>
        </w:rPr>
        <w:t xml:space="preserve">   </w:t>
      </w:r>
      <w:r>
        <w:rPr>
          <w:b/>
          <w:bCs/>
        </w:rPr>
        <w:drawing>
          <wp:inline distT="0" distB="0" distL="0" distR="0">
            <wp:extent cx="563245" cy="435610"/>
            <wp:effectExtent l="0" t="0" r="8255" b="2540"/>
            <wp:docPr id="17012629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262937" name="图片 1"/>
                    <pic:cNvPicPr>
                      <a:picLocks noChangeAspect="1"/>
                    </pic:cNvPicPr>
                  </pic:nvPicPr>
                  <pic:blipFill>
                    <a:blip r:embed="rId16"/>
                    <a:stretch>
                      <a:fillRect/>
                    </a:stretch>
                  </pic:blipFill>
                  <pic:spPr>
                    <a:xfrm>
                      <a:off x="0" y="0"/>
                      <a:ext cx="573700" cy="443934"/>
                    </a:xfrm>
                    <a:prstGeom prst="rect">
                      <a:avLst/>
                    </a:prstGeom>
                  </pic:spPr>
                </pic:pic>
              </a:graphicData>
            </a:graphic>
          </wp:inline>
        </w:drawing>
      </w:r>
      <w:r>
        <w:rPr>
          <w:rFonts w:hint="eastAsia"/>
          <w:b/>
          <w:bCs/>
        </w:rPr>
        <w:t xml:space="preserve">   </w:t>
      </w:r>
    </w:p>
    <w:p w14:paraId="20E44738">
      <w:pPr>
        <w:pStyle w:val="33"/>
        <w:spacing w:before="156" w:line="360" w:lineRule="auto"/>
        <w:ind w:firstLine="199" w:firstLineChars="95"/>
        <w:rPr>
          <w:rFonts w:hint="eastAsia" w:ascii="宋体" w:hAnsi="宋体"/>
        </w:rPr>
      </w:pPr>
      <w:r>
        <w:t>为了最大化回报</w:t>
      </w:r>
      <w:r>
        <w:rPr>
          <w:rFonts w:hint="eastAsia"/>
        </w:rPr>
        <w:t>G</w:t>
      </w:r>
      <w:r>
        <w:t>，智能体需要学习一个</w:t>
      </w:r>
      <w:r>
        <w:rPr>
          <w:b/>
          <w:bCs/>
        </w:rPr>
        <w:t>策略</w:t>
      </w:r>
      <w:r>
        <w:t>，即状态到动作的映射。策略可以是确定性</w:t>
      </w:r>
      <w:r>
        <w:rPr>
          <w:rFonts w:ascii="宋体" w:hAnsi="宋体"/>
        </w:rPr>
        <w:t>的 π(s)=a，也可以是随机性的 π(a</w:t>
      </w:r>
      <w:r>
        <w:rPr>
          <w:rFonts w:ascii="宋体" w:hAnsi="宋体" w:cs="Cambria Math"/>
        </w:rPr>
        <w:t>∣</w:t>
      </w:r>
      <w:r>
        <w:rPr>
          <w:rFonts w:ascii="宋体" w:hAnsi="宋体"/>
        </w:rPr>
        <w:t>s) ，表示在状态 s下选择动作 a的概率。</w:t>
      </w:r>
    </w:p>
    <w:p w14:paraId="708CFDCB">
      <w:pPr>
        <w:pStyle w:val="33"/>
        <w:spacing w:before="156" w:line="360" w:lineRule="auto"/>
        <w:ind w:firstLine="199" w:firstLineChars="95"/>
        <w:rPr>
          <w:rFonts w:hint="eastAsia" w:ascii="宋体" w:hAnsi="宋体"/>
        </w:rPr>
      </w:pPr>
      <w:r>
        <w:rPr>
          <w:rFonts w:ascii="宋体" w:hAnsi="宋体"/>
        </w:rPr>
        <w:t>为了评估策略的优劣，我们定义了两个核心价值函数：</w:t>
      </w:r>
    </w:p>
    <w:p w14:paraId="16A0D433">
      <w:pPr>
        <w:pStyle w:val="33"/>
        <w:numPr>
          <w:ilvl w:val="0"/>
          <w:numId w:val="3"/>
        </w:numPr>
        <w:spacing w:before="156" w:line="360" w:lineRule="auto"/>
        <w:ind w:firstLineChars="0"/>
        <w:rPr>
          <w:rFonts w:hint="eastAsia" w:ascii="宋体" w:hAnsi="宋体"/>
        </w:rPr>
      </w:pPr>
      <w:r>
        <w:rPr>
          <w:rFonts w:ascii="宋体" w:hAnsi="宋体"/>
          <w:b/>
          <w:bCs/>
        </w:rPr>
        <w:t>状态价值函数 Vπ(s)</w:t>
      </w:r>
      <w:r>
        <w:rPr>
          <w:rFonts w:ascii="宋体" w:hAnsi="宋体"/>
        </w:rPr>
        <w:t>：表示从状态</w:t>
      </w:r>
      <w:r>
        <w:rPr>
          <w:rFonts w:ascii="宋体" w:hAnsi="宋体"/>
          <w:i/>
          <w:iCs/>
        </w:rPr>
        <w:t>s</w:t>
      </w:r>
      <w:r>
        <w:rPr>
          <w:rFonts w:ascii="宋体" w:hAnsi="宋体"/>
        </w:rPr>
        <w:t> 开始，遵循策略π 所能获得的期望回报。</w:t>
      </w:r>
    </w:p>
    <w:p w14:paraId="7CD82CF6">
      <w:pPr>
        <w:pStyle w:val="33"/>
        <w:spacing w:before="156" w:line="360" w:lineRule="auto"/>
        <w:ind w:left="560" w:firstLine="0" w:firstLineChars="0"/>
        <w:jc w:val="right"/>
        <w:rPr>
          <w:rFonts w:hint="eastAsia" w:ascii="宋体" w:hAnsi="宋体"/>
        </w:rPr>
      </w:pPr>
      <w:r>
        <w:rPr>
          <w:rFonts w:hint="eastAsia" w:ascii="宋体" w:hAnsi="宋体"/>
        </w:rPr>
        <w:t xml:space="preserve"> </w:t>
      </w:r>
      <w:r>
        <w:rPr>
          <w:rFonts w:ascii="宋体" w:hAnsi="宋体"/>
        </w:rPr>
        <w:drawing>
          <wp:inline distT="0" distB="0" distL="0" distR="0">
            <wp:extent cx="2088515" cy="395605"/>
            <wp:effectExtent l="0" t="0" r="6985" b="4445"/>
            <wp:docPr id="7105926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592668" name="图片 1"/>
                    <pic:cNvPicPr>
                      <a:picLocks noChangeAspect="1"/>
                    </pic:cNvPicPr>
                  </pic:nvPicPr>
                  <pic:blipFill>
                    <a:blip r:embed="rId17"/>
                    <a:stretch>
                      <a:fillRect/>
                    </a:stretch>
                  </pic:blipFill>
                  <pic:spPr>
                    <a:xfrm>
                      <a:off x="0" y="0"/>
                      <a:ext cx="2165501" cy="410234"/>
                    </a:xfrm>
                    <a:prstGeom prst="rect">
                      <a:avLst/>
                    </a:prstGeom>
                  </pic:spPr>
                </pic:pic>
              </a:graphicData>
            </a:graphic>
          </wp:inline>
        </w:drawing>
      </w:r>
      <w:r>
        <w:rPr>
          <w:rFonts w:hint="eastAsia" w:ascii="宋体" w:hAnsi="宋体"/>
        </w:rPr>
        <w:t xml:space="preserve">            </w:t>
      </w:r>
      <w:r>
        <w:rPr>
          <w:rFonts w:ascii="宋体" w:hAnsi="宋体"/>
        </w:rPr>
        <w:drawing>
          <wp:inline distT="0" distB="0" distL="0" distR="0">
            <wp:extent cx="626110" cy="344170"/>
            <wp:effectExtent l="0" t="0" r="2540" b="0"/>
            <wp:docPr id="7685475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547580" name="图片 1"/>
                    <pic:cNvPicPr>
                      <a:picLocks noChangeAspect="1"/>
                    </pic:cNvPicPr>
                  </pic:nvPicPr>
                  <pic:blipFill>
                    <a:blip r:embed="rId18"/>
                    <a:stretch>
                      <a:fillRect/>
                    </a:stretch>
                  </pic:blipFill>
                  <pic:spPr>
                    <a:xfrm>
                      <a:off x="0" y="0"/>
                      <a:ext cx="641008" cy="352554"/>
                    </a:xfrm>
                    <a:prstGeom prst="rect">
                      <a:avLst/>
                    </a:prstGeom>
                  </pic:spPr>
                </pic:pic>
              </a:graphicData>
            </a:graphic>
          </wp:inline>
        </w:drawing>
      </w:r>
    </w:p>
    <w:p w14:paraId="3064A446">
      <w:pPr>
        <w:pStyle w:val="33"/>
        <w:numPr>
          <w:ilvl w:val="0"/>
          <w:numId w:val="3"/>
        </w:numPr>
        <w:spacing w:before="156" w:line="360" w:lineRule="auto"/>
        <w:ind w:firstLineChars="0"/>
        <w:rPr>
          <w:rFonts w:hint="eastAsia" w:ascii="宋体" w:hAnsi="宋体"/>
        </w:rPr>
      </w:pPr>
      <w:r>
        <w:rPr>
          <w:rFonts w:ascii="宋体" w:hAnsi="宋体"/>
          <w:b/>
          <w:bCs/>
        </w:rPr>
        <w:t>动作价值函数 Qπ(s,a)</w:t>
      </w:r>
      <w:r>
        <w:rPr>
          <w:rFonts w:ascii="宋体" w:hAnsi="宋体"/>
        </w:rPr>
        <w:t>：表示在状态s下执行动作a，之后遵循策略π所能获得的期望回报。</w:t>
      </w:r>
    </w:p>
    <w:p w14:paraId="3F1B202C">
      <w:pPr>
        <w:pStyle w:val="33"/>
        <w:spacing w:before="156" w:line="360" w:lineRule="auto"/>
        <w:ind w:left="560" w:firstLine="0" w:firstLineChars="0"/>
        <w:jc w:val="right"/>
        <w:rPr>
          <w:rFonts w:hint="eastAsia" w:ascii="宋体" w:hAnsi="宋体"/>
        </w:rPr>
      </w:pPr>
      <w:r>
        <w:rPr>
          <w:rFonts w:ascii="宋体" w:hAnsi="宋体"/>
        </w:rPr>
        <w:drawing>
          <wp:inline distT="0" distB="0" distL="0" distR="0">
            <wp:extent cx="2947035" cy="486410"/>
            <wp:effectExtent l="0" t="0" r="5715" b="8890"/>
            <wp:docPr id="140683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8336" name="图片 1"/>
                    <pic:cNvPicPr>
                      <a:picLocks noChangeAspect="1"/>
                    </pic:cNvPicPr>
                  </pic:nvPicPr>
                  <pic:blipFill>
                    <a:blip r:embed="rId19"/>
                    <a:stretch>
                      <a:fillRect/>
                    </a:stretch>
                  </pic:blipFill>
                  <pic:spPr>
                    <a:xfrm>
                      <a:off x="0" y="0"/>
                      <a:ext cx="3014739" cy="497970"/>
                    </a:xfrm>
                    <a:prstGeom prst="rect">
                      <a:avLst/>
                    </a:prstGeom>
                  </pic:spPr>
                </pic:pic>
              </a:graphicData>
            </a:graphic>
          </wp:inline>
        </w:drawing>
      </w:r>
      <w:r>
        <w:rPr>
          <w:rFonts w:hint="eastAsia" w:ascii="宋体" w:hAnsi="宋体"/>
        </w:rPr>
        <w:t xml:space="preserve">      </w:t>
      </w:r>
      <w:r>
        <w:rPr>
          <w:rFonts w:ascii="宋体" w:hAnsi="宋体"/>
        </w:rPr>
        <w:drawing>
          <wp:inline distT="0" distB="0" distL="0" distR="0">
            <wp:extent cx="618490" cy="368300"/>
            <wp:effectExtent l="0" t="0" r="0" b="0"/>
            <wp:docPr id="5683787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378796" name="图片 1"/>
                    <pic:cNvPicPr>
                      <a:picLocks noChangeAspect="1"/>
                    </pic:cNvPicPr>
                  </pic:nvPicPr>
                  <pic:blipFill>
                    <a:blip r:embed="rId20"/>
                    <a:stretch>
                      <a:fillRect/>
                    </a:stretch>
                  </pic:blipFill>
                  <pic:spPr>
                    <a:xfrm>
                      <a:off x="0" y="0"/>
                      <a:ext cx="623312" cy="371334"/>
                    </a:xfrm>
                    <a:prstGeom prst="rect">
                      <a:avLst/>
                    </a:prstGeom>
                  </pic:spPr>
                </pic:pic>
              </a:graphicData>
            </a:graphic>
          </wp:inline>
        </w:drawing>
      </w:r>
    </w:p>
    <w:p w14:paraId="43FBF142">
      <w:pPr>
        <w:pStyle w:val="33"/>
        <w:spacing w:before="156" w:line="360" w:lineRule="auto"/>
        <w:ind w:firstLine="0" w:firstLineChars="0"/>
        <w:rPr>
          <w:rFonts w:hint="eastAsia" w:ascii="宋体" w:hAnsi="宋体"/>
        </w:rPr>
      </w:pPr>
      <w:r>
        <w:rPr>
          <w:rFonts w:ascii="宋体" w:hAnsi="宋体"/>
        </w:rPr>
        <w:t>最优策略π</w:t>
      </w:r>
      <w:r>
        <w:rPr>
          <w:rFonts w:ascii="Cambria Math" w:hAnsi="Cambria Math" w:cs="Cambria Math"/>
        </w:rPr>
        <w:t>∗</w:t>
      </w:r>
      <w:r>
        <w:rPr>
          <w:rFonts w:ascii="宋体" w:hAnsi="宋体"/>
        </w:rPr>
        <w:t>是能够最大化价值函数的策略。对应的最优动作价值函数满足</w:t>
      </w:r>
      <w:r>
        <w:rPr>
          <w:rFonts w:ascii="宋体" w:hAnsi="宋体"/>
          <w:b/>
          <w:bCs/>
        </w:rPr>
        <w:t>贝尔曼最优方程</w:t>
      </w:r>
      <w:r>
        <w:rPr>
          <w:rFonts w:ascii="宋体" w:hAnsi="宋体"/>
        </w:rPr>
        <w:t>：</w:t>
      </w:r>
    </w:p>
    <w:p w14:paraId="0EAE16FF">
      <w:pPr>
        <w:pStyle w:val="33"/>
        <w:spacing w:before="156" w:line="360" w:lineRule="auto"/>
        <w:ind w:firstLine="0" w:firstLineChars="0"/>
        <w:jc w:val="right"/>
        <w:rPr>
          <w:rFonts w:hint="eastAsia" w:ascii="宋体" w:hAnsi="宋体"/>
        </w:rPr>
      </w:pPr>
      <w:r>
        <w:rPr>
          <w:rFonts w:ascii="宋体" w:hAnsi="宋体"/>
        </w:rPr>
        <w:drawing>
          <wp:inline distT="0" distB="0" distL="0" distR="0">
            <wp:extent cx="4044315" cy="463550"/>
            <wp:effectExtent l="0" t="0" r="0" b="0"/>
            <wp:docPr id="6078633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863342" name="图片 1"/>
                    <pic:cNvPicPr>
                      <a:picLocks noChangeAspect="1"/>
                    </pic:cNvPicPr>
                  </pic:nvPicPr>
                  <pic:blipFill>
                    <a:blip r:embed="rId21"/>
                    <a:srcRect t="12299" b="8227"/>
                    <a:stretch>
                      <a:fillRect/>
                    </a:stretch>
                  </pic:blipFill>
                  <pic:spPr>
                    <a:xfrm>
                      <a:off x="0" y="0"/>
                      <a:ext cx="4130185" cy="473826"/>
                    </a:xfrm>
                    <a:prstGeom prst="rect">
                      <a:avLst/>
                    </a:prstGeom>
                    <a:ln>
                      <a:noFill/>
                    </a:ln>
                  </pic:spPr>
                </pic:pic>
              </a:graphicData>
            </a:graphic>
          </wp:inline>
        </w:drawing>
      </w:r>
      <w:commentRangeStart w:id="9"/>
      <w:r>
        <w:rPr>
          <w:rFonts w:ascii="宋体" w:hAnsi="宋体"/>
        </w:rPr>
        <w:drawing>
          <wp:inline distT="0" distB="0" distL="0" distR="0">
            <wp:extent cx="632460" cy="357505"/>
            <wp:effectExtent l="0" t="0" r="0" b="4445"/>
            <wp:docPr id="18390055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005512" name="图片 1"/>
                    <pic:cNvPicPr>
                      <a:picLocks noChangeAspect="1"/>
                    </pic:cNvPicPr>
                  </pic:nvPicPr>
                  <pic:blipFill>
                    <a:blip r:embed="rId22"/>
                    <a:stretch>
                      <a:fillRect/>
                    </a:stretch>
                  </pic:blipFill>
                  <pic:spPr>
                    <a:xfrm>
                      <a:off x="0" y="0"/>
                      <a:ext cx="651656" cy="368613"/>
                    </a:xfrm>
                    <a:prstGeom prst="rect">
                      <a:avLst/>
                    </a:prstGeom>
                  </pic:spPr>
                </pic:pic>
              </a:graphicData>
            </a:graphic>
          </wp:inline>
        </w:drawing>
      </w:r>
      <w:commentRangeEnd w:id="9"/>
      <w:r>
        <w:rPr>
          <w:rStyle w:val="20"/>
        </w:rPr>
        <w:commentReference w:id="9"/>
      </w:r>
    </w:p>
    <w:p w14:paraId="5C25BA97">
      <w:pPr>
        <w:pStyle w:val="33"/>
        <w:spacing w:before="156" w:line="360" w:lineRule="auto"/>
        <w:ind w:firstLine="199" w:firstLineChars="95"/>
        <w:rPr>
          <w:rFonts w:hint="eastAsia" w:ascii="宋体" w:hAnsi="宋体"/>
        </w:rPr>
      </w:pPr>
      <w:r>
        <w:rPr>
          <w:rFonts w:ascii="宋体" w:hAnsi="宋体"/>
        </w:rPr>
        <w:t>该方程揭示了最优决策的递推关系：当前状态-动作对的价值等于即时奖励加上下一个状态最大价值的折扣值。</w:t>
      </w:r>
    </w:p>
    <w:p w14:paraId="7ABBF7E2">
      <w:pPr>
        <w:ind w:firstLine="482"/>
        <w:rPr>
          <w:rFonts w:hint="eastAsia" w:ascii="宋体" w:hAnsi="宋体"/>
          <w:b/>
          <w:bCs/>
          <w:kern w:val="44"/>
          <w:sz w:val="24"/>
        </w:rPr>
      </w:pPr>
      <w:r>
        <w:rPr>
          <w:rFonts w:hint="eastAsia" w:ascii="宋体" w:hAnsi="宋体"/>
          <w:b/>
          <w:bCs/>
          <w:kern w:val="44"/>
          <w:sz w:val="24"/>
        </w:rPr>
        <w:t>2.2</w:t>
      </w:r>
      <w:r>
        <w:rPr>
          <w:rFonts w:ascii="宋体" w:hAnsi="宋体"/>
          <w:b/>
          <w:bCs/>
          <w:kern w:val="44"/>
          <w:sz w:val="24"/>
        </w:rPr>
        <w:t>核心算法分类与发展脉络</w:t>
      </w:r>
    </w:p>
    <w:p w14:paraId="1CF74EBD">
      <w:pPr>
        <w:widowControl/>
        <w:shd w:val="clear" w:color="auto" w:fill="FFFFFF"/>
        <w:spacing w:before="240" w:after="240"/>
        <w:ind w:firstLine="0" w:firstLineChars="0"/>
        <w:jc w:val="left"/>
        <w:rPr>
          <w:rFonts w:hint="eastAsia" w:ascii="宋体" w:hAnsi="宋体" w:cs="Segoe UI"/>
          <w:color w:val="0F1115"/>
          <w:kern w:val="0"/>
          <w:szCs w:val="21"/>
        </w:rPr>
      </w:pPr>
      <w:r>
        <w:rPr>
          <w:rFonts w:ascii="宋体" w:hAnsi="宋体" w:cs="Segoe UI"/>
          <w:color w:val="0F1115"/>
          <w:kern w:val="0"/>
          <w:szCs w:val="21"/>
        </w:rPr>
        <w:t>RL算法种类繁多，可以从不同角度进行分类。一种经典的分类方式是基于价值和基于策略。基于价值的方法</w:t>
      </w:r>
      <w:r>
        <w:rPr>
          <w:rFonts w:hint="eastAsia" w:ascii="宋体" w:hAnsi="宋体" w:cs="Segoe UI"/>
          <w:color w:val="0F1115"/>
          <w:kern w:val="0"/>
          <w:szCs w:val="21"/>
        </w:rPr>
        <w:t>[2]</w:t>
      </w:r>
      <w:r>
        <w:rPr>
          <w:rFonts w:ascii="宋体" w:hAnsi="宋体" w:cs="Segoe UI"/>
          <w:color w:val="0F1115"/>
          <w:kern w:val="0"/>
          <w:szCs w:val="21"/>
        </w:rPr>
        <w:t>：算法目标是学习最优动作价值函数 </w:t>
      </w:r>
      <w:r>
        <w:rPr>
          <w:rFonts w:ascii="宋体" w:hAnsi="宋体"/>
          <w:color w:val="0F1115"/>
          <w:kern w:val="0"/>
          <w:szCs w:val="21"/>
        </w:rPr>
        <w:t>Q</w:t>
      </w:r>
      <w:r>
        <w:rPr>
          <w:rFonts w:ascii="Cambria Math" w:hAnsi="Cambria Math" w:cs="Cambria Math"/>
          <w:color w:val="0F1115"/>
          <w:kern w:val="0"/>
          <w:szCs w:val="21"/>
        </w:rPr>
        <w:t>∗</w:t>
      </w:r>
      <w:r>
        <w:rPr>
          <w:rFonts w:ascii="宋体" w:hAnsi="宋体"/>
          <w:color w:val="0F1115"/>
          <w:kern w:val="0"/>
          <w:szCs w:val="21"/>
        </w:rPr>
        <w:t>(s,a)</w:t>
      </w:r>
      <w:r>
        <w:rPr>
          <w:rFonts w:hint="eastAsia" w:ascii="宋体" w:hAnsi="宋体"/>
          <w:i/>
          <w:iCs/>
          <w:color w:val="0F1115"/>
          <w:kern w:val="0"/>
          <w:szCs w:val="21"/>
        </w:rPr>
        <w:t>。</w:t>
      </w:r>
      <w:r>
        <w:rPr>
          <w:rFonts w:ascii="宋体" w:hAnsi="宋体" w:cs="Segoe UI"/>
          <w:color w:val="0F1115"/>
          <w:kern w:val="0"/>
          <w:szCs w:val="21"/>
        </w:rPr>
        <w:t>一旦学得 </w:t>
      </w:r>
      <w:r>
        <w:rPr>
          <w:rFonts w:ascii="宋体" w:hAnsi="宋体"/>
          <w:color w:val="0F1115"/>
          <w:kern w:val="0"/>
          <w:szCs w:val="21"/>
        </w:rPr>
        <w:t>Q</w:t>
      </w:r>
      <w:r>
        <w:rPr>
          <w:rFonts w:ascii="Cambria Math" w:hAnsi="Cambria Math" w:cs="Cambria Math"/>
          <w:color w:val="0F1115"/>
          <w:kern w:val="0"/>
          <w:szCs w:val="21"/>
        </w:rPr>
        <w:t>∗</w:t>
      </w:r>
      <w:r>
        <w:rPr>
          <w:rFonts w:ascii="宋体" w:hAnsi="宋体" w:cs="Segoe UI"/>
          <w:color w:val="0F1115"/>
          <w:kern w:val="0"/>
          <w:szCs w:val="21"/>
        </w:rPr>
        <w:t>，最优策略即可通过选择每个状态下价值最大的动作得到。其代表是Q-learning，它的更新公式如下：</w:t>
      </w:r>
    </w:p>
    <w:p w14:paraId="462EE3DF">
      <w:pPr>
        <w:widowControl/>
        <w:shd w:val="clear" w:color="auto" w:fill="FFFFFF"/>
        <w:spacing w:before="240" w:after="240"/>
        <w:ind w:firstLine="0" w:firstLineChars="0"/>
        <w:jc w:val="right"/>
        <w:rPr>
          <w:rFonts w:hint="eastAsia" w:ascii="宋体" w:hAnsi="宋体" w:cs="Segoe UI"/>
          <w:color w:val="0F1115"/>
          <w:kern w:val="0"/>
          <w:szCs w:val="21"/>
        </w:rPr>
      </w:pPr>
      <w:r>
        <w:rPr>
          <w:rFonts w:ascii="宋体" w:hAnsi="宋体" w:cs="Segoe UI"/>
          <w:color w:val="0F1115"/>
          <w:kern w:val="0"/>
          <w:szCs w:val="21"/>
        </w:rPr>
        <w:drawing>
          <wp:inline distT="0" distB="0" distL="0" distR="0">
            <wp:extent cx="4213225" cy="523875"/>
            <wp:effectExtent l="0" t="0" r="0" b="9525"/>
            <wp:docPr id="3176952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695202" name="图片 1"/>
                    <pic:cNvPicPr>
                      <a:picLocks noChangeAspect="1"/>
                    </pic:cNvPicPr>
                  </pic:nvPicPr>
                  <pic:blipFill>
                    <a:blip r:embed="rId23"/>
                    <a:srcRect t="6341"/>
                    <a:stretch>
                      <a:fillRect/>
                    </a:stretch>
                  </pic:blipFill>
                  <pic:spPr>
                    <a:xfrm>
                      <a:off x="0" y="0"/>
                      <a:ext cx="4288504" cy="533868"/>
                    </a:xfrm>
                    <a:prstGeom prst="rect">
                      <a:avLst/>
                    </a:prstGeom>
                    <a:ln>
                      <a:noFill/>
                    </a:ln>
                  </pic:spPr>
                </pic:pic>
              </a:graphicData>
            </a:graphic>
          </wp:inline>
        </w:drawing>
      </w:r>
      <w:r>
        <w:rPr>
          <w:rFonts w:hint="eastAsia" w:ascii="宋体" w:hAnsi="宋体" w:cs="Segoe UI"/>
          <w:color w:val="0F1115"/>
          <w:kern w:val="0"/>
          <w:szCs w:val="21"/>
        </w:rPr>
        <w:t xml:space="preserve"> </w:t>
      </w:r>
      <w:r>
        <w:rPr>
          <w:rFonts w:ascii="宋体" w:hAnsi="宋体" w:cs="Segoe UI"/>
          <w:color w:val="0F1115"/>
          <w:kern w:val="0"/>
          <w:szCs w:val="21"/>
        </w:rPr>
        <w:drawing>
          <wp:inline distT="0" distB="0" distL="0" distR="0">
            <wp:extent cx="576580" cy="437515"/>
            <wp:effectExtent l="0" t="0" r="0" b="635"/>
            <wp:docPr id="11748443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844397" name="图片 1"/>
                    <pic:cNvPicPr>
                      <a:picLocks noChangeAspect="1"/>
                    </pic:cNvPicPr>
                  </pic:nvPicPr>
                  <pic:blipFill>
                    <a:blip r:embed="rId24"/>
                    <a:stretch>
                      <a:fillRect/>
                    </a:stretch>
                  </pic:blipFill>
                  <pic:spPr>
                    <a:xfrm>
                      <a:off x="0" y="0"/>
                      <a:ext cx="583722" cy="442824"/>
                    </a:xfrm>
                    <a:prstGeom prst="rect">
                      <a:avLst/>
                    </a:prstGeom>
                  </pic:spPr>
                </pic:pic>
              </a:graphicData>
            </a:graphic>
          </wp:inline>
        </w:drawing>
      </w:r>
      <w:commentRangeEnd w:id="8"/>
      <w:r>
        <w:rPr>
          <w:rStyle w:val="20"/>
        </w:rPr>
        <w:commentReference w:id="8"/>
      </w:r>
    </w:p>
    <w:p w14:paraId="6D369A7B">
      <w:pPr>
        <w:widowControl/>
        <w:shd w:val="clear" w:color="auto" w:fill="FFFFFF"/>
        <w:spacing w:before="120"/>
        <w:ind w:firstLineChars="0"/>
        <w:jc w:val="left"/>
        <w:rPr>
          <w:rFonts w:hint="eastAsia" w:ascii="宋体" w:hAnsi="宋体" w:cs="Segoe UI"/>
          <w:color w:val="0F1115"/>
          <w:kern w:val="0"/>
          <w:szCs w:val="21"/>
        </w:rPr>
      </w:pPr>
      <w:r>
        <w:rPr>
          <w:rFonts w:ascii="宋体" w:hAnsi="宋体" w:cs="Segoe UI"/>
          <w:color w:val="0F1115"/>
          <w:kern w:val="0"/>
          <w:szCs w:val="21"/>
        </w:rPr>
        <w:t>其中</w:t>
      </w:r>
      <w:r>
        <w:rPr>
          <w:rFonts w:ascii="宋体" w:hAnsi="宋体"/>
          <w:color w:val="0F1115"/>
          <w:kern w:val="0"/>
          <w:szCs w:val="21"/>
        </w:rPr>
        <w:t>α</w:t>
      </w:r>
      <w:r>
        <w:rPr>
          <w:rFonts w:ascii="宋体" w:hAnsi="宋体" w:cs="Segoe UI"/>
          <w:color w:val="0F1115"/>
          <w:kern w:val="0"/>
          <w:szCs w:val="21"/>
        </w:rPr>
        <w:t>是学习率。Q-learning是一种离线策略算法，意味着它学习最优策略的行为可以与智能体实际跟从的策略不同。</w:t>
      </w:r>
    </w:p>
    <w:p w14:paraId="62D13F64">
      <w:pPr>
        <w:widowControl/>
        <w:shd w:val="clear" w:color="auto" w:fill="FFFFFF"/>
        <w:ind w:firstLineChars="0"/>
        <w:jc w:val="left"/>
        <w:rPr>
          <w:rFonts w:hint="eastAsia" w:ascii="宋体" w:hAnsi="宋体" w:cs="Segoe UI"/>
          <w:color w:val="0F1115"/>
          <w:kern w:val="0"/>
          <w:szCs w:val="21"/>
        </w:rPr>
      </w:pPr>
      <w:r>
        <w:rPr>
          <w:rFonts w:hint="eastAsia" w:ascii="宋体" w:hAnsi="宋体" w:cs="Segoe UI"/>
          <w:color w:val="0F1115"/>
          <w:kern w:val="0"/>
          <w:szCs w:val="21"/>
        </w:rPr>
        <w:t>另一种是</w:t>
      </w:r>
      <w:r>
        <w:rPr>
          <w:rFonts w:ascii="宋体" w:hAnsi="宋体" w:cs="Segoe UI"/>
          <w:color w:val="0F1115"/>
          <w:kern w:val="0"/>
          <w:szCs w:val="21"/>
        </w:rPr>
        <w:t>基于策略的方法：算法直接学习策略函数 </w:t>
      </w:r>
      <w:r>
        <w:rPr>
          <w:rFonts w:ascii="宋体" w:hAnsi="宋体"/>
          <w:color w:val="0F1115"/>
          <w:kern w:val="0"/>
          <w:szCs w:val="21"/>
        </w:rPr>
        <w:t>π(a</w:t>
      </w:r>
      <w:r>
        <w:rPr>
          <w:rFonts w:ascii="宋体" w:hAnsi="宋体" w:cs="Cambria Math"/>
          <w:color w:val="0F1115"/>
          <w:kern w:val="0"/>
          <w:szCs w:val="21"/>
        </w:rPr>
        <w:t>∣</w:t>
      </w:r>
      <w:r>
        <w:rPr>
          <w:rFonts w:ascii="宋体" w:hAnsi="宋体"/>
          <w:color w:val="0F1115"/>
          <w:kern w:val="0"/>
          <w:szCs w:val="21"/>
        </w:rPr>
        <w:t>s;θ)</w:t>
      </w:r>
      <w:r>
        <w:rPr>
          <w:rFonts w:ascii="宋体" w:hAnsi="宋体" w:cs="Segoe UI"/>
          <w:color w:val="0F1115"/>
          <w:kern w:val="0"/>
          <w:szCs w:val="21"/>
        </w:rPr>
        <w:t> 的参数 </w:t>
      </w:r>
      <w:r>
        <w:rPr>
          <w:rFonts w:ascii="宋体" w:hAnsi="宋体"/>
          <w:i/>
          <w:iCs/>
          <w:color w:val="0F1115"/>
          <w:kern w:val="0"/>
          <w:szCs w:val="21"/>
        </w:rPr>
        <w:t>θ</w:t>
      </w:r>
      <w:r>
        <w:rPr>
          <w:rFonts w:ascii="宋体" w:hAnsi="宋体" w:cs="Segoe UI"/>
          <w:color w:val="0F1115"/>
          <w:kern w:val="0"/>
          <w:szCs w:val="21"/>
        </w:rPr>
        <w:t>，并通过策略梯度定理等方法来优化参数，以最大化期望回报。这类方法更适合处理连续动作空间和高维问题。REINFORCE 算法是其中的经典代表。</w:t>
      </w:r>
    </w:p>
    <w:p w14:paraId="1079CFF3">
      <w:pPr>
        <w:widowControl/>
        <w:shd w:val="clear" w:color="auto" w:fill="FFFFFF"/>
        <w:ind w:firstLineChars="0"/>
        <w:jc w:val="left"/>
        <w:rPr>
          <w:rFonts w:hint="eastAsia" w:ascii="宋体" w:hAnsi="宋体" w:cs="Segoe UI"/>
          <w:color w:val="0F1115"/>
          <w:kern w:val="0"/>
          <w:szCs w:val="21"/>
        </w:rPr>
      </w:pPr>
      <w:r>
        <w:rPr>
          <w:rFonts w:ascii="宋体" w:hAnsi="宋体" w:cs="Segoe UI"/>
          <w:color w:val="0F1115"/>
          <w:kern w:val="0"/>
          <w:szCs w:val="21"/>
        </w:rPr>
        <w:t>演员-评论家方法是结合前两者优势的混合架构。“演员” 是一个策略函数，负责执行动作；“评论家” 是一个价值函数（通常是Q函数或优势函数），负责评估演员动作的好坏。评论家的评估被用作信号来指导演员的策略更新。</w:t>
      </w:r>
      <w:commentRangeStart w:id="10"/>
      <w:r>
        <w:rPr>
          <w:rFonts w:ascii="宋体" w:hAnsi="宋体" w:cs="Segoe UI"/>
          <w:color w:val="0F1115"/>
          <w:kern w:val="0"/>
          <w:szCs w:val="21"/>
        </w:rPr>
        <w:t>深度确定性策略梯度（DDPG）</w:t>
      </w:r>
      <w:r>
        <w:rPr>
          <w:rFonts w:hint="eastAsia" w:ascii="宋体" w:hAnsi="宋体" w:cs="Segoe UI"/>
          <w:color w:val="0F1115"/>
          <w:kern w:val="0"/>
          <w:szCs w:val="21"/>
        </w:rPr>
        <w:t>[2]</w:t>
      </w:r>
      <w:r>
        <w:rPr>
          <w:rFonts w:ascii="宋体" w:hAnsi="宋体" w:cs="Segoe UI"/>
          <w:color w:val="0F1115"/>
          <w:kern w:val="0"/>
          <w:szCs w:val="21"/>
        </w:rPr>
        <w:t>、近端策略优化（PPO）</w:t>
      </w:r>
      <w:r>
        <w:rPr>
          <w:rFonts w:hint="eastAsia" w:ascii="宋体" w:hAnsi="宋体" w:cs="Segoe UI"/>
          <w:color w:val="0F1115"/>
          <w:kern w:val="0"/>
          <w:szCs w:val="21"/>
        </w:rPr>
        <w:t>[3]</w:t>
      </w:r>
      <w:r>
        <w:rPr>
          <w:rFonts w:ascii="宋体" w:hAnsi="宋体" w:cs="Segoe UI"/>
          <w:color w:val="0F1115"/>
          <w:kern w:val="0"/>
          <w:szCs w:val="21"/>
        </w:rPr>
        <w:t> 和软演员-评论家（SAC）</w:t>
      </w:r>
      <w:r>
        <w:rPr>
          <w:rFonts w:hint="eastAsia" w:ascii="宋体" w:hAnsi="宋体" w:cs="Segoe UI"/>
          <w:color w:val="0F1115"/>
          <w:kern w:val="0"/>
          <w:szCs w:val="21"/>
        </w:rPr>
        <w:t>[4]</w:t>
      </w:r>
      <w:r>
        <w:rPr>
          <w:rFonts w:ascii="宋体" w:hAnsi="宋体" w:cs="Segoe UI"/>
          <w:color w:val="0F1115"/>
          <w:kern w:val="0"/>
          <w:szCs w:val="21"/>
        </w:rPr>
        <w:t> 等现代高性能算法均属于此架构。PPO和SAC因其出色的稳定性和样本效率，已成为当前机器人控制、大模型对齐等领域的主流选择。</w:t>
      </w:r>
      <w:commentRangeEnd w:id="10"/>
      <w:r>
        <w:rPr>
          <w:rStyle w:val="20"/>
        </w:rPr>
        <w:commentReference w:id="10"/>
      </w:r>
    </w:p>
    <w:p w14:paraId="43A5D282">
      <w:pPr>
        <w:ind w:firstLine="0" w:firstLineChars="0"/>
        <w:rPr>
          <w:rFonts w:hint="eastAsia" w:ascii="黑体" w:hAnsi="黑体" w:eastAsia="黑体"/>
          <w:b/>
          <w:bCs/>
          <w:kern w:val="44"/>
          <w:sz w:val="24"/>
        </w:rPr>
      </w:pPr>
    </w:p>
    <w:p w14:paraId="499EA0FA">
      <w:pPr>
        <w:ind w:firstLine="482"/>
        <w:rPr>
          <w:rFonts w:hint="eastAsia" w:ascii="黑体" w:hAnsi="黑体" w:eastAsia="黑体"/>
          <w:b/>
          <w:bCs/>
          <w:kern w:val="44"/>
          <w:sz w:val="24"/>
        </w:rPr>
      </w:pPr>
      <w:r>
        <w:rPr>
          <w:rFonts w:hint="eastAsia" w:ascii="黑体" w:hAnsi="黑体" w:eastAsia="黑体"/>
          <w:b/>
          <w:bCs/>
          <w:kern w:val="44"/>
          <w:sz w:val="24"/>
        </w:rPr>
        <w:t>2.3从传统强化学习到深度强化学习</w:t>
      </w:r>
    </w:p>
    <w:p w14:paraId="7367F0D6">
      <w:pPr>
        <w:pStyle w:val="33"/>
        <w:spacing w:before="156" w:line="360" w:lineRule="auto"/>
        <w:ind w:firstLine="199" w:firstLineChars="95"/>
      </w:pPr>
      <w:r>
        <w:rPr>
          <w:rFonts w:hint="eastAsia"/>
        </w:rPr>
        <w:t>在深度学习兴起之前，传统RL方法严重依赖于人工设计的特征，且在处理高维状态空间（如图像）时能力有限。2013年，DeepMind提出的深度Q网络（DQN） 将深度神经网络与Q-learning结合，实现了从原始像素输入直接学习玩Atari游戏，标志着深度强化学习时代的开启[5]。DQN通过经验回放 和目标网络 等机制解决了数据关联性和学习稳定性的问题。</w:t>
      </w:r>
    </w:p>
    <w:p w14:paraId="6F2553F2">
      <w:pPr>
        <w:pStyle w:val="33"/>
        <w:spacing w:before="156" w:line="360" w:lineRule="auto"/>
        <w:ind w:firstLine="199" w:firstLineChars="95"/>
      </w:pPr>
      <w:r>
        <w:rPr>
          <w:rFonts w:hint="eastAsia"/>
        </w:rPr>
        <w:t>此后，DRL算法蓬勃发展，从处理离散动作空间的DQN，到处理连续动作空间的DDPG，再到兼顾样本效率与稳定性的SAC和PPO，算法的性能和应用范围不断拓展。如今，强化学习正与大型语言模型、机器人学、无人驾驶等领域深度融合，向着更通用、更高效、更安全的人工智能不断迈进。</w:t>
      </w:r>
    </w:p>
    <w:p w14:paraId="48D83642">
      <w:pPr>
        <w:pStyle w:val="2"/>
        <w:spacing w:before="240" w:after="120" w:line="360" w:lineRule="auto"/>
        <w:ind w:firstLine="482"/>
      </w:pPr>
      <w:r>
        <w:rPr>
          <w:rFonts w:ascii="黑体" w:hAnsi="黑体" w:eastAsia="黑体"/>
          <w:sz w:val="24"/>
          <w:szCs w:val="24"/>
        </w:rPr>
        <w:t>3</w:t>
      </w:r>
      <w:r>
        <w:rPr>
          <w:rFonts w:hint="eastAsia" w:ascii="黑体" w:hAnsi="黑体" w:eastAsia="黑体"/>
          <w:sz w:val="24"/>
          <w:szCs w:val="24"/>
        </w:rPr>
        <w:t xml:space="preserve">  强化学习在机器人控制中的应用（田峻硕）</w:t>
      </w:r>
    </w:p>
    <w:p w14:paraId="6D240D35">
      <w:pPr>
        <w:pStyle w:val="2"/>
        <w:spacing w:before="240" w:after="120" w:line="360" w:lineRule="auto"/>
        <w:ind w:firstLine="420"/>
        <w:rPr>
          <w:b w:val="0"/>
          <w:bCs w:val="0"/>
          <w:kern w:val="2"/>
          <w:sz w:val="21"/>
          <w:szCs w:val="24"/>
        </w:rPr>
      </w:pPr>
      <w:commentRangeStart w:id="11"/>
      <w:r>
        <w:rPr>
          <w:rFonts w:hint="eastAsia"/>
          <w:b w:val="0"/>
          <w:bCs w:val="0"/>
          <w:kern w:val="2"/>
          <w:sz w:val="21"/>
          <w:szCs w:val="24"/>
        </w:rPr>
        <w:t>强化学习（RL）在机器人控制领域的应用，标志着机器人技术从“精确编程”到“自主习得”的范式转变。传统控制方法（如PID控制）依赖于对被控对象精确的数学模型，这在结构化的工业环境中非常有效。然而，面对非结构化、动态变化和存在不确定性的真实世界，建立精准模型变得异常困难甚至不可能。RL的核心优势在于其模型无关的特性，智能体（机器人）通过与环境的试错交互，直接从高维感官输入（如摄像头图像、关节角度）中学习到从状态到动作的映射策略（Policy），从而适应复杂环境。从简单的平衡控制到复杂的灵巧操作，RL正逐步成为实现机器人高级智能的关键技术。</w:t>
      </w:r>
      <w:commentRangeEnd w:id="11"/>
      <w:r>
        <w:rPr>
          <w:rStyle w:val="20"/>
          <w:b w:val="0"/>
          <w:bCs w:val="0"/>
          <w:kern w:val="2"/>
        </w:rPr>
        <w:commentReference w:id="11"/>
      </w:r>
    </w:p>
    <w:p w14:paraId="7CAA29C4">
      <w:pPr>
        <w:pStyle w:val="2"/>
        <w:spacing w:before="240" w:after="120" w:line="360" w:lineRule="auto"/>
        <w:ind w:firstLine="482"/>
        <w:rPr>
          <w:rFonts w:hint="eastAsia" w:ascii="黑体" w:hAnsi="黑体" w:eastAsia="黑体"/>
          <w:sz w:val="24"/>
          <w:szCs w:val="24"/>
        </w:rPr>
      </w:pPr>
      <w:r>
        <w:rPr>
          <w:rFonts w:hint="eastAsia" w:ascii="黑体" w:hAnsi="黑体" w:eastAsia="黑体"/>
          <w:sz w:val="24"/>
          <w:szCs w:val="24"/>
        </w:rPr>
        <w:t>3.1 应用背景与核心挑战</w:t>
      </w:r>
    </w:p>
    <w:p w14:paraId="27113306">
      <w:pPr>
        <w:ind w:firstLine="482"/>
        <w:rPr>
          <w:rFonts w:hint="eastAsia" w:ascii="黑体" w:hAnsi="黑体" w:eastAsia="黑体"/>
          <w:b/>
          <w:bCs/>
          <w:kern w:val="44"/>
          <w:sz w:val="24"/>
        </w:rPr>
      </w:pPr>
      <w:r>
        <w:rPr>
          <w:rFonts w:hint="eastAsia" w:ascii="黑体" w:hAnsi="黑体" w:eastAsia="黑体"/>
          <w:b/>
          <w:bCs/>
          <w:kern w:val="44"/>
          <w:sz w:val="24"/>
        </w:rPr>
        <w:t>3.1.1 应用背景</w:t>
      </w:r>
    </w:p>
    <w:p w14:paraId="59DF3988">
      <w:pPr>
        <w:ind w:firstLine="420"/>
      </w:pPr>
      <w:commentRangeStart w:id="12"/>
      <w:r>
        <w:rPr>
          <w:rFonts w:hint="eastAsia"/>
        </w:rPr>
        <w:t>• 任务复杂化： 任务范围已从单一的定点移动扩展到需要多模态感知、长期规划和精细物理交互的复杂任务，例如开门、叠衣服、协助老人等。这些任务难以用传统的“if-then”规则穷尽描述。</w:t>
      </w:r>
    </w:p>
    <w:p w14:paraId="63AEF3C4">
      <w:pPr>
        <w:ind w:firstLine="420"/>
      </w:pPr>
      <w:r>
        <w:rPr>
          <w:rFonts w:hint="eastAsia"/>
        </w:rPr>
        <w:t>• 硬件成本下降与性能提升： 随着机器人硬件的普及和计算能力（GPU）的飞跃，使得在合理时间内进行数据密集型RL训练成为可能。</w:t>
      </w:r>
    </w:p>
    <w:p w14:paraId="49CA8C7B">
      <w:pPr>
        <w:ind w:firstLine="420"/>
      </w:pPr>
    </w:p>
    <w:p w14:paraId="7A7C2232">
      <w:pPr>
        <w:ind w:firstLine="482"/>
        <w:rPr>
          <w:rFonts w:hint="eastAsia" w:ascii="黑体" w:hAnsi="黑体" w:eastAsia="黑体"/>
          <w:b/>
          <w:bCs/>
          <w:kern w:val="44"/>
          <w:sz w:val="24"/>
        </w:rPr>
      </w:pPr>
      <w:r>
        <w:rPr>
          <w:rFonts w:hint="eastAsia" w:ascii="黑体" w:hAnsi="黑体" w:eastAsia="黑体"/>
          <w:b/>
          <w:bCs/>
          <w:kern w:val="44"/>
          <w:sz w:val="24"/>
        </w:rPr>
        <w:t>3.2.2 核心挑战</w:t>
      </w:r>
    </w:p>
    <w:p w14:paraId="0738DE5D">
      <w:pPr>
        <w:ind w:firstLine="420"/>
      </w:pPr>
      <w:r>
        <w:rPr>
          <w:rFonts w:hint="eastAsia"/>
        </w:rPr>
        <w:t>将RL理论应用于物理机器人，面临着一系列严峻的工程与科学挑战，其本质在于高维连续状态动作空间、样本效率与安全性之间的固有矛盾。</w:t>
      </w:r>
    </w:p>
    <w:p w14:paraId="2BB7558D">
      <w:pPr>
        <w:ind w:firstLine="420"/>
      </w:pPr>
      <w:r>
        <w:rPr>
          <w:rFonts w:hint="eastAsia"/>
        </w:rPr>
        <w:t>1 “仿真-现实”差距： 这是制约RL实用化的首要瓶颈。为规避真实世界试错的高成本和风险，训练主要在仿真环境中进行。然而，仿真模型无法精确模拟所有的物理特性（如摩擦、弹性、延迟）和感知噪声（如相机畸变、光线变化），导致在仿真中表现优异的策略迁移到真实世界后性能急剧下降，这一问题被称为“领域偏移”（domain shift）。</w:t>
      </w:r>
    </w:p>
    <w:p w14:paraId="3359CBCE">
      <w:pPr>
        <w:ind w:firstLine="420"/>
      </w:pPr>
      <w:r>
        <w:rPr>
          <w:rFonts w:hint="eastAsia"/>
        </w:rPr>
        <w:t>2 奖励函数设计与稀疏奖励问题： RL的性能高度依赖于奖励函数的设计。对于复杂的机器人任务，稀疏奖励（仅在任务完成时给予奖励）使得智能体几乎无法通过随机探索找到正反馈，学习过程异常缓慢。而设计有效的稠密奖励函数则需要深厚的领域知识，且设计不当极易导致智能体学习到违背任务本意的“奖励黑客”（reward hacking）行为。</w:t>
      </w:r>
    </w:p>
    <w:p w14:paraId="16EC5F8D">
      <w:pPr>
        <w:ind w:firstLine="420"/>
      </w:pPr>
      <w:r>
        <w:rPr>
          <w:rFonts w:hint="eastAsia"/>
        </w:rPr>
        <w:t>3 样本效率与安全性悖论： 无模型的深度RL算法通常需要百万次级别的交互数据。在真实机器人上进行的“在线RL”因时间成本和硬件损耗而几乎不可行。因此，研究重心转向“离线RL”和“仿真中训练”。但如何保证学习策略在真实部署时的安全性（safety）和鲁棒性（robustness），防止其产生危险动作，是一个尚未完全解决的开放性难题。</w:t>
      </w:r>
      <w:commentRangeEnd w:id="12"/>
      <w:r>
        <w:rPr>
          <w:rStyle w:val="20"/>
        </w:rPr>
        <w:commentReference w:id="12"/>
      </w:r>
    </w:p>
    <w:p w14:paraId="051A632B">
      <w:pPr>
        <w:ind w:firstLine="420"/>
      </w:pPr>
    </w:p>
    <w:p w14:paraId="605B0BE9">
      <w:pPr>
        <w:ind w:firstLine="420"/>
      </w:pPr>
    </w:p>
    <w:p w14:paraId="1FE4D8B1">
      <w:pPr>
        <w:ind w:firstLine="482"/>
        <w:rPr>
          <w:rFonts w:hint="eastAsia" w:ascii="黑体" w:hAnsi="黑体" w:eastAsia="黑体"/>
          <w:b/>
          <w:bCs/>
          <w:kern w:val="44"/>
          <w:sz w:val="24"/>
        </w:rPr>
      </w:pPr>
      <w:r>
        <w:rPr>
          <w:rFonts w:hint="eastAsia" w:ascii="黑体" w:hAnsi="黑体" w:eastAsia="黑体"/>
          <w:b/>
          <w:bCs/>
          <w:kern w:val="44"/>
          <w:sz w:val="24"/>
        </w:rPr>
        <w:t>3.3 主要方法与技术路线</w:t>
      </w:r>
    </w:p>
    <w:p w14:paraId="2959B91F">
      <w:pPr>
        <w:ind w:firstLine="420"/>
      </w:pPr>
      <w:commentRangeStart w:id="13"/>
      <w:r>
        <w:rPr>
          <w:rFonts w:hint="eastAsia"/>
        </w:rPr>
        <w:t>为克服仿真与现实之间的鸿沟，研究者们发展出多层次的技术路线[6,7,12]，其核心思想可归纳为两大类：一是提升仿真策略对现实不确定性的内在鲁棒性，二是利用真实世界数据外在地修正仿真模型或学习过程。前者以领域随机化为代表，通过在训练阶段向仿真环境注入大量不确定性因素——如随机化物体动力学参数、环境纹理、传感器模型等——迫使策略学习抓住任务本质的核心特征，而非对仿真环境细节的过拟合。这种思路旨在培养策略一种“以不变应万变”的泛化能力，使其将千变万化的真实物理世界视为自身训练过程中见过的某个随机变体，从而实现零样本或少量样本的迁移。</w:t>
      </w:r>
    </w:p>
    <w:p w14:paraId="721FA44A">
      <w:pPr>
        <w:ind w:firstLine="420"/>
      </w:pPr>
      <w:r>
        <w:rPr>
          <w:rFonts w:hint="eastAsia"/>
        </w:rPr>
        <w:t>然而，纯粹的随机化存在边界，当仿真与现实的基础动力学存在系统性偏差时，则需要引入真实数据进行校准。这催生了基于系统辨识与在线自适应的技术路径。系统辨识通过在真实机器人上执行预设动作并收集数据，以此反演和校准仿真模型的物理参数，是一种“先验校准”思路。而在线自适应则更进一步，它在策略部署后持续运行，通过监控策略在现实中的表现并利用元学习或自适应控制算法进行微调，实现“运行时校准”，使策略能动态适应未建模的动态特性或硬件磨损。</w:t>
      </w:r>
    </w:p>
    <w:p w14:paraId="42EE9668">
      <w:pPr>
        <w:ind w:firstLine="420"/>
      </w:pPr>
      <w:r>
        <w:rPr>
          <w:rFonts w:hint="eastAsia"/>
        </w:rPr>
        <w:t>从根本上讲，上述方法仍依赖于在仿真中进行大量交互。一种更具颠覆性的思路是离线强化学习，它试图彻底规避仿真到现实的迁移难题。离线RL直接从预先收集的、不包含智能体自身探索的静态数据集中学习策略，这通常是人类演示或历史操作数据。这种方法将问题从“如何在仿真中学习一个能迁移的策略”转变为“如何从真实世界的数据中直接提取价值”，极大地提升了安全性，但也带来了分布偏移、策略保守等新的挑战。</w:t>
      </w:r>
    </w:p>
    <w:p w14:paraId="6FBB1FF9">
      <w:pPr>
        <w:ind w:firstLine="420"/>
      </w:pPr>
      <w:r>
        <w:rPr>
          <w:rFonts w:hint="eastAsia"/>
        </w:rPr>
        <w:t>除了解决“仿真-现实”差距这一核心矛盾，提升复杂任务下的学习效率与稳定性也至关重要。分层强化学习通过引入任务抽象来分解问题，高层策略负责制定长期子目标，底层策略则专精于实现具体的运动技能，从而将复杂的长期信用分配问题简化为更易解决的子任务。此外，模仿学习与逆强化学习通过引入专家先验知识来引导学习过程[9,14]。模仿学习直接复现专家动作以快速获得高质量初始策略，而逆强化学习则更深入地尝试推断专家行为背后隐含的奖励函数，使智能体能够理解任务的“意图”而非简单地“照搬动作”，从而具备超越演示数据的泛化潜力。这些方法与仿真到现实迁移技术并非互斥，而是常常被协同使用，共同构成了当前机器人强化学习丰富而实用的技术体系。</w:t>
      </w:r>
      <w:commentRangeEnd w:id="13"/>
      <w:r>
        <w:rPr>
          <w:rStyle w:val="20"/>
        </w:rPr>
        <w:commentReference w:id="13"/>
      </w:r>
    </w:p>
    <w:p w14:paraId="101B08E7">
      <w:pPr>
        <w:ind w:firstLine="482"/>
        <w:rPr>
          <w:rFonts w:hint="eastAsia" w:ascii="黑体" w:hAnsi="黑体" w:eastAsia="黑体"/>
          <w:b/>
          <w:bCs/>
          <w:kern w:val="44"/>
          <w:sz w:val="24"/>
        </w:rPr>
      </w:pPr>
      <w:r>
        <w:rPr>
          <w:rFonts w:hint="eastAsia" w:ascii="黑体" w:hAnsi="黑体" w:eastAsia="黑体"/>
          <w:b/>
          <w:bCs/>
          <w:kern w:val="44"/>
          <w:sz w:val="24"/>
        </w:rPr>
        <w:t>3.4 典型应用案例</w:t>
      </w:r>
    </w:p>
    <w:p w14:paraId="78312E14">
      <w:pPr>
        <w:ind w:firstLine="420"/>
      </w:pPr>
      <w:r>
        <w:rPr>
          <w:rFonts w:hint="eastAsia"/>
        </w:rPr>
        <w:t>3.4.1：OpenAI Dactyl（灵巧手解魔方）—— 仿真到现实的典范</w:t>
      </w:r>
    </w:p>
    <w:p w14:paraId="11C19CE5">
      <w:pPr>
        <w:ind w:firstLine="420"/>
      </w:pPr>
      <w:r>
        <w:rPr>
          <w:rFonts w:hint="eastAsia"/>
        </w:rPr>
        <w:t xml:space="preserve">    该项目训练一个五指机器人手完成通用的解魔方任务，涉及高维连续控制和不精确的物体建模。采用PPO算法和极致的领域随机化，对魔方的大小、重量、手的动力学参数、甚至模拟器的数值精度进行了数干个维度的随机化训练。</w:t>
      </w:r>
    </w:p>
    <w:p w14:paraId="4BACB8C2">
      <w:pPr>
        <w:ind w:firstLine="420"/>
      </w:pPr>
      <w:r>
        <w:rPr>
          <w:rFonts w:hint="eastAsia"/>
        </w:rPr>
        <w:t xml:space="preserve">    该工作成功证明了，通过充分的随机化，RL策略可以学会对物理不确定性具有极高鲁棒性的复杂操作技能，实现了从仿真到现实的一次性成功迁移，是Sim-to-Real[6]领域的里程碑。</w:t>
      </w:r>
    </w:p>
    <w:p w14:paraId="3C38D3D4">
      <w:pPr>
        <w:ind w:firstLine="420"/>
      </w:pPr>
      <w:r>
        <w:rPr>
          <w:rFonts w:hint="eastAsia"/>
        </w:rPr>
        <w:t>3.4.2：UC Berkeley的BLUE项目 —— 基于模型与低成本硬件的探索</w:t>
      </w:r>
    </w:p>
    <w:p w14:paraId="6B232E53">
      <w:pPr>
        <w:ind w:firstLine="420"/>
      </w:pPr>
      <w:r>
        <w:rPr>
          <w:rFonts w:hint="eastAsia"/>
        </w:rPr>
        <w:t xml:space="preserve">    该项目研究如何让低成本的、本体感知精度不高的机器人臂快速适应非结构化环境。采用基于模型的强化学习。机器人先在真实世界中进行少量主动交互，以学习一个自身动力学的内部模型，然后主要在该模型内部进行“想象”规划，大幅减少了真实交互次数。</w:t>
      </w:r>
    </w:p>
    <w:p w14:paraId="3FB51CD7">
      <w:pPr>
        <w:ind w:firstLine="420"/>
      </w:pPr>
      <w:r>
        <w:rPr>
          <w:rFonts w:hint="eastAsia"/>
        </w:rPr>
        <w:t xml:space="preserve">    成功展示了基于模型的RL在提高样本效率方面的潜力[8]，并为专为RL学习而设计的低成本机器人硬件提供了范例。</w:t>
      </w:r>
    </w:p>
    <w:p w14:paraId="22203328">
      <w:pPr>
        <w:ind w:firstLine="420"/>
      </w:pPr>
    </w:p>
    <w:p w14:paraId="48575135">
      <w:pPr>
        <w:ind w:firstLine="482"/>
        <w:rPr>
          <w:rFonts w:hint="eastAsia" w:ascii="黑体" w:hAnsi="黑体" w:eastAsia="黑体"/>
          <w:b/>
          <w:bCs/>
          <w:kern w:val="44"/>
          <w:sz w:val="24"/>
        </w:rPr>
      </w:pPr>
      <w:r>
        <w:rPr>
          <w:rFonts w:hint="eastAsia" w:ascii="黑体" w:hAnsi="黑体" w:eastAsia="黑体"/>
          <w:b/>
          <w:bCs/>
          <w:kern w:val="44"/>
          <w:sz w:val="24"/>
        </w:rPr>
        <w:t>3.5 小结与挑战展望</w:t>
      </w:r>
    </w:p>
    <w:p w14:paraId="58D349A0">
      <w:pPr>
        <w:ind w:firstLine="420"/>
      </w:pPr>
      <w:commentRangeStart w:id="14"/>
      <w:r>
        <w:rPr>
          <w:rFonts w:hint="eastAsia"/>
        </w:rPr>
        <w:t>RL为机器人控制带来了革命性的前景，但其发展仍深受“仿真-现实”差距、样本效率和安全性的制约[15]。当前的研究范式已从早期的在线学习，转变为以仿真到现实迁移和离线学习为核心。通过领域随机化、模仿学习等方法，RL在机器人灵巧操作、复杂 locomotion 等任务上取得了显著突破。</w:t>
      </w:r>
    </w:p>
    <w:p w14:paraId="5F82C418">
      <w:pPr>
        <w:ind w:firstLine="420"/>
      </w:pPr>
      <w:r>
        <w:rPr>
          <w:rFonts w:hint="eastAsia"/>
        </w:rPr>
        <w:t>未来，研究焦点将从“单一任务专家”转向“多任务通才”。挑战在于如何让一个机器人系统能够利用先前学到的知识，像人一样快速学习一系列不同的任务。具身AI 和 大模型与RL的结合 是这一方向的热点，例如利用大型语言模型进行高层任务分解和规划，再由RL控制器执行。</w:t>
      </w:r>
      <w:commentRangeEnd w:id="14"/>
      <w:r>
        <w:rPr>
          <w:rStyle w:val="20"/>
        </w:rPr>
        <w:commentReference w:id="14"/>
      </w:r>
    </w:p>
    <w:p w14:paraId="27B4D31C">
      <w:pPr>
        <w:ind w:firstLine="420"/>
      </w:pPr>
    </w:p>
    <w:p w14:paraId="0C50C151">
      <w:pPr>
        <w:pStyle w:val="2"/>
        <w:spacing w:before="240" w:after="120" w:line="360" w:lineRule="auto"/>
        <w:ind w:firstLine="482"/>
        <w:rPr>
          <w:rFonts w:hint="eastAsia" w:ascii="黑体" w:hAnsi="黑体" w:eastAsia="黑体"/>
          <w:sz w:val="24"/>
          <w:szCs w:val="24"/>
        </w:rPr>
      </w:pPr>
      <w:commentRangeStart w:id="15"/>
      <w:r>
        <w:rPr>
          <w:rFonts w:hint="eastAsia" w:ascii="黑体" w:hAnsi="黑体" w:eastAsia="黑体"/>
          <w:sz w:val="24"/>
          <w:szCs w:val="24"/>
        </w:rPr>
        <w:t>4  强化学习在无人驾驶中的应用(魏天明)</w:t>
      </w:r>
    </w:p>
    <w:p w14:paraId="600FA29E">
      <w:pPr>
        <w:ind w:firstLine="482"/>
        <w:rPr>
          <w:rFonts w:hint="eastAsia" w:ascii="黑体" w:hAnsi="黑体" w:eastAsia="黑体"/>
          <w:b/>
          <w:bCs/>
          <w:kern w:val="44"/>
          <w:sz w:val="24"/>
        </w:rPr>
      </w:pPr>
      <w:r>
        <w:rPr>
          <w:rFonts w:ascii="黑体" w:hAnsi="黑体" w:eastAsia="黑体"/>
          <w:b/>
          <w:bCs/>
          <w:kern w:val="44"/>
          <w:sz w:val="24"/>
        </w:rPr>
        <w:t>4.1 基本情况</w:t>
      </w:r>
      <w:commentRangeEnd w:id="15"/>
      <w:r>
        <w:commentReference w:id="15"/>
      </w:r>
    </w:p>
    <w:p w14:paraId="1A726DBE">
      <w:pPr>
        <w:ind w:firstLine="420"/>
      </w:pPr>
      <w:r>
        <w:t>无人驾驶技术作为智能交通系统的核心，以实现车辆自主、安全、高效驾驶为目标，其发展不仅有望革新人类出行方式，还将对社会经济结构产生深远影响。然而，真实驾驶环境的复杂性与不确定性，如动态交通参与者、恶劣天气等，给技术落地带来巨大挑战。传统规则驱动方法依赖预设逻辑，难以应对</w:t>
      </w:r>
    </w:p>
    <w:p w14:paraId="5D3B6088">
      <w:pPr>
        <w:ind w:firstLine="420"/>
      </w:pPr>
      <w:r>
        <w:t>“长尾” 场景</w:t>
      </w:r>
      <w:r>
        <w:rPr>
          <w:rFonts w:hint="eastAsia"/>
          <w:vertAlign w:val="superscript"/>
        </w:rPr>
        <w:t>[16]</w:t>
      </w:r>
      <w:r>
        <w:t>；</w:t>
      </w:r>
      <w:commentRangeStart w:id="16"/>
      <w:r>
        <w:t>模仿学习受限于专家数据质量与覆盖范围，泛化能力不足。在此背景下，深度强化学习（</w:t>
      </w:r>
      <w:commentRangeStart w:id="17"/>
      <w:r>
        <w:t>DRL</w:t>
      </w:r>
      <w:commentRangeEnd w:id="17"/>
      <w:r>
        <w:commentReference w:id="17"/>
      </w:r>
      <w:r>
        <w:t>）融合深度学习感知能力与强化学习决策能力，通过智能体与环境的交互试错自主优化策略，既能处理端到端决策控制问题，又能应对连续动作空间，还可在多驾驶目标间灵活权衡，成为突破传统方法局限、推动无人驾驶技术进阶的关键力量。本文系统梳理 DRL 在无人驾驶领域的应用现状、核心技术、面临挑战及未来方向，为相关研究提供参考。</w:t>
      </w:r>
      <w:commentRangeEnd w:id="16"/>
      <w:r>
        <w:commentReference w:id="16"/>
      </w:r>
    </w:p>
    <w:p w14:paraId="7B9534A4">
      <w:pPr>
        <w:ind w:firstLine="482"/>
        <w:rPr>
          <w:rFonts w:hint="eastAsia" w:ascii="黑体" w:hAnsi="黑体" w:eastAsia="黑体"/>
          <w:b/>
          <w:bCs/>
          <w:kern w:val="44"/>
          <w:sz w:val="24"/>
        </w:rPr>
      </w:pPr>
      <w:r>
        <w:rPr>
          <w:rFonts w:ascii="黑体" w:hAnsi="黑体" w:eastAsia="黑体"/>
          <w:b/>
          <w:bCs/>
          <w:kern w:val="44"/>
          <w:sz w:val="24"/>
        </w:rPr>
        <w:t>4.2 应用背景与核心挑战</w:t>
      </w:r>
    </w:p>
    <w:p w14:paraId="26DF36F6">
      <w:pPr>
        <w:ind w:firstLine="420"/>
      </w:pPr>
      <w:commentRangeStart w:id="18"/>
      <w:r>
        <w:t>在应用背景方面，传统规则驱动方法虽决策过程清晰，但面对动态变化的驾驶场景，因规则覆盖不全易失效；模仿学习虽能学习人类驾驶风格，却难以超越专家水平，且泛化能力受数据分布限制。而 DRL 通过 “试错学习” 机制</w:t>
      </w:r>
      <w:r>
        <w:rPr>
          <w:rFonts w:hint="eastAsia"/>
          <w:vertAlign w:val="superscript"/>
        </w:rPr>
        <w:t>[17]</w:t>
      </w:r>
      <w:r>
        <w:t>，让车辆（智能体）依据环境状态选择动作，结合奖励信号优化策略，可直接处理高维原始传感器数据，生成符合车辆动力学约束</w:t>
      </w:r>
      <w:r>
        <w:rPr>
          <w:rFonts w:hint="eastAsia"/>
          <w:vertAlign w:val="superscript"/>
        </w:rPr>
        <w:t>[17]</w:t>
      </w:r>
      <w:r>
        <w:t>的连续动作，为自动驾驶提供更具适应性的解决方案。</w:t>
      </w:r>
    </w:p>
    <w:p w14:paraId="3F741A2D">
      <w:pPr>
        <w:ind w:firstLine="420"/>
      </w:pPr>
      <w:r>
        <w:t>与此同时，DRL 在无人驾驶中的应用仍面临多重核心挑战。环境层面，需处理多传感器异构高维数据</w:t>
      </w:r>
      <w:r>
        <w:rPr>
          <w:rFonts w:hint="eastAsia"/>
          <w:vertAlign w:val="superscript"/>
        </w:rPr>
        <w:t>[19]</w:t>
      </w:r>
      <w:r>
        <w:t>，应对交通参与者的不可预测行为及路面摩擦系数变化等物理特性差异，高维非结构化的状态空间与动态交互环境对算法鲁棒性提出极高要求。安全层面，DRL 的探索机制可能导致危险行为，如何在保证安全的前提下实现有效探索，需依赖仿真训练、安全层设置或约束强化学习等手段协调矛盾。奖励设计层面，驾驶过程中关键奖励信号稀疏，且动作反馈存在延迟，导致学习效率低下、信用分配困难，需通过课程学习、逆强化学习或</w:t>
      </w:r>
      <w:bookmarkStart w:id="0" w:name="_GoBack"/>
      <w:bookmarkEnd w:id="0"/>
      <w:r>
        <w:t xml:space="preserve">精细奖励函数设计缓解问题。实时性层面，车载计算平台资源有限，而 DRL 模型计算复杂，需从算法、硬件、系统多维度优化以满足毫秒级响应要求。此外，仿真与现实存在感知、动力学、环境动态性差异，如何缩小 </w:t>
      </w:r>
      <w:commentRangeEnd w:id="18"/>
      <w:r>
        <w:commentReference w:id="18"/>
      </w:r>
    </w:p>
    <w:p w14:paraId="713F1B83">
      <w:pPr>
        <w:ind w:firstLine="420"/>
      </w:pPr>
      <w:commentRangeStart w:id="19"/>
      <w:r>
        <w:t>“仿真 - 现实差距”，成为模型从虚拟训练走向实车部署的关键障碍。</w:t>
      </w:r>
      <w:commentRangeEnd w:id="19"/>
      <w:r>
        <w:commentReference w:id="19"/>
      </w:r>
    </w:p>
    <w:p w14:paraId="6F248327">
      <w:pPr>
        <w:ind w:firstLine="482"/>
      </w:pPr>
      <w:r>
        <w:rPr>
          <w:rFonts w:ascii="黑体" w:hAnsi="黑体" w:eastAsia="黑体"/>
          <w:b/>
          <w:bCs/>
          <w:kern w:val="44"/>
          <w:sz w:val="24"/>
        </w:rPr>
        <w:t>4.3 强化学习在无人驾驶中的典型应用场景</w:t>
      </w:r>
    </w:p>
    <w:p w14:paraId="1E5A219A">
      <w:pPr>
        <w:ind w:firstLine="420"/>
      </w:pPr>
      <w:commentRangeStart w:id="20"/>
      <w:r>
        <w:t>在复杂天气与光照条件下，暴雨、浓雾等环境会严重影响传感器性能，DRL 系统通过多模态传感器融合策略，整合摄像头、激光雷达、毫米波雷达</w:t>
      </w:r>
      <w:r>
        <w:rPr>
          <w:rFonts w:hint="eastAsia"/>
          <w:vertAlign w:val="superscript"/>
        </w:rPr>
        <w:t>[20]</w:t>
      </w:r>
      <w:r>
        <w:t>等数据，提升感知鲁棒性；同时，智能体通过学习可自主调整驾驶策略，如降低车速、增大安全距离，确保恶劣环境下的行驶安全。</w:t>
      </w:r>
    </w:p>
    <w:p w14:paraId="7569396C">
      <w:pPr>
        <w:ind w:firstLine="420"/>
      </w:pPr>
      <w:r>
        <w:t>在结构化道路场景中，高速公路与城市主干道的驾驶任务虽有明确规则，但仍需复杂决策。针对公路驾驶，DRL 通过构建连续动作空间策略网络，实现车道保持与变道超车的统一建模，生成平滑且符合交通规则的行驶轨迹，避免传统分模块处理的耦合问题</w:t>
      </w:r>
      <w:r>
        <w:rPr>
          <w:rFonts w:hint="eastAsia"/>
          <w:vertAlign w:val="superscript"/>
        </w:rPr>
        <w:t>[21]</w:t>
      </w:r>
      <w:r>
        <w:t>。在无信号灯十字路口，多智能体强化学习框架将各方向车辆视为独立智能体，通过交互学习推断其他车辆意图，优化通行决策，平衡安全性与通行效率。</w:t>
      </w:r>
    </w:p>
    <w:p w14:paraId="1438BDE4">
      <w:pPr>
        <w:ind w:firstLine="420"/>
      </w:pPr>
      <w:r>
        <w:t>在密集动态交通环境中，高速合流区与施工路段的交通流复杂，DRL 可学习高效合流策略，如预测主路车辆运动并主动调整速度创造汇入间隙；在施工路段，通过学习交替通行规则，减少车辆加塞行为。同时，多智能体强化学习助力车辆间形成协作或博弈策略，如动态车队行驶以降低能耗、提升道路容量，优化整体交通流运行效率。</w:t>
      </w:r>
      <w:commentRangeEnd w:id="20"/>
      <w:r>
        <w:commentReference w:id="20"/>
      </w:r>
    </w:p>
    <w:p w14:paraId="20BDA2BD">
      <w:pPr>
        <w:ind w:firstLine="482"/>
        <w:rPr>
          <w:rFonts w:hint="eastAsia" w:ascii="黑体" w:hAnsi="黑体" w:eastAsia="黑体"/>
          <w:b/>
          <w:bCs/>
          <w:kern w:val="44"/>
          <w:sz w:val="24"/>
        </w:rPr>
      </w:pPr>
      <w:r>
        <w:rPr>
          <w:rFonts w:ascii="黑体" w:hAnsi="黑体" w:eastAsia="黑体"/>
          <w:b/>
          <w:bCs/>
          <w:kern w:val="44"/>
          <w:sz w:val="24"/>
        </w:rPr>
        <w:t>4.4 强化学习的关键技术方法</w:t>
      </w:r>
    </w:p>
    <w:p w14:paraId="4E096050">
      <w:pPr>
        <w:ind w:firstLine="420"/>
      </w:pPr>
      <w:commentRangeStart w:id="21"/>
      <w:r>
        <w:t>算法框架方面，DRL 经历了从处理离散空间的深度 Q 网络（DQN），到适用于连续控制的Actor - Critic 类算法</w:t>
      </w:r>
      <w:r>
        <w:rPr>
          <w:rFonts w:hint="eastAsia"/>
          <w:vertAlign w:val="superscript"/>
        </w:rPr>
        <w:t>[18]</w:t>
      </w:r>
      <w:r>
        <w:t>的演进。DQN 通过经验回放与目标网络提升训练稳定性，而 DDPG、软演员 - 评论家（SAC）、近端策略优化（PPO）</w:t>
      </w:r>
      <w:r>
        <w:rPr>
          <w:rFonts w:hint="eastAsia"/>
          <w:vertAlign w:val="superscript"/>
        </w:rPr>
        <w:t>[18]</w:t>
      </w:r>
      <w:r>
        <w:t>等算法进一步优化连续动作控制性能，如 SAC 引入最大熵正则化增强鲁棒性，PPO 通过限制策略更新幅度保障训练稳定。针对自动驾驶需求，研究者还对算法进行针对性改进，如 RSACE 算法</w:t>
      </w:r>
      <w:r>
        <w:rPr>
          <w:rFonts w:hint="eastAsia"/>
          <w:vertAlign w:val="superscript"/>
        </w:rPr>
        <w:t>[22]</w:t>
      </w:r>
      <w:r>
        <w:t>通过双重 Q 值评估与网络正则化，缓解 SAC 的 Q 值高估问题，提升策略可靠性。</w:t>
      </w:r>
    </w:p>
    <w:p w14:paraId="5670EAA2">
      <w:pPr>
        <w:ind w:firstLine="420"/>
      </w:pPr>
      <w:r>
        <w:t>状态与动作空间</w:t>
      </w:r>
      <w:r>
        <w:rPr>
          <w:rFonts w:hint="eastAsia"/>
          <w:vertAlign w:val="superscript"/>
        </w:rPr>
        <w:t>[22]</w:t>
      </w:r>
      <w:r>
        <w:t>设计是 DRL 应用的基础。状态空间采用多模态融合表示，整合感知信息（图像、点云等）、车辆自身状态（速度、航向角等）、导航信息与历史数据，通过深度学习模型提取有效特征，为决策提供全面依据。动作空间则从离散选项转向连续参数化，如输出转向角与加速度，实现精细化控制，避免离散动作导致的行驶抖动。</w:t>
      </w:r>
    </w:p>
    <w:p w14:paraId="1BE57A9D">
      <w:pPr>
        <w:ind w:firstLine="420"/>
      </w:pPr>
      <w:r>
        <w:t>奖励函数设计需平衡多驾驶目标</w:t>
      </w:r>
      <w:r>
        <w:rPr>
          <w:rFonts w:hint="eastAsia"/>
          <w:vertAlign w:val="superscript"/>
        </w:rPr>
        <w:t>[23]</w:t>
      </w:r>
      <w:r>
        <w:t>，通常采用多维度加权求和形式，涵盖安全性（如碰撞惩罚）、效率（如速度奖励）、舒适性（如急加速惩罚）与规则遵守（如车道保持奖励）等指标。权重优化可通过人工调参或参数敏感性分析等自动化技术实现，确保奖励信号能有效引导智能体学习期望行为。</w:t>
      </w:r>
      <w:commentRangeEnd w:id="21"/>
      <w:r>
        <w:commentReference w:id="21"/>
      </w:r>
    </w:p>
    <w:p w14:paraId="50A5CAD6">
      <w:pPr>
        <w:ind w:firstLine="420"/>
      </w:pPr>
      <w:commentRangeStart w:id="22"/>
      <w:r>
        <w:t>训练优化策略</w:t>
      </w:r>
      <w:r>
        <w:rPr>
          <w:rFonts w:hint="eastAsia"/>
          <w:vertAlign w:val="superscript"/>
        </w:rPr>
        <w:t>[24]</w:t>
      </w:r>
      <w:r>
        <w:t>方面，课程学习从简单场景逐步过渡到复杂场景，帮助智能体建立知识基础；结合模仿学习进行预训练，利用专家数据加速模型收敛，再通过强化学习微调实现性能突破。同时，正则化技术</w:t>
      </w:r>
      <w:r>
        <w:rPr>
          <w:rFonts w:hint="eastAsia"/>
          <w:vertAlign w:val="superscript"/>
        </w:rPr>
        <w:t>[22]</w:t>
      </w:r>
      <w:r>
        <w:t>（如 L1/L2 正则、Dropout）与软更新机制可缓解过拟合与训练不稳定问题，保障模型泛化能力。</w:t>
      </w:r>
    </w:p>
    <w:p w14:paraId="0003620A">
      <w:pPr>
        <w:ind w:firstLine="420"/>
      </w:pPr>
      <w:r>
        <w:t>仿真平台为 DRL 训练提供关键支持，CARLA、METADRIVE、AirSim 等高保真平台具备逼真的视觉与物理模拟能力，支持多传感器与场景定制，可生成大规模多样化训练数据，助力模型在安全环境中充分学习，提升泛化能力与鲁棒性。</w:t>
      </w:r>
    </w:p>
    <w:p w14:paraId="36CAE05F">
      <w:pPr>
        <w:ind w:firstLine="482"/>
        <w:rPr>
          <w:rFonts w:hint="eastAsia" w:ascii="黑体" w:hAnsi="黑体" w:eastAsia="黑体"/>
          <w:b/>
          <w:bCs/>
          <w:kern w:val="44"/>
          <w:sz w:val="24"/>
        </w:rPr>
      </w:pPr>
      <w:r>
        <w:rPr>
          <w:rFonts w:ascii="黑体" w:hAnsi="黑体" w:eastAsia="黑体"/>
          <w:b/>
          <w:bCs/>
          <w:kern w:val="44"/>
          <w:sz w:val="24"/>
        </w:rPr>
        <w:t>4.5 车辆行为决策与运动控制的协调发展</w:t>
      </w:r>
    </w:p>
    <w:p w14:paraId="6D5DA690">
      <w:pPr>
        <w:ind w:firstLine="420"/>
      </w:pPr>
      <w:r>
        <w:t>车辆行为决策呈现层次化结构</w:t>
      </w:r>
      <w:r>
        <w:rPr>
          <w:rFonts w:hint="eastAsia"/>
          <w:vertAlign w:val="superscript"/>
        </w:rPr>
        <w:t>[25]</w:t>
      </w:r>
      <w:r>
        <w:t>，反应式决策基于预设规则快速响应简单交通事件，如紧急刹车，作为安全兜底机制；学习式决策依托 DRL 从数据中学习复杂场景策略，如动态车道选择；交互式决策则通过多智能体强化学习建模多车交互，优化博弈策略，如无信号灯路口的通行协商。</w:t>
      </w:r>
    </w:p>
    <w:p w14:paraId="08EB5351">
      <w:pPr>
        <w:ind w:firstLine="420"/>
      </w:pPr>
      <w:r>
        <w:t>运动规划与控制方法中，传统图搜索、采样及模型预测控制（MPC）</w:t>
      </w:r>
      <w:r>
        <w:rPr>
          <w:rFonts w:hint="eastAsia"/>
          <w:vertAlign w:val="superscript"/>
        </w:rPr>
        <w:t>[25]</w:t>
      </w:r>
      <w:r>
        <w:t>等技术各有优势，如 MPC 能处理动力学约束生成平滑轨迹。DRL 可采用端到端学习直接映射感知与控制指令，或与传统方法结合，如利用 DRL 优化 MPC 的代价函数权重，兼顾学习能力与约束处理能力，提升轨迹规划与控制精度。</w:t>
      </w:r>
    </w:p>
    <w:p w14:paraId="48A02B97">
      <w:pPr>
        <w:ind w:firstLine="420"/>
      </w:pPr>
      <w:r>
        <w:t>决策与控制的协同优化可通过端到端一体化方案实现，消除模块间信息损失，理论上可达成全局最优，但存在可解释性差与训练难度大的问题；分层架构则将高层 DRL 决策（如车道选择）与低层控制（如轨迹跟踪）分离</w:t>
      </w:r>
      <w:r>
        <w:rPr>
          <w:rFonts w:hint="eastAsia"/>
          <w:vertAlign w:val="superscript"/>
        </w:rPr>
        <w:t>[26]</w:t>
      </w:r>
      <w:r>
        <w:t>，通过简洁指令通信实现协同，平衡模块化、可解释性与优化性能，是当前主流实践方向。</w:t>
      </w:r>
    </w:p>
    <w:p w14:paraId="4BE5EDF6">
      <w:pPr>
        <w:ind w:firstLine="482"/>
        <w:rPr>
          <w:rFonts w:hint="eastAsia" w:ascii="黑体" w:hAnsi="黑体" w:eastAsia="黑体"/>
          <w:b/>
          <w:bCs/>
          <w:kern w:val="44"/>
          <w:sz w:val="24"/>
        </w:rPr>
      </w:pPr>
      <w:r>
        <w:rPr>
          <w:rFonts w:ascii="黑体" w:hAnsi="黑体" w:eastAsia="黑体"/>
          <w:b/>
          <w:bCs/>
          <w:kern w:val="44"/>
          <w:sz w:val="24"/>
        </w:rPr>
        <w:t>4.6 实时性能提升策略与未来展望</w:t>
      </w:r>
    </w:p>
    <w:p w14:paraId="4A51C6BF">
      <w:pPr>
        <w:ind w:firstLine="420"/>
      </w:pPr>
      <w:r>
        <w:t xml:space="preserve">实时性是 DRL 实车部署的关键瓶颈，需从多层面突破。算法层面，设计 MobileNet </w:t>
      </w:r>
      <w:r>
        <w:rPr>
          <w:rFonts w:hint="eastAsia"/>
          <w:vertAlign w:val="superscript"/>
        </w:rPr>
        <w:t>[27]</w:t>
      </w:r>
      <w:r>
        <w:t xml:space="preserve">等轻量化网络，结合剪枝、量化、知识蒸馏等模型压缩技术，降低计算复杂度；硬件层面，采用专用 AI 芯片（如 NPU、TPU）与边缘计算，提升算力与能效比；系统层面，优化 TensorRT </w:t>
      </w:r>
      <w:r>
        <w:rPr>
          <w:rFonts w:hint="eastAsia"/>
          <w:vertAlign w:val="superscript"/>
        </w:rPr>
        <w:t>[28]</w:t>
      </w:r>
      <w:r>
        <w:t>等推理框架，利用并行计算与动态资源调度，确保关键任务优先执行，满足毫秒级响应要求。</w:t>
      </w:r>
    </w:p>
    <w:p w14:paraId="0C4E2326">
      <w:pPr>
        <w:ind w:firstLine="420"/>
      </w:pPr>
      <w:r>
        <w:t>未来研究需聚焦四大方向：一是提升模型泛化能力</w:t>
      </w:r>
      <w:r>
        <w:rPr>
          <w:rFonts w:hint="eastAsia"/>
          <w:vertAlign w:val="superscript"/>
        </w:rPr>
        <w:t>[29]</w:t>
      </w:r>
      <w:r>
        <w:t>，通过元学习让模型快速适应新场景，结合领域自适应缩小仿真与现实差距；二是增强安全性与可解释性，探索形式化验证保障安全，利用注意力机制与可解释 AI（XAI）可视化决策依据</w:t>
      </w:r>
      <w:r>
        <w:rPr>
          <w:rFonts w:hint="eastAsia"/>
          <w:vertAlign w:val="superscript"/>
        </w:rPr>
        <w:t>[29]</w:t>
      </w:r>
      <w:r>
        <w:t>，建立用户与监管信任；三是推进多智能体协同决策，优化大规模多智能体强化学习算法与通信协议，实现交通系统全局优化；四是完善仿真 - 实车闭环验证体系，通过迭代改进模型与仿真环境，加速技术落地。</w:t>
      </w:r>
    </w:p>
    <w:p w14:paraId="756A3F50">
      <w:pPr>
        <w:ind w:firstLine="482"/>
        <w:rPr>
          <w:rFonts w:hint="eastAsia" w:ascii="黑体" w:hAnsi="黑体" w:eastAsia="黑体"/>
          <w:b/>
          <w:bCs/>
          <w:kern w:val="44"/>
          <w:sz w:val="24"/>
        </w:rPr>
      </w:pPr>
      <w:r>
        <w:rPr>
          <w:rFonts w:ascii="黑体" w:hAnsi="黑体" w:eastAsia="黑体"/>
          <w:b/>
          <w:bCs/>
          <w:kern w:val="44"/>
          <w:sz w:val="24"/>
        </w:rPr>
        <w:t>4.7 总结</w:t>
      </w:r>
    </w:p>
    <w:p w14:paraId="18E81750">
      <w:pPr>
        <w:ind w:firstLine="420"/>
      </w:pPr>
      <w:r>
        <w:t>深度强化学习为无人驾驶决策与控制提供了创新路径，在复杂天气、结构化道路、密集交通等典型场景中展现出良好应用潜力</w:t>
      </w:r>
      <w:r>
        <w:rPr>
          <w:rFonts w:hint="eastAsia"/>
          <w:vertAlign w:val="superscript"/>
        </w:rPr>
        <w:t>[30]</w:t>
      </w:r>
      <w:r>
        <w:t>，通过算法优化、空间设计、训练策略与仿真支持等关键技术，逐步克服传统方法局限。尽管仍面临环境复杂性、安全探索、实时性等挑战，但随着实时性能提升技术的发展与未来研究方向的推进，DRL 将在无人驾驶领域发挥更核心作用。未来需持续突破技术瓶颈，完善验证体系，推动无人驾驶技术安全、高效落地，最终重塑交通生态，实现智能交通的长远目标。</w:t>
      </w:r>
      <w:commentRangeEnd w:id="22"/>
      <w:r>
        <w:commentReference w:id="22"/>
      </w:r>
    </w:p>
    <w:p w14:paraId="00B9322D">
      <w:pPr>
        <w:ind w:firstLine="420"/>
      </w:pPr>
    </w:p>
    <w:p w14:paraId="0C46E9CA">
      <w:pPr>
        <w:widowControl/>
        <w:ind w:firstLine="482"/>
        <w:jc w:val="left"/>
        <w:rPr>
          <w:rFonts w:hint="eastAsia" w:ascii="黑体" w:hAnsi="黑体" w:eastAsia="黑体" w:cs="Arial"/>
          <w:b/>
          <w:bCs/>
          <w:color w:val="000000" w:themeColor="text1"/>
          <w:kern w:val="0"/>
          <w:sz w:val="24"/>
          <w:shd w:val="clear" w:color="auto" w:fill="FFFFFF"/>
          <w14:textFill>
            <w14:solidFill>
              <w14:schemeClr w14:val="tx1"/>
            </w14:solidFill>
          </w14:textFill>
        </w:rPr>
      </w:pPr>
      <w:r>
        <w:rPr>
          <w:rFonts w:hint="eastAsia" w:ascii="黑体" w:hAnsi="黑体" w:eastAsia="黑体" w:cs="Arial"/>
          <w:b/>
          <w:bCs/>
          <w:color w:val="000000" w:themeColor="text1"/>
          <w:kern w:val="0"/>
          <w:sz w:val="24"/>
          <w:shd w:val="clear" w:color="auto" w:fill="FFFFFF"/>
          <w14:textFill>
            <w14:solidFill>
              <w14:schemeClr w14:val="tx1"/>
            </w14:solidFill>
          </w14:textFill>
        </w:rPr>
        <w:t>5</w:t>
      </w:r>
      <w:r>
        <w:rPr>
          <w:rFonts w:ascii="黑体" w:hAnsi="黑体" w:eastAsia="黑体" w:cs="Arial"/>
          <w:b/>
          <w:bCs/>
          <w:color w:val="000000" w:themeColor="text1"/>
          <w:kern w:val="0"/>
          <w:sz w:val="24"/>
          <w:shd w:val="clear" w:color="auto" w:fill="FFFFFF"/>
          <w14:textFill>
            <w14:solidFill>
              <w14:schemeClr w14:val="tx1"/>
            </w14:solidFill>
          </w14:textFill>
        </w:rPr>
        <w:t xml:space="preserve"> 强化学习在大模型领域的应用</w:t>
      </w:r>
      <w:r>
        <w:rPr>
          <w:rFonts w:hint="eastAsia" w:ascii="黑体" w:hAnsi="黑体" w:eastAsia="黑体" w:cs="Arial"/>
          <w:b/>
          <w:bCs/>
          <w:color w:val="000000" w:themeColor="text1"/>
          <w:kern w:val="0"/>
          <w:sz w:val="24"/>
          <w:shd w:val="clear" w:color="auto" w:fill="FFFFFF"/>
          <w14:textFill>
            <w14:solidFill>
              <w14:schemeClr w14:val="tx1"/>
            </w14:solidFill>
          </w14:textFill>
        </w:rPr>
        <w:t>（彭大彬）</w:t>
      </w:r>
    </w:p>
    <w:p w14:paraId="178394B8">
      <w:pPr>
        <w:widowControl/>
        <w:ind w:firstLine="420"/>
        <w:jc w:val="left"/>
        <w:rPr>
          <w:rFonts w:hint="eastAsia" w:ascii="宋体" w:hAnsi="宋体" w:cs="Arial"/>
          <w:color w:val="000000" w:themeColor="text1"/>
          <w:kern w:val="0"/>
          <w:szCs w:val="21"/>
          <w:shd w:val="clear" w:color="auto" w:fill="FFFFFF"/>
          <w14:textFill>
            <w14:solidFill>
              <w14:schemeClr w14:val="tx1"/>
            </w14:solidFill>
          </w14:textFill>
        </w:rPr>
      </w:pPr>
      <w:commentRangeStart w:id="23"/>
      <w:r>
        <w:rPr>
          <w:rFonts w:hint="eastAsia" w:ascii="宋体" w:hAnsi="宋体" w:cs="Arial"/>
          <w:color w:val="000000" w:themeColor="text1"/>
          <w:kern w:val="0"/>
          <w:szCs w:val="21"/>
          <w:shd w:val="clear" w:color="auto" w:fill="FFFFFF"/>
          <w14:textFill>
            <w14:solidFill>
              <w14:schemeClr w14:val="tx1"/>
            </w14:solidFill>
          </w14:textFill>
        </w:rPr>
        <w:t>5</w:t>
      </w:r>
      <w:r>
        <w:rPr>
          <w:rFonts w:ascii="宋体" w:hAnsi="宋体" w:cs="Arial"/>
          <w:color w:val="000000" w:themeColor="text1"/>
          <w:kern w:val="0"/>
          <w:szCs w:val="21"/>
          <w:shd w:val="clear" w:color="auto" w:fill="FFFFFF"/>
          <w14:textFill>
            <w14:solidFill>
              <w14:schemeClr w14:val="tx1"/>
            </w14:solidFill>
          </w14:textFill>
        </w:rPr>
        <w:t>.1</w:t>
      </w:r>
      <w:r>
        <w:rPr>
          <w:rFonts w:hint="eastAsia" w:ascii="宋体" w:hAnsi="宋体" w:cs="Arial"/>
          <w:color w:val="000000" w:themeColor="text1"/>
          <w:kern w:val="0"/>
          <w:szCs w:val="21"/>
          <w:shd w:val="clear" w:color="auto" w:fill="FFFFFF"/>
          <w14:textFill>
            <w14:solidFill>
              <w14:schemeClr w14:val="tx1"/>
            </w14:solidFill>
          </w14:textFill>
        </w:rPr>
        <w:t xml:space="preserve"> </w:t>
      </w:r>
      <w:r>
        <w:rPr>
          <w:rFonts w:ascii="宋体" w:hAnsi="宋体" w:cs="Arial"/>
          <w:color w:val="000000" w:themeColor="text1"/>
          <w:kern w:val="0"/>
          <w:szCs w:val="21"/>
          <w:shd w:val="clear" w:color="auto" w:fill="FFFFFF"/>
          <w14:textFill>
            <w14:solidFill>
              <w14:schemeClr w14:val="tx1"/>
            </w14:solidFill>
          </w14:textFill>
        </w:rPr>
        <w:t>应用背景</w:t>
      </w:r>
      <w:commentRangeEnd w:id="23"/>
      <w:r>
        <w:commentReference w:id="23"/>
      </w:r>
    </w:p>
    <w:p w14:paraId="2DED225F">
      <w:pPr>
        <w:widowControl/>
        <w:ind w:left="420" w:firstLine="420"/>
        <w:jc w:val="left"/>
        <w:rPr>
          <w:rFonts w:hint="eastAsia" w:ascii="宋体" w:hAnsi="宋体" w:cs="Arial"/>
          <w:color w:val="000000" w:themeColor="text1"/>
          <w:kern w:val="0"/>
          <w:szCs w:val="21"/>
          <w:shd w:val="clear" w:color="auto" w:fill="FFFFFF"/>
          <w14:textFill>
            <w14:solidFill>
              <w14:schemeClr w14:val="tx1"/>
            </w14:solidFill>
          </w14:textFill>
        </w:rPr>
      </w:pPr>
      <w:r>
        <w:rPr>
          <w:rFonts w:ascii="宋体" w:hAnsi="宋体" w:cs="Arial"/>
          <w:color w:val="000000" w:themeColor="text1"/>
          <w:kern w:val="0"/>
          <w:szCs w:val="21"/>
          <w:shd w:val="clear" w:color="auto" w:fill="FFFFFF"/>
          <w14:textFill>
            <w14:solidFill>
              <w14:schemeClr w14:val="tx1"/>
            </w14:solidFill>
          </w14:textFill>
        </w:rPr>
        <w:t>强化学习（RL）与大模型的深度融合，源于大模型技术演进中的核心瓶颈与多元场景对高阶智能的迫切需求。从技术瓶颈来看，预训练大模型虽通过参数规模扩张实现语言生成能力飞跃，但受限于统计性学习范式，存在两类关键矛盾：一是输出与人类需求错位，传统模型常生成“逻辑自洽但事实错误”的内容，</w:t>
      </w:r>
      <w:commentRangeStart w:id="24"/>
      <w:r>
        <w:rPr>
          <w:rFonts w:ascii="宋体" w:hAnsi="宋体" w:cs="Arial"/>
          <w:color w:val="000000" w:themeColor="text1"/>
          <w:kern w:val="0"/>
          <w:szCs w:val="21"/>
          <w:shd w:val="clear" w:color="auto" w:fill="FFFFFF"/>
          <w14:textFill>
            <w14:solidFill>
              <w14:schemeClr w14:val="tx1"/>
            </w14:solidFill>
          </w14:textFill>
        </w:rPr>
        <w:t>这与ChatGPT通过RLHF技术解决输出不稳定性的实践高度相关</w:t>
      </w:r>
      <w:commentRangeEnd w:id="24"/>
      <w:r>
        <w:commentReference w:id="24"/>
      </w:r>
      <w:r>
        <w:rPr>
          <w:rFonts w:ascii="宋体" w:hAnsi="宋体" w:cs="Arial"/>
          <w:color w:val="000000" w:themeColor="text1"/>
          <w:kern w:val="0"/>
          <w:szCs w:val="21"/>
          <w:shd w:val="clear" w:color="auto" w:fill="FFFFFF"/>
          <w14:textFill>
            <w14:solidFill>
              <w14:schemeClr w14:val="tx1"/>
            </w14:solidFill>
          </w14:textFill>
        </w:rPr>
        <w:t>——其早期依赖753GB预训练语料构建基础能力，却仍需通过人类标注数据微调以对齐需求</w:t>
      </w:r>
      <w:r>
        <w:rPr>
          <w:rFonts w:ascii="宋体" w:hAnsi="宋体" w:cs="Arial"/>
          <w:color w:val="000000" w:themeColor="text1"/>
          <w:kern w:val="0"/>
          <w:szCs w:val="21"/>
          <w:shd w:val="clear" w:color="auto" w:fill="FFFFFF"/>
          <w:vertAlign w:val="superscript"/>
          <w14:textFill>
            <w14:solidFill>
              <w14:schemeClr w14:val="tx1"/>
            </w14:solidFill>
          </w14:textFill>
        </w:rPr>
        <w:t>[31]</w:t>
      </w:r>
      <w:r>
        <w:rPr>
          <w:rFonts w:ascii="宋体" w:hAnsi="宋体" w:cs="Arial"/>
          <w:color w:val="000000" w:themeColor="text1"/>
          <w:kern w:val="0"/>
          <w:szCs w:val="21"/>
          <w:shd w:val="clear" w:color="auto" w:fill="FFFFFF"/>
          <w14:textFill>
            <w14:solidFill>
              <w14:schemeClr w14:val="tx1"/>
            </w14:solidFill>
          </w14:textFill>
        </w:rPr>
        <w:t>；二是复杂任务处理能力不足，在数学推演、具身交互等场景中逻辑断裂，例如四足机器人在复杂地形运动时难以动态调整步态，需结合RL实现感知-动作闭环</w:t>
      </w:r>
      <w:r>
        <w:rPr>
          <w:rFonts w:ascii="宋体" w:hAnsi="宋体" w:cs="Arial"/>
          <w:color w:val="000000" w:themeColor="text1"/>
          <w:kern w:val="0"/>
          <w:szCs w:val="21"/>
          <w:shd w:val="clear" w:color="auto" w:fill="FFFFFF"/>
          <w:vertAlign w:val="superscript"/>
          <w14:textFill>
            <w14:solidFill>
              <w14:schemeClr w14:val="tx1"/>
            </w14:solidFill>
          </w14:textFill>
        </w:rPr>
        <w:t>[32]</w:t>
      </w:r>
      <w:r>
        <w:rPr>
          <w:rFonts w:ascii="宋体" w:hAnsi="宋体" w:cs="Arial"/>
          <w:color w:val="000000" w:themeColor="text1"/>
          <w:kern w:val="0"/>
          <w:szCs w:val="21"/>
          <w:shd w:val="clear" w:color="auto" w:fill="FFFFFF"/>
          <w14:textFill>
            <w14:solidFill>
              <w14:schemeClr w14:val="tx1"/>
            </w14:solidFill>
          </w14:textFill>
        </w:rPr>
        <w:t>。</w:t>
      </w:r>
    </w:p>
    <w:p w14:paraId="7D4C73F2">
      <w:pPr>
        <w:widowControl/>
        <w:ind w:firstLine="420"/>
        <w:jc w:val="left"/>
        <w:rPr>
          <w:rFonts w:hint="eastAsia" w:ascii="宋体" w:hAnsi="宋体" w:cs="Arial"/>
          <w:color w:val="000000" w:themeColor="text1"/>
          <w:kern w:val="0"/>
          <w:szCs w:val="21"/>
          <w:shd w:val="clear" w:color="auto" w:fill="FFFFFF"/>
          <w14:textFill>
            <w14:solidFill>
              <w14:schemeClr w14:val="tx1"/>
            </w14:solidFill>
          </w14:textFill>
        </w:rPr>
      </w:pPr>
    </w:p>
    <w:p w14:paraId="7908F828">
      <w:pPr>
        <w:widowControl/>
        <w:ind w:left="420" w:firstLine="420"/>
        <w:jc w:val="left"/>
        <w:rPr>
          <w:rFonts w:hint="eastAsia" w:ascii="宋体" w:hAnsi="宋体" w:cs="Arial"/>
          <w:color w:val="000000" w:themeColor="text1"/>
          <w:kern w:val="0"/>
          <w:szCs w:val="21"/>
          <w:shd w:val="clear" w:color="auto" w:fill="FFFFFF"/>
          <w14:textFill>
            <w14:solidFill>
              <w14:schemeClr w14:val="tx1"/>
            </w14:solidFill>
          </w14:textFill>
        </w:rPr>
      </w:pPr>
      <w:commentRangeStart w:id="25"/>
      <w:r>
        <w:rPr>
          <w:rFonts w:ascii="宋体" w:hAnsi="宋体" w:cs="Arial"/>
          <w:color w:val="000000" w:themeColor="text1"/>
          <w:kern w:val="0"/>
          <w:szCs w:val="21"/>
          <w:shd w:val="clear" w:color="auto" w:fill="FFFFFF"/>
          <w14:textFill>
            <w14:solidFill>
              <w14:schemeClr w14:val="tx1"/>
            </w14:solidFill>
          </w14:textFill>
        </w:rPr>
        <w:t>从行业需求来看，需求已从“内容生成”转向“任务解决”：通用交互领域，ChatGPT通过RLHF的“监督微调（SFT）-奖励模型（RM）-近端策略优化（PPO）”三阶段，使无害输出提升25%；专业领域，DeepSeek-R1通过纯RL训练（GRPO算法）在AIME数学竞赛准确率从15.6%升至71%</w:t>
      </w:r>
      <w:r>
        <w:rPr>
          <w:rFonts w:ascii="宋体" w:hAnsi="宋体" w:cs="Arial"/>
          <w:color w:val="000000" w:themeColor="text1"/>
          <w:kern w:val="0"/>
          <w:szCs w:val="21"/>
          <w:shd w:val="clear" w:color="auto" w:fill="FFFFFF"/>
          <w:vertAlign w:val="superscript"/>
          <w14:textFill>
            <w14:solidFill>
              <w14:schemeClr w14:val="tx1"/>
            </w14:solidFill>
          </w14:textFill>
        </w:rPr>
        <w:t>[33]</w:t>
      </w:r>
      <w:r>
        <w:rPr>
          <w:rFonts w:ascii="宋体" w:hAnsi="宋体" w:cs="Arial"/>
          <w:color w:val="000000" w:themeColor="text1"/>
          <w:kern w:val="0"/>
          <w:szCs w:val="21"/>
          <w:shd w:val="clear" w:color="auto" w:fill="FFFFFF"/>
          <w14:textFill>
            <w14:solidFill>
              <w14:schemeClr w14:val="tx1"/>
            </w14:solidFill>
          </w14:textFill>
        </w:rPr>
        <w:t>。此外，生成式AI赋能新质生产力的趋势</w:t>
      </w:r>
      <w:r>
        <w:rPr>
          <w:rFonts w:ascii="宋体" w:hAnsi="宋体" w:cs="Arial"/>
          <w:color w:val="000000" w:themeColor="text1"/>
          <w:kern w:val="0"/>
          <w:szCs w:val="21"/>
          <w:shd w:val="clear" w:color="auto" w:fill="FFFFFF"/>
          <w:vertAlign w:val="superscript"/>
          <w14:textFill>
            <w14:solidFill>
              <w14:schemeClr w14:val="tx1"/>
            </w14:solidFill>
          </w14:textFill>
        </w:rPr>
        <w:t>[34]</w:t>
      </w:r>
      <w:r>
        <w:rPr>
          <w:rFonts w:ascii="宋体" w:hAnsi="宋体" w:cs="Arial"/>
          <w:color w:val="000000" w:themeColor="text1"/>
          <w:kern w:val="0"/>
          <w:szCs w:val="21"/>
          <w:shd w:val="clear" w:color="auto" w:fill="FFFFFF"/>
          <w14:textFill>
            <w14:solidFill>
              <w14:schemeClr w14:val="tx1"/>
            </w14:solidFill>
          </w14:textFill>
        </w:rPr>
        <w:t>，推动RL在效率优化上创新，如PRIME通过隐式奖励降低90%标注成本，UloRL通过分段训练提升2.06倍训练速度</w:t>
      </w:r>
      <w:r>
        <w:rPr>
          <w:rFonts w:ascii="宋体" w:hAnsi="宋体" w:cs="Arial"/>
          <w:color w:val="000000" w:themeColor="text1"/>
          <w:kern w:val="0"/>
          <w:szCs w:val="21"/>
          <w:shd w:val="clear" w:color="auto" w:fill="FFFFFF"/>
          <w:vertAlign w:val="superscript"/>
          <w14:textFill>
            <w14:solidFill>
              <w14:schemeClr w14:val="tx1"/>
            </w14:solidFill>
          </w14:textFill>
        </w:rPr>
        <w:t>[35,36]</w:t>
      </w:r>
      <w:r>
        <w:rPr>
          <w:rFonts w:ascii="宋体" w:hAnsi="宋体" w:cs="Arial"/>
          <w:color w:val="000000" w:themeColor="text1"/>
          <w:kern w:val="0"/>
          <w:szCs w:val="21"/>
          <w:shd w:val="clear" w:color="auto" w:fill="FFFFFF"/>
          <w14:textFill>
            <w14:solidFill>
              <w14:schemeClr w14:val="tx1"/>
            </w14:solidFill>
          </w14:textFill>
        </w:rPr>
        <w:t>。</w:t>
      </w:r>
    </w:p>
    <w:p w14:paraId="68251070">
      <w:pPr>
        <w:widowControl/>
        <w:ind w:firstLine="420"/>
        <w:jc w:val="left"/>
        <w:rPr>
          <w:rFonts w:hint="eastAsia" w:ascii="宋体" w:hAnsi="宋体" w:cs="Arial"/>
          <w:color w:val="000000" w:themeColor="text1"/>
          <w:kern w:val="0"/>
          <w:szCs w:val="21"/>
          <w:shd w:val="clear" w:color="auto" w:fill="FFFFFF"/>
          <w14:textFill>
            <w14:solidFill>
              <w14:schemeClr w14:val="tx1"/>
            </w14:solidFill>
          </w14:textFill>
        </w:rPr>
      </w:pPr>
    </w:p>
    <w:p w14:paraId="79E15CAA">
      <w:pPr>
        <w:widowControl/>
        <w:ind w:left="420" w:firstLine="420"/>
        <w:jc w:val="left"/>
        <w:rPr>
          <w:rFonts w:hint="eastAsia" w:ascii="宋体" w:hAnsi="宋体" w:cs="Arial"/>
          <w:color w:val="000000" w:themeColor="text1"/>
          <w:kern w:val="0"/>
          <w:szCs w:val="21"/>
          <w:shd w:val="clear" w:color="auto" w:fill="FFFFFF"/>
          <w14:textFill>
            <w14:solidFill>
              <w14:schemeClr w14:val="tx1"/>
            </w14:solidFill>
          </w14:textFill>
        </w:rPr>
      </w:pPr>
      <w:r>
        <w:rPr>
          <w:rFonts w:ascii="宋体" w:hAnsi="宋体" w:cs="Arial"/>
          <w:color w:val="000000" w:themeColor="text1"/>
          <w:kern w:val="0"/>
          <w:szCs w:val="21"/>
          <w:shd w:val="clear" w:color="auto" w:fill="FFFFFF"/>
          <w14:textFill>
            <w14:solidFill>
              <w14:schemeClr w14:val="tx1"/>
            </w14:solidFill>
          </w14:textFill>
        </w:rPr>
        <w:t>技术演进层面，早期RLHF存在奖励主观性强的局限；后续模型如DeepSeek-V3通过MoE架构（1共享专家+256路由专家）、多头潜在注意力（MLA）及FP8混合精度训练，实现能力与效率双提升</w:t>
      </w:r>
      <w:r>
        <w:rPr>
          <w:rFonts w:ascii="宋体" w:hAnsi="宋体" w:cs="Arial"/>
          <w:color w:val="000000" w:themeColor="text1"/>
          <w:kern w:val="0"/>
          <w:szCs w:val="21"/>
          <w:shd w:val="clear" w:color="auto" w:fill="FFFFFF"/>
          <w:vertAlign w:val="superscript"/>
          <w14:textFill>
            <w14:solidFill>
              <w14:schemeClr w14:val="tx1"/>
            </w14:solidFill>
          </w14:textFill>
        </w:rPr>
        <w:t>[37]</w:t>
      </w:r>
      <w:r>
        <w:rPr>
          <w:rFonts w:ascii="宋体" w:hAnsi="宋体" w:cs="Arial"/>
          <w:color w:val="000000" w:themeColor="text1"/>
          <w:kern w:val="0"/>
          <w:szCs w:val="21"/>
          <w:shd w:val="clear" w:color="auto" w:fill="FFFFFF"/>
          <w14:textFill>
            <w14:solidFill>
              <w14:schemeClr w14:val="tx1"/>
            </w14:solidFill>
          </w14:textFill>
        </w:rPr>
        <w:t>；多模态融合（视觉-语言RL）、多智能体协作进一步凸显RL的核心作用</w:t>
      </w:r>
      <w:r>
        <w:rPr>
          <w:rFonts w:ascii="宋体" w:hAnsi="宋体" w:cs="Arial"/>
          <w:color w:val="000000" w:themeColor="text1"/>
          <w:kern w:val="0"/>
          <w:szCs w:val="21"/>
          <w:shd w:val="clear" w:color="auto" w:fill="FFFFFF"/>
          <w:vertAlign w:val="superscript"/>
          <w14:textFill>
            <w14:solidFill>
              <w14:schemeClr w14:val="tx1"/>
            </w14:solidFill>
          </w14:textFill>
        </w:rPr>
        <w:t>[38]</w:t>
      </w:r>
      <w:r>
        <w:rPr>
          <w:rFonts w:ascii="宋体" w:hAnsi="宋体" w:cs="Arial"/>
          <w:color w:val="000000" w:themeColor="text1"/>
          <w:kern w:val="0"/>
          <w:szCs w:val="21"/>
          <w:shd w:val="clear" w:color="auto" w:fill="FFFFFF"/>
          <w14:textFill>
            <w14:solidFill>
              <w14:schemeClr w14:val="tx1"/>
            </w14:solidFill>
          </w14:textFill>
        </w:rPr>
        <w:t>。</w:t>
      </w:r>
      <w:commentRangeEnd w:id="25"/>
      <w:r>
        <w:commentReference w:id="25"/>
      </w:r>
    </w:p>
    <w:p w14:paraId="3ED9A648">
      <w:pPr>
        <w:widowControl/>
        <w:ind w:firstLine="420"/>
        <w:jc w:val="left"/>
        <w:rPr>
          <w:rFonts w:hint="eastAsia" w:ascii="宋体" w:hAnsi="宋体" w:cs="Arial"/>
          <w:color w:val="000000" w:themeColor="text1"/>
          <w:kern w:val="0"/>
          <w:szCs w:val="21"/>
          <w:shd w:val="clear" w:color="auto" w:fill="FFFFFF"/>
          <w14:textFill>
            <w14:solidFill>
              <w14:schemeClr w14:val="tx1"/>
            </w14:solidFill>
          </w14:textFill>
        </w:rPr>
      </w:pPr>
    </w:p>
    <w:p w14:paraId="3ECCE735">
      <w:pPr>
        <w:widowControl/>
        <w:ind w:firstLine="420"/>
        <w:jc w:val="left"/>
        <w:rPr>
          <w:rFonts w:hint="eastAsia" w:ascii="宋体" w:hAnsi="宋体" w:cs="Arial"/>
          <w:color w:val="000000" w:themeColor="text1"/>
          <w:kern w:val="0"/>
          <w:szCs w:val="21"/>
          <w:shd w:val="clear" w:color="auto" w:fill="FFFFFF"/>
          <w14:textFill>
            <w14:solidFill>
              <w14:schemeClr w14:val="tx1"/>
            </w14:solidFill>
          </w14:textFill>
        </w:rPr>
      </w:pPr>
      <w:commentRangeStart w:id="26"/>
      <w:r>
        <w:rPr>
          <w:rFonts w:hint="eastAsia" w:ascii="宋体" w:hAnsi="宋体" w:cs="Arial"/>
          <w:color w:val="000000" w:themeColor="text1"/>
          <w:kern w:val="0"/>
          <w:szCs w:val="21"/>
          <w:shd w:val="clear" w:color="auto" w:fill="FFFFFF"/>
          <w14:textFill>
            <w14:solidFill>
              <w14:schemeClr w14:val="tx1"/>
            </w14:solidFill>
          </w14:textFill>
        </w:rPr>
        <w:t>5</w:t>
      </w:r>
      <w:r>
        <w:rPr>
          <w:rFonts w:ascii="宋体" w:hAnsi="宋体" w:cs="Arial"/>
          <w:color w:val="000000" w:themeColor="text1"/>
          <w:kern w:val="0"/>
          <w:szCs w:val="21"/>
          <w:shd w:val="clear" w:color="auto" w:fill="FFFFFF"/>
          <w14:textFill>
            <w14:solidFill>
              <w14:schemeClr w14:val="tx1"/>
            </w14:solidFill>
          </w14:textFill>
        </w:rPr>
        <w:t>.2</w:t>
      </w:r>
      <w:r>
        <w:rPr>
          <w:rFonts w:hint="eastAsia" w:ascii="宋体" w:hAnsi="宋体" w:cs="Arial"/>
          <w:color w:val="000000" w:themeColor="text1"/>
          <w:kern w:val="0"/>
          <w:szCs w:val="21"/>
          <w:shd w:val="clear" w:color="auto" w:fill="FFFFFF"/>
          <w14:textFill>
            <w14:solidFill>
              <w14:schemeClr w14:val="tx1"/>
            </w14:solidFill>
          </w14:textFill>
        </w:rPr>
        <w:t xml:space="preserve"> </w:t>
      </w:r>
      <w:r>
        <w:rPr>
          <w:rFonts w:ascii="宋体" w:hAnsi="宋体" w:cs="Arial"/>
          <w:color w:val="000000" w:themeColor="text1"/>
          <w:kern w:val="0"/>
          <w:szCs w:val="21"/>
          <w:shd w:val="clear" w:color="auto" w:fill="FFFFFF"/>
          <w14:textFill>
            <w14:solidFill>
              <w14:schemeClr w14:val="tx1"/>
            </w14:solidFill>
          </w14:textFill>
        </w:rPr>
        <w:t>核心方法</w:t>
      </w:r>
      <w:commentRangeEnd w:id="26"/>
      <w:r>
        <w:commentReference w:id="26"/>
      </w:r>
    </w:p>
    <w:p w14:paraId="55CEA7EE">
      <w:pPr>
        <w:widowControl/>
        <w:ind w:firstLine="420"/>
        <w:jc w:val="left"/>
        <w:rPr>
          <w:rFonts w:hint="eastAsia" w:ascii="宋体" w:hAnsi="宋体" w:cs="Arial"/>
          <w:color w:val="000000" w:themeColor="text1"/>
          <w:kern w:val="0"/>
          <w:szCs w:val="21"/>
          <w:shd w:val="clear" w:color="auto" w:fill="FFFFFF"/>
          <w14:textFill>
            <w14:solidFill>
              <w14:schemeClr w14:val="tx1"/>
            </w14:solidFill>
          </w14:textFill>
        </w:rPr>
      </w:pPr>
      <w:r>
        <w:rPr>
          <w:rFonts w:ascii="宋体" w:hAnsi="宋体" w:cs="Arial"/>
          <w:color w:val="000000" w:themeColor="text1"/>
          <w:kern w:val="0"/>
          <w:szCs w:val="21"/>
          <w:shd w:val="clear" w:color="auto" w:fill="FFFFFF"/>
          <w14:textFill>
            <w14:solidFill>
              <w14:schemeClr w14:val="tx1"/>
            </w14:solidFill>
          </w14:textFill>
        </w:rPr>
        <w:t>（一）偏好对齐与基础优化技术</w:t>
      </w:r>
    </w:p>
    <w:p w14:paraId="740D40D5">
      <w:pPr>
        <w:widowControl/>
        <w:ind w:left="420" w:firstLine="420"/>
        <w:jc w:val="left"/>
        <w:rPr>
          <w:rFonts w:hint="eastAsia" w:ascii="宋体" w:hAnsi="宋体" w:cs="Arial"/>
          <w:color w:val="000000" w:themeColor="text1"/>
          <w:kern w:val="0"/>
          <w:szCs w:val="21"/>
          <w:shd w:val="clear" w:color="auto" w:fill="FFFFFF"/>
          <w14:textFill>
            <w14:solidFill>
              <w14:schemeClr w14:val="tx1"/>
            </w14:solidFill>
          </w14:textFill>
        </w:rPr>
      </w:pPr>
      <w:r>
        <w:rPr>
          <w:rFonts w:ascii="宋体" w:hAnsi="宋体" w:cs="Arial"/>
          <w:color w:val="000000" w:themeColor="text1"/>
          <w:kern w:val="0"/>
          <w:szCs w:val="21"/>
          <w:shd w:val="clear" w:color="auto" w:fill="FFFFFF"/>
          <w14:textFill>
            <w14:solidFill>
              <w14:schemeClr w14:val="tx1"/>
            </w14:solidFill>
          </w14:textFill>
        </w:rPr>
        <w:t>以RLHF为核心的对齐技术是大模型实用化基础，其闭环流程在ChatGPT中具有代表性：首先由40名训练后的标注人员对模型输出排序，量化“事实准确性（35%）、价值观安全性（30%）”等维度构建RM；再采用PPO算法更新权重，通过KL散度控制策略漂移，避免输出“合规但无用”内容。语料支撑上，预训练依赖CommonCrawl、书籍等753GB无标注数据，微调阶段SFT训练集含标注工11295条、用户1430条数据，PPO训练集含31144条用户数据。开源框架如OpenRLHF通过分布式调度与梯度裁剪，使70B模型奖励方差降低68%，人类偏好胜率达79.3%</w:t>
      </w:r>
      <w:r>
        <w:rPr>
          <w:rFonts w:ascii="宋体" w:hAnsi="宋体" w:cs="Arial"/>
          <w:color w:val="000000" w:themeColor="text1"/>
          <w:kern w:val="0"/>
          <w:szCs w:val="21"/>
          <w:shd w:val="clear" w:color="auto" w:fill="FFFFFF"/>
          <w:vertAlign w:val="superscript"/>
          <w14:textFill>
            <w14:solidFill>
              <w14:schemeClr w14:val="tx1"/>
            </w14:solidFill>
          </w14:textFill>
        </w:rPr>
        <w:t>[39,40]</w:t>
      </w:r>
      <w:r>
        <w:rPr>
          <w:rFonts w:ascii="宋体" w:hAnsi="宋体" w:cs="Arial"/>
          <w:color w:val="000000" w:themeColor="text1"/>
          <w:kern w:val="0"/>
          <w:szCs w:val="21"/>
          <w:shd w:val="clear" w:color="auto" w:fill="FFFFFF"/>
          <w14:textFill>
            <w14:solidFill>
              <w14:schemeClr w14:val="tx1"/>
            </w14:solidFill>
          </w14:textFill>
        </w:rPr>
        <w:t>，在医疗咨询场景中事实严谨性提升30%以上。</w:t>
      </w:r>
    </w:p>
    <w:p w14:paraId="3B7D1062">
      <w:pPr>
        <w:widowControl/>
        <w:ind w:firstLine="420"/>
        <w:jc w:val="left"/>
        <w:rPr>
          <w:rFonts w:hint="eastAsia" w:ascii="宋体" w:hAnsi="宋体" w:cs="Arial"/>
          <w:color w:val="000000" w:themeColor="text1"/>
          <w:kern w:val="0"/>
          <w:szCs w:val="21"/>
          <w:shd w:val="clear" w:color="auto" w:fill="FFFFFF"/>
          <w14:textFill>
            <w14:solidFill>
              <w14:schemeClr w14:val="tx1"/>
            </w14:solidFill>
          </w14:textFill>
        </w:rPr>
      </w:pPr>
    </w:p>
    <w:p w14:paraId="47EA53BF">
      <w:pPr>
        <w:widowControl/>
        <w:ind w:firstLine="420"/>
        <w:jc w:val="left"/>
        <w:rPr>
          <w:rFonts w:hint="eastAsia" w:ascii="宋体" w:hAnsi="宋体" w:cs="Arial"/>
          <w:color w:val="000000" w:themeColor="text1"/>
          <w:kern w:val="0"/>
          <w:szCs w:val="21"/>
          <w:shd w:val="clear" w:color="auto" w:fill="FFFFFF"/>
          <w14:textFill>
            <w14:solidFill>
              <w14:schemeClr w14:val="tx1"/>
            </w14:solidFill>
          </w14:textFill>
        </w:rPr>
      </w:pPr>
      <w:commentRangeStart w:id="27"/>
      <w:r>
        <w:rPr>
          <w:rFonts w:ascii="宋体" w:hAnsi="宋体" w:cs="Arial"/>
          <w:color w:val="000000" w:themeColor="text1"/>
          <w:kern w:val="0"/>
          <w:szCs w:val="21"/>
          <w:shd w:val="clear" w:color="auto" w:fill="FFFFFF"/>
          <w14:textFill>
            <w14:solidFill>
              <w14:schemeClr w14:val="tx1"/>
            </w14:solidFill>
          </w14:textFill>
        </w:rPr>
        <w:t>（二）复杂推理强化技术</w:t>
      </w:r>
    </w:p>
    <w:p w14:paraId="039B9F8E">
      <w:pPr>
        <w:widowControl/>
        <w:ind w:left="420" w:firstLine="420"/>
        <w:jc w:val="left"/>
        <w:rPr>
          <w:rFonts w:hint="eastAsia" w:ascii="宋体" w:hAnsi="宋体" w:cs="Arial"/>
          <w:color w:val="000000" w:themeColor="text1"/>
          <w:kern w:val="0"/>
          <w:szCs w:val="21"/>
          <w:shd w:val="clear" w:color="auto" w:fill="FFFFFF"/>
          <w14:textFill>
            <w14:solidFill>
              <w14:schemeClr w14:val="tx1"/>
            </w14:solidFill>
          </w14:textFill>
        </w:rPr>
      </w:pPr>
      <w:r>
        <w:rPr>
          <w:rFonts w:ascii="宋体" w:hAnsi="宋体" w:cs="Arial"/>
          <w:color w:val="000000" w:themeColor="text1"/>
          <w:kern w:val="0"/>
          <w:szCs w:val="21"/>
          <w:shd w:val="clear" w:color="auto" w:fill="FFFFFF"/>
          <w14:textFill>
            <w14:solidFill>
              <w14:schemeClr w14:val="tx1"/>
            </w14:solidFill>
          </w14:textFill>
        </w:rPr>
        <w:t xml:space="preserve">针对多步推理难题，RL技术向多方向突破：  </w:t>
      </w:r>
    </w:p>
    <w:p w14:paraId="0444C3E9">
      <w:pPr>
        <w:widowControl/>
        <w:ind w:left="420" w:firstLine="420"/>
        <w:jc w:val="left"/>
        <w:rPr>
          <w:rFonts w:hint="eastAsia" w:ascii="宋体" w:hAnsi="宋体" w:cs="Arial"/>
          <w:color w:val="000000" w:themeColor="text1"/>
          <w:kern w:val="0"/>
          <w:szCs w:val="21"/>
          <w:shd w:val="clear" w:color="auto" w:fill="FFFFFF"/>
          <w14:textFill>
            <w14:solidFill>
              <w14:schemeClr w14:val="tx1"/>
            </w14:solidFill>
          </w14:textFill>
        </w:rPr>
      </w:pPr>
      <w:r>
        <w:rPr>
          <w:rFonts w:ascii="宋体" w:hAnsi="宋体" w:cs="Arial"/>
          <w:color w:val="000000" w:themeColor="text1"/>
          <w:kern w:val="0"/>
          <w:szCs w:val="21"/>
          <w:shd w:val="clear" w:color="auto" w:fill="FFFFFF"/>
          <w14:textFill>
            <w14:solidFill>
              <w14:schemeClr w14:val="tx1"/>
            </w14:solidFill>
          </w14:textFill>
        </w:rPr>
        <w:t xml:space="preserve">1.群体相对策略优化（GRPO）：DeepSeek-R1-Zero采用该算法，跳过SFT与RLHF阶段，以群体平均奖励为基准，诱导模型形成“绽放-分解问题生成推理链-重建-回溯修正错误”双循环，使AIME竞赛准确率提升55.4个百分点，同时减少60%计算开销。  </w:t>
      </w:r>
    </w:p>
    <w:p w14:paraId="5D1C7365">
      <w:pPr>
        <w:widowControl/>
        <w:ind w:left="420" w:firstLine="420"/>
        <w:jc w:val="left"/>
        <w:rPr>
          <w:rFonts w:hint="eastAsia" w:ascii="宋体" w:hAnsi="宋体" w:cs="Arial"/>
          <w:color w:val="000000" w:themeColor="text1"/>
          <w:kern w:val="0"/>
          <w:szCs w:val="21"/>
          <w:shd w:val="clear" w:color="auto" w:fill="FFFFFF"/>
          <w14:textFill>
            <w14:solidFill>
              <w14:schemeClr w14:val="tx1"/>
            </w14:solidFill>
          </w14:textFill>
        </w:rPr>
      </w:pPr>
      <w:r>
        <w:rPr>
          <w:rFonts w:ascii="宋体" w:hAnsi="宋体" w:cs="Arial"/>
          <w:color w:val="000000" w:themeColor="text1"/>
          <w:kern w:val="0"/>
          <w:szCs w:val="21"/>
          <w:shd w:val="clear" w:color="auto" w:fill="FFFFFF"/>
          <w14:textFill>
            <w14:solidFill>
              <w14:schemeClr w14:val="tx1"/>
            </w14:solidFill>
          </w14:textFill>
        </w:rPr>
        <w:t xml:space="preserve">2.隐式过程奖励建模（PRIME）：清华大学提出的PRIME仅通过最终结果标签训练RM，利用Q函数推导token级奖励，结合在线RM更新规避奖励黑客攻击。在Qwen2.5-Math-7B基础上，其训练的Eurus-2-7B模型样本效率提升2.5倍，AIME 2024准确率达26.7%，超越GPT-4o。  </w:t>
      </w:r>
    </w:p>
    <w:p w14:paraId="2783DAE9">
      <w:pPr>
        <w:widowControl/>
        <w:ind w:left="420" w:firstLine="420"/>
        <w:jc w:val="left"/>
        <w:rPr>
          <w:rFonts w:hint="eastAsia" w:ascii="宋体" w:hAnsi="宋体" w:cs="Arial"/>
          <w:color w:val="000000" w:themeColor="text1"/>
          <w:kern w:val="0"/>
          <w:szCs w:val="21"/>
          <w:shd w:val="clear" w:color="auto" w:fill="FFFFFF"/>
          <w14:textFill>
            <w14:solidFill>
              <w14:schemeClr w14:val="tx1"/>
            </w14:solidFill>
          </w14:textFill>
        </w:rPr>
      </w:pPr>
      <w:r>
        <w:rPr>
          <w:rFonts w:ascii="宋体" w:hAnsi="宋体" w:cs="Arial"/>
          <w:color w:val="000000" w:themeColor="text1"/>
          <w:kern w:val="0"/>
          <w:szCs w:val="21"/>
          <w:shd w:val="clear" w:color="auto" w:fill="FFFFFF"/>
          <w14:textFill>
            <w14:solidFill>
              <w14:schemeClr w14:val="tx1"/>
            </w14:solidFill>
          </w14:textFill>
        </w:rPr>
        <w:t>3.混合架构与精度优化：DeepSeek-V3采用MoE架构，每个token激活8个路由专家，结合多头潜在注意力（MLA）将KV缓存占用降至MHA的5%-13%；FP8混合精度训练控制精度损失在0.25%内，内存占用降低50%，多token预测（MTP）使推理速度提升3倍。</w:t>
      </w:r>
    </w:p>
    <w:p w14:paraId="0871E1BB">
      <w:pPr>
        <w:widowControl/>
        <w:ind w:firstLine="420"/>
        <w:jc w:val="left"/>
        <w:rPr>
          <w:rFonts w:hint="eastAsia" w:ascii="宋体" w:hAnsi="宋体" w:cs="Arial"/>
          <w:color w:val="000000" w:themeColor="text1"/>
          <w:kern w:val="0"/>
          <w:szCs w:val="21"/>
          <w:shd w:val="clear" w:color="auto" w:fill="FFFFFF"/>
          <w14:textFill>
            <w14:solidFill>
              <w14:schemeClr w14:val="tx1"/>
            </w14:solidFill>
          </w14:textFill>
        </w:rPr>
      </w:pPr>
    </w:p>
    <w:p w14:paraId="13ED888C">
      <w:pPr>
        <w:widowControl/>
        <w:ind w:firstLine="420"/>
        <w:jc w:val="left"/>
        <w:rPr>
          <w:rFonts w:hint="eastAsia" w:ascii="宋体" w:hAnsi="宋体" w:cs="Arial"/>
          <w:color w:val="000000" w:themeColor="text1"/>
          <w:kern w:val="0"/>
          <w:szCs w:val="21"/>
          <w:shd w:val="clear" w:color="auto" w:fill="FFFFFF"/>
          <w14:textFill>
            <w14:solidFill>
              <w14:schemeClr w14:val="tx1"/>
            </w14:solidFill>
          </w14:textFill>
        </w:rPr>
      </w:pPr>
      <w:r>
        <w:rPr>
          <w:rFonts w:ascii="宋体" w:hAnsi="宋体" w:cs="Arial"/>
          <w:color w:val="000000" w:themeColor="text1"/>
          <w:kern w:val="0"/>
          <w:szCs w:val="21"/>
          <w:shd w:val="clear" w:color="auto" w:fill="FFFFFF"/>
          <w14:textFill>
            <w14:solidFill>
              <w14:schemeClr w14:val="tx1"/>
            </w14:solidFill>
          </w14:textFill>
        </w:rPr>
        <w:t>（三）长序列与具身场景适配技术</w:t>
      </w:r>
    </w:p>
    <w:p w14:paraId="1A9C0C86">
      <w:pPr>
        <w:widowControl/>
        <w:ind w:left="420" w:firstLine="420"/>
        <w:jc w:val="left"/>
        <w:rPr>
          <w:rFonts w:hint="eastAsia" w:ascii="宋体" w:hAnsi="宋体" w:cs="Arial"/>
          <w:color w:val="000000" w:themeColor="text1"/>
          <w:kern w:val="0"/>
          <w:szCs w:val="21"/>
          <w:shd w:val="clear" w:color="auto" w:fill="FFFFFF"/>
          <w14:textFill>
            <w14:solidFill>
              <w14:schemeClr w14:val="tx1"/>
            </w14:solidFill>
          </w14:textFill>
        </w:rPr>
      </w:pPr>
      <w:r>
        <w:rPr>
          <w:rFonts w:ascii="宋体" w:hAnsi="宋体" w:cs="Arial"/>
          <w:color w:val="000000" w:themeColor="text1"/>
          <w:kern w:val="0"/>
          <w:szCs w:val="21"/>
          <w:shd w:val="clear" w:color="auto" w:fill="FFFFFF"/>
          <w14:textFill>
            <w14:solidFill>
              <w14:schemeClr w14:val="tx1"/>
            </w14:solidFill>
          </w14:textFill>
        </w:rPr>
        <w:t xml:space="preserve">1.超长输出强化学习（UloRL）：针对128k标记长序列，通过“分段解码（拆分为16k子段）+动态掩码（DMMPTs）”逐段训练，结合伪同策略重要性采样（POIS）保障梯度稳定。在Qwen3-30B模型上，训练速度提升2.06倍，BeyondAIME任务准确率从50.7%升至61.9%，动态掩码通过屏蔽“已掌握正tokens（MPTs）”避免熵崩塌。  </w:t>
      </w:r>
    </w:p>
    <w:p w14:paraId="6F9923DA">
      <w:pPr>
        <w:widowControl/>
        <w:ind w:left="420" w:firstLine="420"/>
        <w:jc w:val="left"/>
        <w:rPr>
          <w:rFonts w:hint="eastAsia" w:ascii="宋体" w:hAnsi="宋体" w:cs="Arial"/>
          <w:color w:val="000000" w:themeColor="text1"/>
          <w:kern w:val="0"/>
          <w:szCs w:val="21"/>
          <w:shd w:val="clear" w:color="auto" w:fill="FFFFFF"/>
          <w14:textFill>
            <w14:solidFill>
              <w14:schemeClr w14:val="tx1"/>
            </w14:solidFill>
          </w14:textFill>
        </w:rPr>
      </w:pPr>
      <w:r>
        <w:rPr>
          <w:rFonts w:ascii="宋体" w:hAnsi="宋体" w:cs="Arial"/>
          <w:color w:val="000000" w:themeColor="text1"/>
          <w:kern w:val="0"/>
          <w:szCs w:val="21"/>
          <w:shd w:val="clear" w:color="auto" w:fill="FFFFFF"/>
          <w14:textFill>
            <w14:solidFill>
              <w14:schemeClr w14:val="tx1"/>
            </w14:solidFill>
          </w14:textFill>
        </w:rPr>
        <w:t>2.具身智能中的RL融合：在机械臂操作中，基于RL的GraspNet模型通过6D姿态估计，抓取成功率达92%，支持杂乱场景堆叠物体操作；四足机器人通过RL优化步态策略，复杂地形行进速度提升35%，稳定性超越传统控制算法；Mobile ALOHA机器人结合RL与模仿学习，完成滑蛋虾仁等复杂家务，解决仿真-真实迁移中的动力学偏差。</w:t>
      </w:r>
      <w:commentRangeEnd w:id="27"/>
      <w:r>
        <w:commentReference w:id="27"/>
      </w:r>
    </w:p>
    <w:p w14:paraId="610164B8">
      <w:pPr>
        <w:widowControl/>
        <w:ind w:firstLine="420"/>
        <w:jc w:val="left"/>
        <w:rPr>
          <w:rFonts w:hint="eastAsia" w:ascii="宋体" w:hAnsi="宋体" w:cs="Arial"/>
          <w:color w:val="000000" w:themeColor="text1"/>
          <w:kern w:val="0"/>
          <w:szCs w:val="21"/>
          <w:shd w:val="clear" w:color="auto" w:fill="FFFFFF"/>
          <w14:textFill>
            <w14:solidFill>
              <w14:schemeClr w14:val="tx1"/>
            </w14:solidFill>
          </w14:textFill>
        </w:rPr>
      </w:pPr>
    </w:p>
    <w:p w14:paraId="0D81D0DF">
      <w:pPr>
        <w:widowControl/>
        <w:ind w:firstLine="420"/>
        <w:jc w:val="left"/>
        <w:rPr>
          <w:rFonts w:hint="eastAsia" w:ascii="宋体" w:hAnsi="宋体" w:cs="Arial"/>
          <w:color w:val="000000" w:themeColor="text1"/>
          <w:kern w:val="0"/>
          <w:szCs w:val="21"/>
          <w:shd w:val="clear" w:color="auto" w:fill="FFFFFF"/>
          <w14:textFill>
            <w14:solidFill>
              <w14:schemeClr w14:val="tx1"/>
            </w14:solidFill>
          </w14:textFill>
        </w:rPr>
      </w:pPr>
      <w:commentRangeStart w:id="28"/>
      <w:r>
        <w:rPr>
          <w:rFonts w:hint="eastAsia" w:ascii="宋体" w:hAnsi="宋体" w:cs="Arial"/>
          <w:color w:val="000000" w:themeColor="text1"/>
          <w:kern w:val="0"/>
          <w:szCs w:val="21"/>
          <w:shd w:val="clear" w:color="auto" w:fill="FFFFFF"/>
          <w14:textFill>
            <w14:solidFill>
              <w14:schemeClr w14:val="tx1"/>
            </w14:solidFill>
          </w14:textFill>
        </w:rPr>
        <w:t>5</w:t>
      </w:r>
      <w:r>
        <w:rPr>
          <w:rFonts w:ascii="宋体" w:hAnsi="宋体" w:cs="Arial"/>
          <w:color w:val="000000" w:themeColor="text1"/>
          <w:kern w:val="0"/>
          <w:szCs w:val="21"/>
          <w:shd w:val="clear" w:color="auto" w:fill="FFFFFF"/>
          <w14:textFill>
            <w14:solidFill>
              <w14:schemeClr w14:val="tx1"/>
            </w14:solidFill>
          </w14:textFill>
        </w:rPr>
        <w:t>.3</w:t>
      </w:r>
      <w:r>
        <w:rPr>
          <w:rFonts w:hint="eastAsia" w:ascii="宋体" w:hAnsi="宋体" w:cs="Arial"/>
          <w:color w:val="000000" w:themeColor="text1"/>
          <w:kern w:val="0"/>
          <w:szCs w:val="21"/>
          <w:shd w:val="clear" w:color="auto" w:fill="FFFFFF"/>
          <w14:textFill>
            <w14:solidFill>
              <w14:schemeClr w14:val="tx1"/>
            </w14:solidFill>
          </w14:textFill>
        </w:rPr>
        <w:t xml:space="preserve"> </w:t>
      </w:r>
      <w:r>
        <w:rPr>
          <w:rFonts w:ascii="宋体" w:hAnsi="宋体" w:cs="Arial"/>
          <w:color w:val="000000" w:themeColor="text1"/>
          <w:kern w:val="0"/>
          <w:szCs w:val="21"/>
          <w:shd w:val="clear" w:color="auto" w:fill="FFFFFF"/>
          <w14:textFill>
            <w14:solidFill>
              <w14:schemeClr w14:val="tx1"/>
            </w14:solidFill>
          </w14:textFill>
        </w:rPr>
        <w:t>应用成效与案例分析</w:t>
      </w:r>
      <w:commentRangeEnd w:id="28"/>
      <w:r>
        <w:commentReference w:id="28"/>
      </w:r>
    </w:p>
    <w:p w14:paraId="4836AF50">
      <w:pPr>
        <w:widowControl/>
        <w:ind w:left="420" w:firstLine="420"/>
        <w:jc w:val="left"/>
        <w:rPr>
          <w:rFonts w:hint="eastAsia" w:ascii="宋体" w:hAnsi="宋体" w:cs="Arial"/>
          <w:color w:val="000000" w:themeColor="text1"/>
          <w:kern w:val="0"/>
          <w:szCs w:val="21"/>
          <w:shd w:val="clear" w:color="auto" w:fill="FFFFFF"/>
          <w14:textFill>
            <w14:solidFill>
              <w14:schemeClr w14:val="tx1"/>
            </w14:solidFill>
          </w14:textFill>
        </w:rPr>
      </w:pPr>
      <w:r>
        <w:rPr>
          <w:rFonts w:ascii="宋体" w:hAnsi="宋体" w:cs="Arial"/>
          <w:color w:val="000000" w:themeColor="text1"/>
          <w:kern w:val="0"/>
          <w:szCs w:val="21"/>
          <w:shd w:val="clear" w:color="auto" w:fill="FFFFFF"/>
          <w14:textFill>
            <w14:solidFill>
              <w14:schemeClr w14:val="tx1"/>
            </w14:solidFill>
          </w14:textFill>
        </w:rPr>
        <w:t>（一）通用推理能力突破</w:t>
      </w:r>
    </w:p>
    <w:p w14:paraId="74F061A8">
      <w:pPr>
        <w:widowControl/>
        <w:ind w:left="420" w:firstLine="420"/>
        <w:jc w:val="left"/>
        <w:rPr>
          <w:rFonts w:hint="eastAsia" w:ascii="宋体" w:hAnsi="宋体" w:cs="Arial"/>
          <w:color w:val="000000" w:themeColor="text1"/>
          <w:kern w:val="0"/>
          <w:szCs w:val="21"/>
          <w:shd w:val="clear" w:color="auto" w:fill="FFFFFF"/>
          <w14:textFill>
            <w14:solidFill>
              <w14:schemeClr w14:val="tx1"/>
            </w14:solidFill>
          </w14:textFill>
        </w:rPr>
      </w:pPr>
      <w:r>
        <w:rPr>
          <w:rFonts w:ascii="宋体" w:hAnsi="宋体" w:cs="Arial"/>
          <w:color w:val="000000" w:themeColor="text1"/>
          <w:kern w:val="0"/>
          <w:szCs w:val="21"/>
          <w:shd w:val="clear" w:color="auto" w:fill="FFFFFF"/>
          <w14:textFill>
            <w14:solidFill>
              <w14:schemeClr w14:val="tx1"/>
            </w14:solidFill>
          </w14:textFill>
        </w:rPr>
        <w:t>RL推动大模型实现从“知识复述”到“深度推理”的跨越：DeepSeek-R1采用GRPO纯RL训练，在AIME数学竞赛准确率71.0%，Codeforces编程竞赛Elo评分超越96.3%人类选手，展现自主纠错能力；DeepSeek-V3在MMLU-Pro（75.9%）、GPQA-Diamond（59.1%）等基准上超越Qwen2.5-72B，HumanEval-Mul Pass@1达82.6%；PRIME的Eurus-2-7B模型仅用10%数据（230K SFT+150K RL），在7项数学基准平均准确率提升15.1%；UloRL使Qwen3-30B在128k长序列任务中耗时减少51%，AIME2025准确率从70.9%升至85.1%，反超235B参数的Qwen3-235B。</w:t>
      </w:r>
    </w:p>
    <w:p w14:paraId="44DF62D1">
      <w:pPr>
        <w:widowControl/>
        <w:ind w:firstLine="420"/>
        <w:jc w:val="left"/>
        <w:rPr>
          <w:rFonts w:hint="eastAsia" w:ascii="宋体" w:hAnsi="宋体" w:cs="Arial"/>
          <w:color w:val="000000" w:themeColor="text1"/>
          <w:kern w:val="0"/>
          <w:szCs w:val="21"/>
          <w:shd w:val="clear" w:color="auto" w:fill="FFFFFF"/>
          <w14:textFill>
            <w14:solidFill>
              <w14:schemeClr w14:val="tx1"/>
            </w14:solidFill>
          </w14:textFill>
        </w:rPr>
      </w:pPr>
    </w:p>
    <w:p w14:paraId="48DEBE46">
      <w:pPr>
        <w:widowControl/>
        <w:ind w:firstLine="420"/>
        <w:jc w:val="left"/>
        <w:rPr>
          <w:rFonts w:hint="eastAsia" w:ascii="宋体" w:hAnsi="宋体" w:cs="Arial"/>
          <w:color w:val="000000" w:themeColor="text1"/>
          <w:kern w:val="0"/>
          <w:szCs w:val="21"/>
          <w:shd w:val="clear" w:color="auto" w:fill="FFFFFF"/>
          <w14:textFill>
            <w14:solidFill>
              <w14:schemeClr w14:val="tx1"/>
            </w14:solidFill>
          </w14:textFill>
        </w:rPr>
      </w:pPr>
      <w:r>
        <w:rPr>
          <w:rFonts w:ascii="宋体" w:hAnsi="宋体" w:cs="Arial"/>
          <w:color w:val="000000" w:themeColor="text1"/>
          <w:kern w:val="0"/>
          <w:szCs w:val="21"/>
          <w:shd w:val="clear" w:color="auto" w:fill="FFFFFF"/>
          <w14:textFill>
            <w14:solidFill>
              <w14:schemeClr w14:val="tx1"/>
            </w14:solidFill>
          </w14:textFill>
        </w:rPr>
        <w:t>（二）垂直领域与具身场景落地</w:t>
      </w:r>
    </w:p>
    <w:p w14:paraId="24364ECF">
      <w:pPr>
        <w:widowControl/>
        <w:ind w:left="420" w:firstLine="420"/>
        <w:jc w:val="left"/>
        <w:rPr>
          <w:rFonts w:hint="eastAsia" w:ascii="宋体" w:hAnsi="宋体" w:cs="Arial"/>
          <w:color w:val="000000" w:themeColor="text1"/>
          <w:kern w:val="0"/>
          <w:szCs w:val="21"/>
          <w:shd w:val="clear" w:color="auto" w:fill="FFFFFF"/>
          <w14:textFill>
            <w14:solidFill>
              <w14:schemeClr w14:val="tx1"/>
            </w14:solidFill>
          </w14:textFill>
        </w:rPr>
      </w:pPr>
      <w:r>
        <w:rPr>
          <w:rFonts w:ascii="宋体" w:hAnsi="宋体" w:cs="Arial"/>
          <w:color w:val="000000" w:themeColor="text1"/>
          <w:kern w:val="0"/>
          <w:szCs w:val="21"/>
          <w:shd w:val="clear" w:color="auto" w:fill="FFFFFF"/>
          <w14:textFill>
            <w14:solidFill>
              <w14:schemeClr w14:val="tx1"/>
            </w14:solidFill>
          </w14:textFill>
        </w:rPr>
        <w:t>1.专业服务领域：医疗场景中，RL训练的医学视觉语言模型泛化能力提升27%，多模态影像处理性能超越参数量大数十倍的模型；金融领域，基于离线RL的风控模型欺诈识别准确率提升22%，满足监管合规要求</w:t>
      </w:r>
      <w:r>
        <w:rPr>
          <w:rFonts w:ascii="宋体" w:hAnsi="宋体" w:cs="Arial"/>
          <w:color w:val="000000" w:themeColor="text1"/>
          <w:kern w:val="0"/>
          <w:szCs w:val="21"/>
          <w:shd w:val="clear" w:color="auto" w:fill="FFFFFF"/>
          <w:vertAlign w:val="superscript"/>
          <w14:textFill>
            <w14:solidFill>
              <w14:schemeClr w14:val="tx1"/>
            </w14:solidFill>
          </w14:textFill>
        </w:rPr>
        <w:t>[41]</w:t>
      </w:r>
      <w:r>
        <w:rPr>
          <w:rFonts w:ascii="宋体" w:hAnsi="宋体" w:cs="Arial"/>
          <w:color w:val="000000" w:themeColor="text1"/>
          <w:kern w:val="0"/>
          <w:szCs w:val="21"/>
          <w:shd w:val="clear" w:color="auto" w:fill="FFFFFF"/>
          <w14:textFill>
            <w14:solidFill>
              <w14:schemeClr w14:val="tx1"/>
            </w14:solidFill>
          </w14:textFill>
        </w:rPr>
        <w:t xml:space="preserve">。  </w:t>
      </w:r>
    </w:p>
    <w:p w14:paraId="527A2AB3">
      <w:pPr>
        <w:widowControl/>
        <w:ind w:left="420" w:firstLine="420"/>
        <w:jc w:val="left"/>
        <w:rPr>
          <w:rFonts w:hint="eastAsia" w:ascii="宋体" w:hAnsi="宋体" w:cs="Arial"/>
          <w:color w:val="000000" w:themeColor="text1"/>
          <w:kern w:val="0"/>
          <w:szCs w:val="21"/>
          <w:shd w:val="clear" w:color="auto" w:fill="FFFFFF"/>
          <w14:textFill>
            <w14:solidFill>
              <w14:schemeClr w14:val="tx1"/>
            </w14:solidFill>
          </w14:textFill>
        </w:rPr>
      </w:pPr>
      <w:r>
        <w:rPr>
          <w:rFonts w:ascii="宋体" w:hAnsi="宋体" w:cs="Arial"/>
          <w:color w:val="000000" w:themeColor="text1"/>
          <w:kern w:val="0"/>
          <w:szCs w:val="21"/>
          <w:shd w:val="clear" w:color="auto" w:fill="FFFFFF"/>
          <w14:textFill>
            <w14:solidFill>
              <w14:schemeClr w14:val="tx1"/>
            </w14:solidFill>
          </w14:textFill>
        </w:rPr>
        <w:t>2.工业与具身场景：改进SAC算法的离线RL系统在19万桶原油蒸馏单元控制中，人工干预需求降低84%，累计误差减少12.8%；机械臂通过RL优化抓取策略，杂乱场景成功率达92%；四足机器人借助RL适应沙地、台阶地形，行进稳定性提升显著。</w:t>
      </w:r>
    </w:p>
    <w:p w14:paraId="33C4E427">
      <w:pPr>
        <w:widowControl/>
        <w:ind w:firstLine="420"/>
        <w:jc w:val="left"/>
        <w:rPr>
          <w:rFonts w:hint="eastAsia" w:ascii="宋体" w:hAnsi="宋体" w:cs="Arial"/>
          <w:color w:val="000000" w:themeColor="text1"/>
          <w:kern w:val="0"/>
          <w:szCs w:val="21"/>
          <w:shd w:val="clear" w:color="auto" w:fill="FFFFFF"/>
          <w14:textFill>
            <w14:solidFill>
              <w14:schemeClr w14:val="tx1"/>
            </w14:solidFill>
          </w14:textFill>
        </w:rPr>
      </w:pPr>
    </w:p>
    <w:p w14:paraId="23717ED1">
      <w:pPr>
        <w:widowControl/>
        <w:ind w:firstLine="420"/>
        <w:jc w:val="left"/>
        <w:rPr>
          <w:rFonts w:hint="eastAsia" w:ascii="宋体" w:hAnsi="宋体" w:cs="Arial"/>
          <w:color w:val="000000" w:themeColor="text1"/>
          <w:kern w:val="0"/>
          <w:szCs w:val="21"/>
          <w:shd w:val="clear" w:color="auto" w:fill="FFFFFF"/>
          <w14:textFill>
            <w14:solidFill>
              <w14:schemeClr w14:val="tx1"/>
            </w14:solidFill>
          </w14:textFill>
        </w:rPr>
      </w:pPr>
      <w:r>
        <w:rPr>
          <w:rFonts w:ascii="宋体" w:hAnsi="宋体" w:cs="Arial"/>
          <w:color w:val="000000" w:themeColor="text1"/>
          <w:kern w:val="0"/>
          <w:szCs w:val="21"/>
          <w:shd w:val="clear" w:color="auto" w:fill="FFFFFF"/>
          <w14:textFill>
            <w14:solidFill>
              <w14:schemeClr w14:val="tx1"/>
            </w14:solidFill>
          </w14:textFill>
        </w:rPr>
        <w:t>（三）评测基准验证</w:t>
      </w:r>
    </w:p>
    <w:p w14:paraId="541AD8D0">
      <w:pPr>
        <w:widowControl/>
        <w:ind w:left="420" w:firstLine="420"/>
        <w:jc w:val="left"/>
        <w:rPr>
          <w:rFonts w:hint="eastAsia" w:ascii="宋体" w:hAnsi="宋体" w:cs="Arial"/>
          <w:color w:val="000000" w:themeColor="text1"/>
          <w:kern w:val="0"/>
          <w:szCs w:val="21"/>
          <w:shd w:val="clear" w:color="auto" w:fill="FFFFFF"/>
          <w14:textFill>
            <w14:solidFill>
              <w14:schemeClr w14:val="tx1"/>
            </w14:solidFill>
          </w14:textFill>
        </w:rPr>
      </w:pPr>
      <w:r>
        <w:rPr>
          <w:rFonts w:ascii="宋体" w:hAnsi="宋体" w:cs="Arial"/>
          <w:color w:val="000000" w:themeColor="text1"/>
          <w:kern w:val="0"/>
          <w:szCs w:val="21"/>
          <w:shd w:val="clear" w:color="auto" w:fill="FFFFFF"/>
          <w14:textFill>
            <w14:solidFill>
              <w14:schemeClr w14:val="tx1"/>
            </w14:solidFill>
          </w14:textFill>
        </w:rPr>
        <w:t>根据大语言模型评测综述，RL优化模型在核心基准表现突出：推理类基准（AIME、MATH-500）中，DeepSeek-R1、Eurus-2-7B准确率超传统SFT模型50%以上</w:t>
      </w:r>
      <w:r>
        <w:rPr>
          <w:rFonts w:ascii="宋体" w:hAnsi="宋体" w:cs="Arial"/>
          <w:color w:val="000000" w:themeColor="text1"/>
          <w:kern w:val="0"/>
          <w:szCs w:val="21"/>
          <w:shd w:val="clear" w:color="auto" w:fill="FFFFFF"/>
          <w:vertAlign w:val="superscript"/>
          <w14:textFill>
            <w14:solidFill>
              <w14:schemeClr w14:val="tx1"/>
            </w14:solidFill>
          </w14:textFill>
        </w:rPr>
        <w:t>[42]</w:t>
      </w:r>
      <w:r>
        <w:rPr>
          <w:rFonts w:ascii="宋体" w:hAnsi="宋体" w:cs="Arial"/>
          <w:color w:val="000000" w:themeColor="text1"/>
          <w:kern w:val="0"/>
          <w:szCs w:val="21"/>
          <w:shd w:val="clear" w:color="auto" w:fill="FFFFFF"/>
          <w14:textFill>
            <w14:solidFill>
              <w14:schemeClr w14:val="tx1"/>
            </w14:solidFill>
          </w14:textFill>
        </w:rPr>
        <w:t>；对齐类基准（HHH、TruthfulQA）中，ChatGPT、DeepSeek-V3的“无害性”“诚实性”指标达90%以上；具身基准（ManiSkill2、Mobile ALOHA）中，RL驱动模型任务完成率超纯模仿学习模型30%。</w:t>
      </w:r>
    </w:p>
    <w:p w14:paraId="24FC88F1">
      <w:pPr>
        <w:widowControl/>
        <w:ind w:firstLine="420"/>
        <w:jc w:val="left"/>
        <w:rPr>
          <w:rFonts w:hint="eastAsia" w:ascii="宋体" w:hAnsi="宋体" w:cs="Arial"/>
          <w:color w:val="000000" w:themeColor="text1"/>
          <w:kern w:val="0"/>
          <w:szCs w:val="21"/>
          <w:shd w:val="clear" w:color="auto" w:fill="FFFFFF"/>
          <w14:textFill>
            <w14:solidFill>
              <w14:schemeClr w14:val="tx1"/>
            </w14:solidFill>
          </w14:textFill>
        </w:rPr>
      </w:pPr>
    </w:p>
    <w:p w14:paraId="071E562D">
      <w:pPr>
        <w:widowControl/>
        <w:ind w:firstLine="420"/>
        <w:jc w:val="left"/>
        <w:rPr>
          <w:rFonts w:hint="eastAsia" w:ascii="宋体" w:hAnsi="宋体" w:cs="Arial"/>
          <w:color w:val="000000" w:themeColor="text1"/>
          <w:kern w:val="0"/>
          <w:szCs w:val="21"/>
          <w:shd w:val="clear" w:color="auto" w:fill="FFFFFF"/>
          <w14:textFill>
            <w14:solidFill>
              <w14:schemeClr w14:val="tx1"/>
            </w14:solidFill>
          </w14:textFill>
        </w:rPr>
      </w:pPr>
    </w:p>
    <w:p w14:paraId="31DCC0E9">
      <w:pPr>
        <w:widowControl/>
        <w:ind w:firstLine="420"/>
        <w:jc w:val="left"/>
        <w:rPr>
          <w:rFonts w:hint="eastAsia" w:ascii="宋体" w:hAnsi="宋体" w:cs="Arial"/>
          <w:color w:val="000000" w:themeColor="text1"/>
          <w:kern w:val="0"/>
          <w:szCs w:val="21"/>
          <w:shd w:val="clear" w:color="auto" w:fill="FFFFFF"/>
          <w14:textFill>
            <w14:solidFill>
              <w14:schemeClr w14:val="tx1"/>
            </w14:solidFill>
          </w14:textFill>
        </w:rPr>
      </w:pPr>
      <w:commentRangeStart w:id="29"/>
      <w:r>
        <w:rPr>
          <w:rFonts w:hint="eastAsia" w:ascii="宋体" w:hAnsi="宋体" w:cs="Arial"/>
          <w:color w:val="000000" w:themeColor="text1"/>
          <w:kern w:val="0"/>
          <w:szCs w:val="21"/>
          <w:shd w:val="clear" w:color="auto" w:fill="FFFFFF"/>
          <w14:textFill>
            <w14:solidFill>
              <w14:schemeClr w14:val="tx1"/>
            </w14:solidFill>
          </w14:textFill>
        </w:rPr>
        <w:t>5</w:t>
      </w:r>
      <w:r>
        <w:rPr>
          <w:rFonts w:ascii="宋体" w:hAnsi="宋体" w:cs="Arial"/>
          <w:color w:val="000000" w:themeColor="text1"/>
          <w:kern w:val="0"/>
          <w:szCs w:val="21"/>
          <w:shd w:val="clear" w:color="auto" w:fill="FFFFFF"/>
          <w14:textFill>
            <w14:solidFill>
              <w14:schemeClr w14:val="tx1"/>
            </w14:solidFill>
          </w14:textFill>
        </w:rPr>
        <w:t>.4</w:t>
      </w:r>
      <w:r>
        <w:rPr>
          <w:rFonts w:hint="eastAsia" w:ascii="宋体" w:hAnsi="宋体" w:cs="Arial"/>
          <w:color w:val="000000" w:themeColor="text1"/>
          <w:kern w:val="0"/>
          <w:szCs w:val="21"/>
          <w:shd w:val="clear" w:color="auto" w:fill="FFFFFF"/>
          <w14:textFill>
            <w14:solidFill>
              <w14:schemeClr w14:val="tx1"/>
            </w14:solidFill>
          </w14:textFill>
        </w:rPr>
        <w:t xml:space="preserve"> </w:t>
      </w:r>
      <w:r>
        <w:rPr>
          <w:rFonts w:ascii="宋体" w:hAnsi="宋体" w:cs="Arial"/>
          <w:color w:val="000000" w:themeColor="text1"/>
          <w:kern w:val="0"/>
          <w:szCs w:val="21"/>
          <w:shd w:val="clear" w:color="auto" w:fill="FFFFFF"/>
          <w14:textFill>
            <w14:solidFill>
              <w14:schemeClr w14:val="tx1"/>
            </w14:solidFill>
          </w14:textFill>
        </w:rPr>
        <w:t>小结与挑战展望</w:t>
      </w:r>
      <w:commentRangeEnd w:id="29"/>
      <w:r>
        <w:commentReference w:id="29"/>
      </w:r>
    </w:p>
    <w:p w14:paraId="7CE165D6">
      <w:pPr>
        <w:widowControl/>
        <w:ind w:firstLine="420"/>
        <w:jc w:val="left"/>
        <w:rPr>
          <w:rFonts w:hint="eastAsia" w:ascii="宋体" w:hAnsi="宋体" w:cs="Arial"/>
          <w:color w:val="000000" w:themeColor="text1"/>
          <w:kern w:val="0"/>
          <w:szCs w:val="21"/>
          <w:shd w:val="clear" w:color="auto" w:fill="FFFFFF"/>
          <w14:textFill>
            <w14:solidFill>
              <w14:schemeClr w14:val="tx1"/>
            </w14:solidFill>
          </w14:textFill>
        </w:rPr>
      </w:pPr>
      <w:r>
        <w:rPr>
          <w:rFonts w:ascii="宋体" w:hAnsi="宋体" w:cs="Arial"/>
          <w:color w:val="000000" w:themeColor="text1"/>
          <w:kern w:val="0"/>
          <w:szCs w:val="21"/>
          <w:shd w:val="clear" w:color="auto" w:fill="FFFFFF"/>
          <w14:textFill>
            <w14:solidFill>
              <w14:schemeClr w14:val="tx1"/>
            </w14:solidFill>
          </w14:textFill>
        </w:rPr>
        <w:t>（一）小结</w:t>
      </w:r>
    </w:p>
    <w:p w14:paraId="6E0CAF9C">
      <w:pPr>
        <w:widowControl/>
        <w:ind w:left="420" w:firstLine="420"/>
        <w:jc w:val="left"/>
        <w:rPr>
          <w:rFonts w:hint="eastAsia" w:ascii="宋体" w:hAnsi="宋体" w:cs="Arial"/>
          <w:color w:val="000000" w:themeColor="text1"/>
          <w:kern w:val="0"/>
          <w:szCs w:val="21"/>
          <w:shd w:val="clear" w:color="auto" w:fill="FFFFFF"/>
          <w14:textFill>
            <w14:solidFill>
              <w14:schemeClr w14:val="tx1"/>
            </w14:solidFill>
          </w14:textFill>
        </w:rPr>
      </w:pPr>
      <w:r>
        <w:rPr>
          <w:rFonts w:ascii="宋体" w:hAnsi="宋体" w:cs="Arial"/>
          <w:color w:val="000000" w:themeColor="text1"/>
          <w:kern w:val="0"/>
          <w:szCs w:val="21"/>
          <w:shd w:val="clear" w:color="auto" w:fill="FFFFFF"/>
          <w14:textFill>
            <w14:solidFill>
              <w14:schemeClr w14:val="tx1"/>
            </w14:solidFill>
          </w14:textFill>
        </w:rPr>
        <w:t xml:space="preserve">RL已从“大模型偏好对齐工具”转变为“能力塑造引擎”，核心价值体现在三方面：  </w:t>
      </w:r>
    </w:p>
    <w:p w14:paraId="77B9F106">
      <w:pPr>
        <w:widowControl/>
        <w:ind w:left="420" w:firstLine="420"/>
        <w:jc w:val="left"/>
        <w:rPr>
          <w:rFonts w:hint="eastAsia" w:ascii="宋体" w:hAnsi="宋体" w:cs="Arial"/>
          <w:color w:val="000000" w:themeColor="text1"/>
          <w:kern w:val="0"/>
          <w:szCs w:val="21"/>
          <w:shd w:val="clear" w:color="auto" w:fill="FFFFFF"/>
          <w14:textFill>
            <w14:solidFill>
              <w14:schemeClr w14:val="tx1"/>
            </w14:solidFill>
          </w14:textFill>
        </w:rPr>
      </w:pPr>
      <w:r>
        <w:rPr>
          <w:rFonts w:ascii="宋体" w:hAnsi="宋体" w:cs="Arial"/>
          <w:color w:val="000000" w:themeColor="text1"/>
          <w:kern w:val="0"/>
          <w:szCs w:val="21"/>
          <w:shd w:val="clear" w:color="auto" w:fill="FFFFFF"/>
          <w14:textFill>
            <w14:solidFill>
              <w14:schemeClr w14:val="tx1"/>
            </w14:solidFill>
          </w14:textFill>
        </w:rPr>
        <w:t xml:space="preserve">1.能力跃迁：通过GRPO、PRIME等技术，推动大模型在竞赛级推理任务中准确率提升50%以上，如DeepSeek-R1的数学推理、PRIME的高效学习；  </w:t>
      </w:r>
    </w:p>
    <w:p w14:paraId="33606F0A">
      <w:pPr>
        <w:widowControl/>
        <w:ind w:left="420" w:firstLine="420"/>
        <w:jc w:val="left"/>
        <w:rPr>
          <w:rFonts w:hint="eastAsia" w:ascii="宋体" w:hAnsi="宋体" w:cs="Arial"/>
          <w:color w:val="000000" w:themeColor="text1"/>
          <w:kern w:val="0"/>
          <w:szCs w:val="21"/>
          <w:shd w:val="clear" w:color="auto" w:fill="FFFFFF"/>
          <w14:textFill>
            <w14:solidFill>
              <w14:schemeClr w14:val="tx1"/>
            </w14:solidFill>
          </w14:textFill>
        </w:rPr>
      </w:pPr>
      <w:r>
        <w:rPr>
          <w:rFonts w:ascii="宋体" w:hAnsi="宋体" w:cs="Arial"/>
          <w:color w:val="000000" w:themeColor="text1"/>
          <w:kern w:val="0"/>
          <w:szCs w:val="21"/>
          <w:shd w:val="clear" w:color="auto" w:fill="FFFFFF"/>
          <w14:textFill>
            <w14:solidFill>
              <w14:schemeClr w14:val="tx1"/>
            </w14:solidFill>
          </w14:textFill>
        </w:rPr>
        <w:t xml:space="preserve">2.效率优化：FP8训练、分段解码、隐式奖励等创新降低成本，DeepSeek-V3训练成本仅为GPT-4的1/20，PRIME样本效率提升2.5倍；  </w:t>
      </w:r>
    </w:p>
    <w:p w14:paraId="15908FDA">
      <w:pPr>
        <w:widowControl/>
        <w:ind w:left="420" w:firstLine="420"/>
        <w:jc w:val="left"/>
        <w:rPr>
          <w:rFonts w:hint="eastAsia" w:ascii="宋体" w:hAnsi="宋体" w:cs="Arial"/>
          <w:color w:val="000000" w:themeColor="text1"/>
          <w:kern w:val="0"/>
          <w:szCs w:val="21"/>
          <w:shd w:val="clear" w:color="auto" w:fill="FFFFFF"/>
          <w14:textFill>
            <w14:solidFill>
              <w14:schemeClr w14:val="tx1"/>
            </w14:solidFill>
          </w14:textFill>
        </w:rPr>
      </w:pPr>
      <w:r>
        <w:rPr>
          <w:rFonts w:ascii="宋体" w:hAnsi="宋体" w:cs="Arial"/>
          <w:color w:val="000000" w:themeColor="text1"/>
          <w:kern w:val="0"/>
          <w:szCs w:val="21"/>
          <w:shd w:val="clear" w:color="auto" w:fill="FFFFFF"/>
          <w14:textFill>
            <w14:solidFill>
              <w14:schemeClr w14:val="tx1"/>
            </w14:solidFill>
          </w14:textFill>
        </w:rPr>
        <w:t>3.场景拓展：在具身智能（机器人操作）、多智能体协作（软件开发团队）等领域实现突破，为生成式AI赋能新质生产力提供支撑。</w:t>
      </w:r>
    </w:p>
    <w:p w14:paraId="65EB6108">
      <w:pPr>
        <w:widowControl/>
        <w:ind w:firstLine="420"/>
        <w:jc w:val="left"/>
        <w:rPr>
          <w:rFonts w:hint="eastAsia" w:ascii="宋体" w:hAnsi="宋体" w:cs="Arial"/>
          <w:color w:val="000000" w:themeColor="text1"/>
          <w:kern w:val="0"/>
          <w:szCs w:val="21"/>
          <w:shd w:val="clear" w:color="auto" w:fill="FFFFFF"/>
          <w14:textFill>
            <w14:solidFill>
              <w14:schemeClr w14:val="tx1"/>
            </w14:solidFill>
          </w14:textFill>
        </w:rPr>
      </w:pPr>
    </w:p>
    <w:p w14:paraId="11F64AA6">
      <w:pPr>
        <w:widowControl/>
        <w:ind w:firstLine="420"/>
        <w:jc w:val="left"/>
        <w:rPr>
          <w:rFonts w:hint="eastAsia" w:ascii="宋体" w:hAnsi="宋体" w:cs="Arial"/>
          <w:color w:val="000000" w:themeColor="text1"/>
          <w:kern w:val="0"/>
          <w:szCs w:val="21"/>
          <w:shd w:val="clear" w:color="auto" w:fill="FFFFFF"/>
          <w14:textFill>
            <w14:solidFill>
              <w14:schemeClr w14:val="tx1"/>
            </w14:solidFill>
          </w14:textFill>
        </w:rPr>
      </w:pPr>
      <w:r>
        <w:rPr>
          <w:rFonts w:ascii="宋体" w:hAnsi="宋体" w:cs="Arial"/>
          <w:color w:val="000000" w:themeColor="text1"/>
          <w:kern w:val="0"/>
          <w:szCs w:val="21"/>
          <w:shd w:val="clear" w:color="auto" w:fill="FFFFFF"/>
          <w14:textFill>
            <w14:solidFill>
              <w14:schemeClr w14:val="tx1"/>
            </w14:solidFill>
          </w14:textFill>
        </w:rPr>
        <w:t>（二）挑战与展望</w:t>
      </w:r>
    </w:p>
    <w:p w14:paraId="309A7482">
      <w:pPr>
        <w:widowControl/>
        <w:ind w:left="420" w:firstLine="420"/>
        <w:jc w:val="left"/>
        <w:rPr>
          <w:rFonts w:hint="eastAsia" w:ascii="宋体" w:hAnsi="宋体" w:cs="Arial"/>
          <w:color w:val="000000" w:themeColor="text1"/>
          <w:kern w:val="0"/>
          <w:szCs w:val="21"/>
          <w:shd w:val="clear" w:color="auto" w:fill="FFFFFF"/>
          <w14:textFill>
            <w14:solidFill>
              <w14:schemeClr w14:val="tx1"/>
            </w14:solidFill>
          </w14:textFill>
        </w:rPr>
      </w:pPr>
      <w:r>
        <w:rPr>
          <w:rFonts w:ascii="宋体" w:hAnsi="宋体" w:cs="Arial"/>
          <w:color w:val="000000" w:themeColor="text1"/>
          <w:kern w:val="0"/>
          <w:szCs w:val="21"/>
          <w:shd w:val="clear" w:color="auto" w:fill="FFFFFF"/>
          <w14:textFill>
            <w14:solidFill>
              <w14:schemeClr w14:val="tx1"/>
            </w14:solidFill>
          </w14:textFill>
        </w:rPr>
        <w:t>1. 现存挑战</w:t>
      </w:r>
    </w:p>
    <w:p w14:paraId="30746D87">
      <w:pPr>
        <w:widowControl/>
        <w:ind w:left="420" w:firstLine="420"/>
        <w:jc w:val="left"/>
        <w:rPr>
          <w:rFonts w:hint="eastAsia" w:ascii="宋体" w:hAnsi="宋体" w:cs="Arial"/>
          <w:color w:val="000000" w:themeColor="text1"/>
          <w:kern w:val="0"/>
          <w:szCs w:val="21"/>
          <w:shd w:val="clear" w:color="auto" w:fill="FFFFFF"/>
          <w14:textFill>
            <w14:solidFill>
              <w14:schemeClr w14:val="tx1"/>
            </w14:solidFill>
          </w14:textFill>
        </w:rPr>
      </w:pPr>
      <w:r>
        <w:rPr>
          <w:rFonts w:ascii="宋体" w:hAnsi="宋体" w:cs="Arial"/>
          <w:color w:val="000000" w:themeColor="text1"/>
          <w:kern w:val="0"/>
          <w:szCs w:val="21"/>
          <w:shd w:val="clear" w:color="auto" w:fill="FFFFFF"/>
          <w14:textFill>
            <w14:solidFill>
              <w14:schemeClr w14:val="tx1"/>
            </w14:solidFill>
          </w14:textFill>
        </w:rPr>
        <w:t xml:space="preserve">理论层面：“策略悬崖”现象频发，微小奖励扰动导致模型行为剧变，根源在于奖励函数不完备（如具身场景物理规则未建模）与最优策略多解性；  </w:t>
      </w:r>
    </w:p>
    <w:p w14:paraId="7D9AA6C3">
      <w:pPr>
        <w:widowControl/>
        <w:ind w:left="420" w:firstLine="420"/>
        <w:jc w:val="left"/>
        <w:rPr>
          <w:rFonts w:hint="eastAsia" w:ascii="宋体" w:hAnsi="宋体" w:cs="Arial"/>
          <w:color w:val="000000" w:themeColor="text1"/>
          <w:kern w:val="0"/>
          <w:szCs w:val="21"/>
          <w:shd w:val="clear" w:color="auto" w:fill="FFFFFF"/>
          <w14:textFill>
            <w14:solidFill>
              <w14:schemeClr w14:val="tx1"/>
            </w14:solidFill>
          </w14:textFill>
        </w:rPr>
      </w:pPr>
      <w:r>
        <w:rPr>
          <w:rFonts w:ascii="宋体" w:hAnsi="宋体" w:cs="Arial"/>
          <w:color w:val="000000" w:themeColor="text1"/>
          <w:kern w:val="0"/>
          <w:szCs w:val="21"/>
          <w:shd w:val="clear" w:color="auto" w:fill="FFFFFF"/>
          <w14:textFill>
            <w14:solidFill>
              <w14:schemeClr w14:val="tx1"/>
            </w14:solidFill>
          </w14:textFill>
        </w:rPr>
        <w:t xml:space="preserve">工程层面：大参数量模型RL训练成本高昂，32B模型训练需数千GPU时，UloRL虽优化长序列，但128k推理内存瓶颈仍存；  </w:t>
      </w:r>
    </w:p>
    <w:p w14:paraId="30FC7510">
      <w:pPr>
        <w:widowControl/>
        <w:ind w:left="420" w:firstLine="420"/>
        <w:jc w:val="left"/>
        <w:rPr>
          <w:rFonts w:hint="eastAsia" w:ascii="宋体" w:hAnsi="宋体" w:cs="Arial"/>
          <w:color w:val="000000" w:themeColor="text1"/>
          <w:kern w:val="0"/>
          <w:szCs w:val="21"/>
          <w:shd w:val="clear" w:color="auto" w:fill="FFFFFF"/>
          <w14:textFill>
            <w14:solidFill>
              <w14:schemeClr w14:val="tx1"/>
            </w14:solidFill>
          </w14:textFill>
        </w:rPr>
      </w:pPr>
      <w:r>
        <w:rPr>
          <w:rFonts w:ascii="宋体" w:hAnsi="宋体" w:cs="Arial"/>
          <w:color w:val="000000" w:themeColor="text1"/>
          <w:kern w:val="0"/>
          <w:szCs w:val="21"/>
          <w:shd w:val="clear" w:color="auto" w:fill="FFFFFF"/>
          <w14:textFill>
            <w14:solidFill>
              <w14:schemeClr w14:val="tx1"/>
            </w14:solidFill>
          </w14:textFill>
        </w:rPr>
        <w:t>应用层面：奖励模型存在领域偏差（如医疗专业知识标注不足），具身场景“仿真-真实迁移”误差超20%</w:t>
      </w:r>
      <w:r>
        <w:rPr>
          <w:rFonts w:ascii="宋体" w:hAnsi="宋体" w:cs="Arial"/>
          <w:color w:val="000000" w:themeColor="text1"/>
          <w:kern w:val="0"/>
          <w:szCs w:val="21"/>
          <w:shd w:val="clear" w:color="auto" w:fill="FFFFFF"/>
          <w:vertAlign w:val="superscript"/>
          <w14:textFill>
            <w14:solidFill>
              <w14:schemeClr w14:val="tx1"/>
            </w14:solidFill>
          </w14:textFill>
        </w:rPr>
        <w:t>[43]</w:t>
      </w:r>
      <w:r>
        <w:rPr>
          <w:rFonts w:ascii="宋体" w:hAnsi="宋体" w:cs="Arial"/>
          <w:color w:val="000000" w:themeColor="text1"/>
          <w:kern w:val="0"/>
          <w:szCs w:val="21"/>
          <w:shd w:val="clear" w:color="auto" w:fill="FFFFFF"/>
          <w14:textFill>
            <w14:solidFill>
              <w14:schemeClr w14:val="tx1"/>
            </w14:solidFill>
          </w14:textFill>
        </w:rPr>
        <w:t xml:space="preserve">；  </w:t>
      </w:r>
    </w:p>
    <w:p w14:paraId="6023A1C8">
      <w:pPr>
        <w:widowControl/>
        <w:ind w:left="420" w:firstLine="420"/>
        <w:jc w:val="left"/>
        <w:rPr>
          <w:rFonts w:hint="eastAsia" w:ascii="宋体" w:hAnsi="宋体" w:cs="Arial"/>
          <w:color w:val="000000" w:themeColor="text1"/>
          <w:kern w:val="0"/>
          <w:szCs w:val="21"/>
          <w:shd w:val="clear" w:color="auto" w:fill="FFFFFF"/>
          <w14:textFill>
            <w14:solidFill>
              <w14:schemeClr w14:val="tx1"/>
            </w14:solidFill>
          </w14:textFill>
        </w:rPr>
      </w:pPr>
      <w:r>
        <w:rPr>
          <w:rFonts w:ascii="宋体" w:hAnsi="宋体" w:cs="Arial"/>
          <w:color w:val="000000" w:themeColor="text1"/>
          <w:kern w:val="0"/>
          <w:szCs w:val="21"/>
          <w:shd w:val="clear" w:color="auto" w:fill="FFFFFF"/>
          <w14:textFill>
            <w14:solidFill>
              <w14:schemeClr w14:val="tx1"/>
            </w14:solidFill>
          </w14:textFill>
        </w:rPr>
        <w:t>评测层面：现有基准（如MMLU）难以覆盖复杂推理与具身任务，需构建真实场景评测体系。</w:t>
      </w:r>
    </w:p>
    <w:p w14:paraId="52024D9F">
      <w:pPr>
        <w:widowControl/>
        <w:ind w:firstLine="420"/>
        <w:jc w:val="left"/>
        <w:rPr>
          <w:rFonts w:hint="eastAsia" w:ascii="宋体" w:hAnsi="宋体" w:cs="Arial"/>
          <w:color w:val="000000" w:themeColor="text1"/>
          <w:kern w:val="0"/>
          <w:szCs w:val="21"/>
          <w:shd w:val="clear" w:color="auto" w:fill="FFFFFF"/>
          <w14:textFill>
            <w14:solidFill>
              <w14:schemeClr w14:val="tx1"/>
            </w14:solidFill>
          </w14:textFill>
        </w:rPr>
      </w:pPr>
    </w:p>
    <w:p w14:paraId="3D68B00B">
      <w:pPr>
        <w:widowControl/>
        <w:ind w:left="420" w:firstLine="420"/>
        <w:jc w:val="left"/>
        <w:rPr>
          <w:rFonts w:hint="eastAsia" w:ascii="宋体" w:hAnsi="宋体" w:cs="Arial"/>
          <w:color w:val="000000" w:themeColor="text1"/>
          <w:kern w:val="0"/>
          <w:szCs w:val="21"/>
          <w:shd w:val="clear" w:color="auto" w:fill="FFFFFF"/>
          <w14:textFill>
            <w14:solidFill>
              <w14:schemeClr w14:val="tx1"/>
            </w14:solidFill>
          </w14:textFill>
        </w:rPr>
      </w:pPr>
      <w:commentRangeStart w:id="30"/>
      <w:r>
        <w:rPr>
          <w:rFonts w:ascii="宋体" w:hAnsi="宋体" w:cs="Arial"/>
          <w:color w:val="000000" w:themeColor="text1"/>
          <w:kern w:val="0"/>
          <w:szCs w:val="21"/>
          <w:shd w:val="clear" w:color="auto" w:fill="FFFFFF"/>
          <w14:textFill>
            <w14:solidFill>
              <w14:schemeClr w14:val="tx1"/>
            </w14:solidFill>
          </w14:textFill>
        </w:rPr>
        <w:t>2. 未来展望</w:t>
      </w:r>
    </w:p>
    <w:p w14:paraId="74366352">
      <w:pPr>
        <w:widowControl/>
        <w:ind w:left="420" w:firstLine="420"/>
        <w:jc w:val="left"/>
        <w:rPr>
          <w:rFonts w:hint="eastAsia" w:ascii="宋体" w:hAnsi="宋体" w:cs="Arial"/>
          <w:color w:val="000000" w:themeColor="text1"/>
          <w:kern w:val="0"/>
          <w:szCs w:val="21"/>
          <w:shd w:val="clear" w:color="auto" w:fill="FFFFFF"/>
          <w14:textFill>
            <w14:solidFill>
              <w14:schemeClr w14:val="tx1"/>
            </w14:solidFill>
          </w14:textFill>
        </w:rPr>
      </w:pPr>
      <w:r>
        <w:rPr>
          <w:rFonts w:ascii="宋体" w:hAnsi="宋体" w:cs="Arial"/>
          <w:color w:val="000000" w:themeColor="text1"/>
          <w:kern w:val="0"/>
          <w:szCs w:val="21"/>
          <w:shd w:val="clear" w:color="auto" w:fill="FFFFFF"/>
          <w14:textFill>
            <w14:solidFill>
              <w14:schemeClr w14:val="tx1"/>
            </w14:solidFill>
          </w14:textFill>
        </w:rPr>
        <w:t xml:space="preserve">技术创新：构建多模态奖励体系（融合视觉+语言反馈）解决偏差，发展“世界模型+RL”范式降低真实数据依赖；  </w:t>
      </w:r>
    </w:p>
    <w:p w14:paraId="658D2C02">
      <w:pPr>
        <w:widowControl/>
        <w:ind w:left="420" w:firstLine="420"/>
        <w:jc w:val="left"/>
        <w:rPr>
          <w:rFonts w:hint="eastAsia" w:ascii="宋体" w:hAnsi="宋体" w:cs="Arial"/>
          <w:color w:val="000000" w:themeColor="text1"/>
          <w:kern w:val="0"/>
          <w:szCs w:val="21"/>
          <w:shd w:val="clear" w:color="auto" w:fill="FFFFFF"/>
          <w14:textFill>
            <w14:solidFill>
              <w14:schemeClr w14:val="tx1"/>
            </w14:solidFill>
          </w14:textFill>
        </w:rPr>
      </w:pPr>
      <w:r>
        <w:rPr>
          <w:rFonts w:ascii="宋体" w:hAnsi="宋体" w:cs="Arial"/>
          <w:color w:val="000000" w:themeColor="text1"/>
          <w:kern w:val="0"/>
          <w:szCs w:val="21"/>
          <w:shd w:val="clear" w:color="auto" w:fill="FFFFFF"/>
          <w14:textFill>
            <w14:solidFill>
              <w14:schemeClr w14:val="tx1"/>
            </w14:solidFill>
          </w14:textFill>
        </w:rPr>
        <w:t xml:space="preserve">场景落地：推动RL在药物分子设计（科学发现）、工业数字孪生（智能制造）、人形机器人控制（具身智能）落地；  </w:t>
      </w:r>
    </w:p>
    <w:p w14:paraId="73DE463B">
      <w:pPr>
        <w:widowControl/>
        <w:ind w:left="420" w:firstLine="420"/>
        <w:jc w:val="left"/>
        <w:rPr>
          <w:rFonts w:hint="eastAsia" w:ascii="宋体" w:hAnsi="宋体" w:cs="Arial"/>
          <w:color w:val="000000" w:themeColor="text1"/>
          <w:kern w:val="0"/>
          <w:szCs w:val="21"/>
          <w:shd w:val="clear" w:color="auto" w:fill="FFFFFF"/>
          <w14:textFill>
            <w14:solidFill>
              <w14:schemeClr w14:val="tx1"/>
            </w14:solidFill>
          </w14:textFill>
        </w:rPr>
      </w:pPr>
      <w:r>
        <w:rPr>
          <w:rFonts w:ascii="宋体" w:hAnsi="宋体" w:cs="Arial"/>
          <w:color w:val="000000" w:themeColor="text1"/>
          <w:kern w:val="0"/>
          <w:szCs w:val="21"/>
          <w:shd w:val="clear" w:color="auto" w:fill="FFFFFF"/>
          <w14:textFill>
            <w14:solidFill>
              <w14:schemeClr w14:val="tx1"/>
            </w14:solidFill>
          </w14:textFill>
        </w:rPr>
        <w:t>生态建设：整合开源框架（如OpenRLHF、verl），建立跨领域RL数据集与基准，降低行业应用门槛</w:t>
      </w:r>
      <w:r>
        <w:rPr>
          <w:rFonts w:ascii="宋体" w:hAnsi="宋体" w:cs="Arial"/>
          <w:color w:val="000000" w:themeColor="text1"/>
          <w:kern w:val="0"/>
          <w:szCs w:val="21"/>
          <w:shd w:val="clear" w:color="auto" w:fill="FFFFFF"/>
          <w:vertAlign w:val="superscript"/>
          <w14:textFill>
            <w14:solidFill>
              <w14:schemeClr w14:val="tx1"/>
            </w14:solidFill>
          </w14:textFill>
        </w:rPr>
        <w:t>[44,45]</w:t>
      </w:r>
      <w:r>
        <w:rPr>
          <w:rFonts w:ascii="宋体" w:hAnsi="宋体" w:cs="Arial"/>
          <w:color w:val="000000" w:themeColor="text1"/>
          <w:kern w:val="0"/>
          <w:szCs w:val="21"/>
          <w:shd w:val="clear" w:color="auto" w:fill="FFFFFF"/>
          <w14:textFill>
            <w14:solidFill>
              <w14:schemeClr w14:val="tx1"/>
            </w14:solidFill>
          </w14:textFill>
        </w:rPr>
        <w:t>。</w:t>
      </w:r>
    </w:p>
    <w:p w14:paraId="313928CA">
      <w:pPr>
        <w:widowControl/>
        <w:ind w:firstLine="420"/>
        <w:jc w:val="left"/>
        <w:rPr>
          <w:rFonts w:hint="eastAsia" w:ascii="宋体" w:hAnsi="宋体" w:cs="Arial"/>
          <w:color w:val="000000" w:themeColor="text1"/>
          <w:kern w:val="0"/>
          <w:szCs w:val="21"/>
          <w:shd w:val="clear" w:color="auto" w:fill="FFFFFF"/>
          <w14:textFill>
            <w14:solidFill>
              <w14:schemeClr w14:val="tx1"/>
            </w14:solidFill>
          </w14:textFill>
        </w:rPr>
      </w:pPr>
    </w:p>
    <w:p w14:paraId="78DEA1D3">
      <w:pPr>
        <w:widowControl/>
        <w:ind w:left="420" w:firstLine="420"/>
        <w:jc w:val="left"/>
        <w:rPr>
          <w:rFonts w:hint="eastAsia" w:ascii="宋体" w:hAnsi="宋体" w:cs="Arial"/>
          <w:color w:val="000000" w:themeColor="text1"/>
          <w:kern w:val="0"/>
          <w:szCs w:val="21"/>
          <w:shd w:val="clear" w:color="auto" w:fill="FFFFFF"/>
          <w14:textFill>
            <w14:solidFill>
              <w14:schemeClr w14:val="tx1"/>
            </w14:solidFill>
          </w14:textFill>
        </w:rPr>
      </w:pPr>
      <w:r>
        <w:rPr>
          <w:rFonts w:ascii="宋体" w:hAnsi="宋体" w:cs="Arial"/>
          <w:color w:val="000000" w:themeColor="text1"/>
          <w:kern w:val="0"/>
          <w:szCs w:val="21"/>
          <w:shd w:val="clear" w:color="auto" w:fill="FFFFFF"/>
          <w14:textFill>
            <w14:solidFill>
              <w14:schemeClr w14:val="tx1"/>
            </w14:solidFill>
          </w14:textFill>
        </w:rPr>
        <w:t>随着技术突破，RL有望推动大模型从“辅助工具”向“自主伙伴”跨越，为AI可持续发展提供核心动力。</w:t>
      </w:r>
      <w:commentRangeEnd w:id="30"/>
      <w:r>
        <w:commentReference w:id="30"/>
      </w:r>
    </w:p>
    <w:p w14:paraId="053AC224">
      <w:pPr>
        <w:ind w:firstLine="420"/>
      </w:pPr>
      <w:r>
        <w:commentReference w:id="31"/>
      </w:r>
    </w:p>
    <w:p w14:paraId="6275E6BA">
      <w:pPr>
        <w:pStyle w:val="2"/>
        <w:spacing w:before="240" w:after="120" w:line="360" w:lineRule="auto"/>
        <w:ind w:firstLine="482"/>
        <w:rPr>
          <w:rFonts w:hint="eastAsia" w:ascii="黑体" w:hAnsi="黑体" w:eastAsia="黑体"/>
          <w:sz w:val="24"/>
        </w:rPr>
      </w:pPr>
      <w:r>
        <w:rPr>
          <w:rFonts w:hint="eastAsia" w:ascii="黑体" w:hAnsi="黑体" w:eastAsia="黑体"/>
          <w:sz w:val="24"/>
          <w:szCs w:val="24"/>
        </w:rPr>
        <w:t>6  强化学习在</w:t>
      </w:r>
      <w:r>
        <w:rPr>
          <w:rFonts w:ascii="黑体" w:hAnsi="黑体" w:eastAsia="黑体"/>
          <w:sz w:val="24"/>
        </w:rPr>
        <w:t>游戏AI</w:t>
      </w:r>
      <w:r>
        <w:rPr>
          <w:rFonts w:hint="eastAsia" w:ascii="黑体" w:hAnsi="黑体" w:eastAsia="黑体"/>
          <w:sz w:val="24"/>
          <w:szCs w:val="24"/>
        </w:rPr>
        <w:t>中的应用（刘超然）</w:t>
      </w:r>
    </w:p>
    <w:p w14:paraId="60215F3C">
      <w:pPr>
        <w:ind w:firstLine="482"/>
        <w:rPr>
          <w:rFonts w:hint="eastAsia" w:ascii="黑体" w:hAnsi="黑体" w:eastAsia="黑体"/>
          <w:b/>
          <w:bCs/>
          <w:kern w:val="44"/>
          <w:sz w:val="24"/>
        </w:rPr>
      </w:pPr>
      <w:r>
        <w:rPr>
          <w:rFonts w:hint="eastAsia" w:ascii="黑体" w:hAnsi="黑体" w:eastAsia="黑体"/>
          <w:b/>
          <w:bCs/>
          <w:kern w:val="44"/>
          <w:sz w:val="24"/>
        </w:rPr>
        <w:t>6.1 应用背景与价值</w:t>
      </w:r>
    </w:p>
    <w:p w14:paraId="7B4F6FB0">
      <w:pPr>
        <w:ind w:firstLine="420"/>
      </w:pPr>
      <w:r>
        <w:commentReference w:id="32"/>
      </w:r>
      <w:r>
        <w:rPr>
          <w:b/>
          <w:bCs/>
        </w:rPr>
        <w:t>背景</w:t>
      </w:r>
      <w:r>
        <w:t>：游戏是深度学习（Deep Learning）和强化学习（Reinforcement Learning，RL）理想的实验平台。游戏的规则明确，环境可模拟，非常适合用于验证AI算法在动态决策、策略生成和优化方面的表现。特别是在博弈类游戏中，AI不仅要掌握单一的决策任务，还需进行长远的战略规划和复杂的环境感知。游戏的多样性和复杂性为深度学习模型提供了巨大的挑战和训练机会，且随着技术的进步，深度学习算法在游戏中的应用不断拓展，从单一任务的挑战到多智能体系统、长期战略决策等复杂场景的研究，均取得了显著进展【46】【47】。</w:t>
      </w:r>
    </w:p>
    <w:p w14:paraId="317CAC8C">
      <w:pPr>
        <w:ind w:firstLine="422"/>
      </w:pPr>
      <w:r>
        <w:rPr>
          <w:b/>
          <w:bCs/>
        </w:rPr>
        <w:t>价值</w:t>
      </w:r>
      <w:r>
        <w:t>：游戏AI的发展不仅在学术领域产生了深远影响，也为实际应用提供了重要的技术基础。首先，攻克复杂博弈类游戏为验证深度学习和强化学习算法的有效性提供了一个可靠的测试平台，推动了算法创新和优化。其次，游戏AI的研究为其他领域的技术发展提供了有益启示，尤其是在不完美信息博弈、策略优化、实时决策等方面的突破【48】【49】。通过深度学习技术，AI在生物学、金融预测、自动驾驶等领域的应用逐步深化。例如，</w:t>
      </w:r>
      <w:r>
        <w:rPr>
          <w:b/>
          <w:bCs/>
        </w:rPr>
        <w:t>AlphaGo</w:t>
      </w:r>
      <w:r>
        <w:t>的技术成功启发了</w:t>
      </w:r>
      <w:r>
        <w:rPr>
          <w:b/>
          <w:bCs/>
        </w:rPr>
        <w:t>AlphaFold</w:t>
      </w:r>
      <w:r>
        <w:t>在蛋白质结构预测中的应用，标志着AI技术在复杂系统中的跨领域融合，推动了科研及工业界的创新【50】【51】。</w:t>
      </w:r>
    </w:p>
    <w:p w14:paraId="16F44935">
      <w:pPr>
        <w:ind w:firstLine="482"/>
        <w:rPr>
          <w:rFonts w:hint="eastAsia" w:ascii="黑体" w:hAnsi="黑体" w:eastAsia="黑体"/>
          <w:b/>
          <w:bCs/>
          <w:kern w:val="44"/>
          <w:sz w:val="24"/>
        </w:rPr>
      </w:pPr>
      <w:r>
        <w:rPr>
          <w:rFonts w:hint="eastAsia" w:ascii="黑体" w:hAnsi="黑体" w:eastAsia="黑体"/>
          <w:b/>
          <w:bCs/>
          <w:kern w:val="44"/>
          <w:sz w:val="24"/>
        </w:rPr>
        <w:t>6.2 里程碑式突破案例</w:t>
      </w:r>
    </w:p>
    <w:p w14:paraId="34A941A2">
      <w:pPr>
        <w:ind w:firstLine="422"/>
      </w:pPr>
      <w:r>
        <w:rPr>
          <w:b/>
          <w:bCs/>
        </w:rPr>
        <w:t>AlphaGo/AlphaZero</w:t>
      </w:r>
      <w:r>
        <w:t>：AlphaGo代表了深度学习在完美信息博弈中的巅峰成就。通过结合深度卷积神经网络（CNN）与蒙特卡洛树搜索（MCTS）</w:t>
      </w:r>
      <w:r>
        <w:commentReference w:id="33"/>
      </w:r>
      <w:r>
        <w:t>，AlphaGo击败了世界围棋冠军李世石，展示了AI在复杂策略游戏中的卓越能力【47】。继AlphaGo之后，</w:t>
      </w:r>
      <w:r>
        <w:rPr>
          <w:b/>
          <w:bCs/>
        </w:rPr>
        <w:t>AlphaZero</w:t>
      </w:r>
      <w:r>
        <w:t>更是打破了传统棋谱的束缚，在没有任何人类棋谱的前提下，通过强化学习和自我对弈的方式，成功掌握了围棋、国际象棋和将棋。AlphaZero的突破不仅证明了深度强化学习的强大潜力，更标志着AI能够通过自我学习克服传统算法的局限，展现了通用性和自适应能力【48】【52】。</w:t>
      </w:r>
    </w:p>
    <w:p w14:paraId="5C47B359">
      <w:pPr>
        <w:ind w:firstLine="422"/>
      </w:pPr>
      <w:r>
        <w:rPr>
          <w:b/>
          <w:bCs/>
        </w:rPr>
        <w:t>OpenAI Five（Dota 2）</w:t>
      </w:r>
      <w:r>
        <w:t>：OpenAI Five基于深度强化学习的多智能体系统，在</w:t>
      </w:r>
      <w:r>
        <w:rPr>
          <w:b/>
          <w:bCs/>
        </w:rPr>
        <w:t>Dota 2</w:t>
      </w:r>
      <w:r>
        <w:t>这款复杂的多人在线战斗竞技游戏中超越了人类职业玩家。Dota 2的复杂性体现在多个智能体之间的协作与竞争、实时决策和部分可观测环境等特点【60】。通过反复训练和自我对弈，OpenAI Five不仅优化了单个角色的操作，还大大提高了多角色之间的协同能力，进而为多智能体系统的研究提供了宝贵的实践经验。该系统的成功为后续多智能体协作与竞争任务提供了理论基础【53】【54】。</w:t>
      </w:r>
    </w:p>
    <w:p w14:paraId="45B852D2">
      <w:pPr>
        <w:ind w:firstLine="422"/>
      </w:pPr>
      <w:r>
        <w:rPr>
          <w:b/>
          <w:bCs/>
        </w:rPr>
        <w:t>AlphaStar（星际争霸II）</w:t>
      </w:r>
      <w:r>
        <w:t>：</w:t>
      </w:r>
      <w:r>
        <w:rPr>
          <w:b/>
          <w:bCs/>
        </w:rPr>
        <w:t>AlphaStar</w:t>
      </w:r>
      <w:r>
        <w:t>是基于深度强化学习的AI系统，成功应用于</w:t>
      </w:r>
      <w:r>
        <w:rPr>
          <w:b/>
          <w:bCs/>
        </w:rPr>
        <w:t>星际争霸II</w:t>
      </w:r>
      <w:r>
        <w:t>这一高度复杂的实时战略游戏。该游戏具有超大规模的动作空间、需要长期规划的战略决策和不断变化的战局等特点。AlphaStar通过深度神经网络处理复杂的实时决策，不仅在经济管理、兵种调度、战术布局等方面表现出色，还能在高压环境下做出多层次战略规划【49】。AlphaStar展示了深度学习在高度动态的策略决策和实时反应中的强大能力【57】。</w:t>
      </w:r>
    </w:p>
    <w:p w14:paraId="4B4E14EF">
      <w:pPr>
        <w:ind w:firstLine="422"/>
      </w:pPr>
      <w:r>
        <w:rPr>
          <w:b/>
          <w:bCs/>
        </w:rPr>
        <w:t>MuZero</w:t>
      </w:r>
      <w:r>
        <w:t>：MuZero是深度学习领域的重大突破，其最大特色在于不需要预设游戏规则或先验知识，通过与环境的互动进行自主学习【55】。MuZero利用强化学习中的“模型学习”策略，通过模拟和预测环境的动态变化来进行决策。与传统的深度强化学习算法不同，MuZero能够根据反馈来自我调整，极大地提高了AI在多变环境中的适应能力。这一突破为没有规则指导的环境下的学习提供了全新的思路，具有广泛的应用前景【56】。</w:t>
      </w:r>
    </w:p>
    <w:p w14:paraId="0D85FC14">
      <w:pPr>
        <w:ind w:firstLine="0" w:firstLineChars="0"/>
        <w:jc w:val="center"/>
        <w:rPr>
          <w:b/>
          <w:bCs/>
        </w:rPr>
      </w:pPr>
      <w:r>
        <w:commentReference w:id="34"/>
      </w:r>
      <w:r>
        <w:rPr>
          <w:b/>
          <w:bCs/>
        </w:rPr>
        <w:t>表 1：深度学习与强化学习在游戏AI中的应用案例</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4"/>
        <w:gridCol w:w="2074"/>
        <w:gridCol w:w="2074"/>
        <w:gridCol w:w="2074"/>
      </w:tblGrid>
      <w:tr w14:paraId="3EAB88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vAlign w:val="center"/>
          </w:tcPr>
          <w:p w14:paraId="68244A47">
            <w:pPr>
              <w:ind w:firstLine="0" w:firstLineChars="0"/>
              <w:jc w:val="center"/>
              <w:rPr>
                <w:b/>
                <w:bCs/>
              </w:rPr>
            </w:pPr>
            <w:r>
              <w:rPr>
                <w:b/>
                <w:bCs/>
              </w:rPr>
              <w:t>算法</w:t>
            </w:r>
          </w:p>
        </w:tc>
        <w:tc>
          <w:tcPr>
            <w:tcW w:w="2074" w:type="dxa"/>
            <w:vAlign w:val="center"/>
          </w:tcPr>
          <w:p w14:paraId="53427CC7">
            <w:pPr>
              <w:ind w:firstLine="0" w:firstLineChars="0"/>
              <w:jc w:val="center"/>
              <w:rPr>
                <w:b/>
                <w:bCs/>
              </w:rPr>
            </w:pPr>
            <w:r>
              <w:rPr>
                <w:b/>
                <w:bCs/>
              </w:rPr>
              <w:t>游戏类型</w:t>
            </w:r>
          </w:p>
        </w:tc>
        <w:tc>
          <w:tcPr>
            <w:tcW w:w="2074" w:type="dxa"/>
            <w:vAlign w:val="center"/>
          </w:tcPr>
          <w:p w14:paraId="38B9C937">
            <w:pPr>
              <w:ind w:firstLine="0" w:firstLineChars="0"/>
              <w:jc w:val="center"/>
              <w:rPr>
                <w:b/>
                <w:bCs/>
              </w:rPr>
            </w:pPr>
            <w:r>
              <w:rPr>
                <w:b/>
                <w:bCs/>
              </w:rPr>
              <w:t>关键技术</w:t>
            </w:r>
          </w:p>
        </w:tc>
        <w:tc>
          <w:tcPr>
            <w:tcW w:w="2074" w:type="dxa"/>
            <w:vAlign w:val="center"/>
          </w:tcPr>
          <w:p w14:paraId="4A692489">
            <w:pPr>
              <w:ind w:firstLine="0" w:firstLineChars="0"/>
              <w:jc w:val="center"/>
              <w:rPr>
                <w:b/>
                <w:bCs/>
              </w:rPr>
            </w:pPr>
            <w:r>
              <w:rPr>
                <w:b/>
                <w:bCs/>
              </w:rPr>
              <w:t>主要突破</w:t>
            </w:r>
          </w:p>
        </w:tc>
      </w:tr>
      <w:tr w14:paraId="2DF4C8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vAlign w:val="center"/>
          </w:tcPr>
          <w:p w14:paraId="55A5D27E">
            <w:pPr>
              <w:ind w:firstLine="0" w:firstLineChars="0"/>
              <w:jc w:val="center"/>
              <w:rPr>
                <w:b/>
                <w:bCs/>
              </w:rPr>
            </w:pPr>
            <w:r>
              <w:rPr>
                <w:rStyle w:val="17"/>
              </w:rPr>
              <w:t>AlphaGo</w:t>
            </w:r>
          </w:p>
        </w:tc>
        <w:tc>
          <w:tcPr>
            <w:tcW w:w="2074" w:type="dxa"/>
            <w:vAlign w:val="center"/>
          </w:tcPr>
          <w:p w14:paraId="55892096">
            <w:pPr>
              <w:ind w:firstLine="0" w:firstLineChars="0"/>
              <w:jc w:val="center"/>
              <w:rPr>
                <w:b/>
                <w:bCs/>
              </w:rPr>
            </w:pPr>
            <w:r>
              <w:t>围棋</w:t>
            </w:r>
          </w:p>
        </w:tc>
        <w:tc>
          <w:tcPr>
            <w:tcW w:w="2074" w:type="dxa"/>
            <w:vAlign w:val="center"/>
          </w:tcPr>
          <w:p w14:paraId="08B3FB27">
            <w:pPr>
              <w:ind w:firstLine="0" w:firstLineChars="0"/>
              <w:jc w:val="center"/>
              <w:rPr>
                <w:b/>
                <w:bCs/>
              </w:rPr>
            </w:pPr>
            <w:r>
              <w:t>深度卷积神经网络 + 蒙特卡洛树搜索</w:t>
            </w:r>
          </w:p>
        </w:tc>
        <w:tc>
          <w:tcPr>
            <w:tcW w:w="2074" w:type="dxa"/>
            <w:vAlign w:val="center"/>
          </w:tcPr>
          <w:p w14:paraId="7BB6C6C7">
            <w:pPr>
              <w:ind w:firstLine="0" w:firstLineChars="0"/>
              <w:jc w:val="center"/>
              <w:rPr>
                <w:b/>
                <w:bCs/>
              </w:rPr>
            </w:pPr>
            <w:r>
              <w:t>首次击败世界围棋冠军李世石</w:t>
            </w:r>
          </w:p>
        </w:tc>
      </w:tr>
      <w:tr w14:paraId="0F2BEB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vAlign w:val="center"/>
          </w:tcPr>
          <w:p w14:paraId="22C2EBB7">
            <w:pPr>
              <w:ind w:firstLine="0" w:firstLineChars="0"/>
              <w:jc w:val="center"/>
              <w:rPr>
                <w:b/>
                <w:bCs/>
              </w:rPr>
            </w:pPr>
            <w:r>
              <w:rPr>
                <w:rStyle w:val="17"/>
              </w:rPr>
              <w:t>AlphaZero</w:t>
            </w:r>
          </w:p>
        </w:tc>
        <w:tc>
          <w:tcPr>
            <w:tcW w:w="2074" w:type="dxa"/>
            <w:vAlign w:val="center"/>
          </w:tcPr>
          <w:p w14:paraId="2AD989AC">
            <w:pPr>
              <w:ind w:firstLine="0" w:firstLineChars="0"/>
              <w:jc w:val="center"/>
              <w:rPr>
                <w:b/>
                <w:bCs/>
              </w:rPr>
            </w:pPr>
            <w:r>
              <w:t>围棋、国际象棋、将棋</w:t>
            </w:r>
          </w:p>
        </w:tc>
        <w:tc>
          <w:tcPr>
            <w:tcW w:w="2074" w:type="dxa"/>
            <w:vAlign w:val="center"/>
          </w:tcPr>
          <w:p w14:paraId="76835C2E">
            <w:pPr>
              <w:ind w:firstLine="0" w:firstLineChars="0"/>
              <w:jc w:val="center"/>
              <w:rPr>
                <w:b/>
                <w:bCs/>
              </w:rPr>
            </w:pPr>
            <w:r>
              <w:t>强化学习 + 自我对弈</w:t>
            </w:r>
          </w:p>
        </w:tc>
        <w:tc>
          <w:tcPr>
            <w:tcW w:w="2074" w:type="dxa"/>
            <w:vAlign w:val="center"/>
          </w:tcPr>
          <w:p w14:paraId="2874429B">
            <w:pPr>
              <w:ind w:firstLine="0" w:firstLineChars="0"/>
              <w:jc w:val="center"/>
              <w:rPr>
                <w:b/>
                <w:bCs/>
              </w:rPr>
            </w:pPr>
            <w:r>
              <w:t>不依赖人类数据，通过自我学习超越所有顶尖玩家</w:t>
            </w:r>
          </w:p>
        </w:tc>
      </w:tr>
      <w:tr w14:paraId="4E03B1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vAlign w:val="center"/>
          </w:tcPr>
          <w:p w14:paraId="22F1D57C">
            <w:pPr>
              <w:ind w:firstLine="0" w:firstLineChars="0"/>
              <w:jc w:val="center"/>
              <w:rPr>
                <w:b/>
                <w:bCs/>
              </w:rPr>
            </w:pPr>
            <w:r>
              <w:rPr>
                <w:rStyle w:val="17"/>
              </w:rPr>
              <w:t>OpenAI Five</w:t>
            </w:r>
          </w:p>
        </w:tc>
        <w:tc>
          <w:tcPr>
            <w:tcW w:w="2074" w:type="dxa"/>
            <w:vAlign w:val="center"/>
          </w:tcPr>
          <w:p w14:paraId="3297C971">
            <w:pPr>
              <w:ind w:firstLine="0" w:firstLineChars="0"/>
              <w:jc w:val="center"/>
              <w:rPr>
                <w:b/>
                <w:bCs/>
              </w:rPr>
            </w:pPr>
            <w:r>
              <w:t>Dota 2</w:t>
            </w:r>
          </w:p>
        </w:tc>
        <w:tc>
          <w:tcPr>
            <w:tcW w:w="2074" w:type="dxa"/>
            <w:vAlign w:val="center"/>
          </w:tcPr>
          <w:p w14:paraId="0417D443">
            <w:pPr>
              <w:ind w:firstLine="0" w:firstLineChars="0"/>
              <w:jc w:val="center"/>
              <w:rPr>
                <w:b/>
                <w:bCs/>
              </w:rPr>
            </w:pPr>
            <w:r>
              <w:t>多智能体系统 + 深度强化学习</w:t>
            </w:r>
          </w:p>
        </w:tc>
        <w:tc>
          <w:tcPr>
            <w:tcW w:w="2074" w:type="dxa"/>
            <w:vAlign w:val="center"/>
          </w:tcPr>
          <w:p w14:paraId="2136CA82">
            <w:pPr>
              <w:ind w:firstLine="0" w:firstLineChars="0"/>
              <w:jc w:val="center"/>
              <w:rPr>
                <w:b/>
                <w:bCs/>
              </w:rPr>
            </w:pPr>
            <w:r>
              <w:t>在多人竞技环境中超越人类职业玩家</w:t>
            </w:r>
          </w:p>
        </w:tc>
      </w:tr>
      <w:tr w14:paraId="6AA1D7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vAlign w:val="center"/>
          </w:tcPr>
          <w:p w14:paraId="7EC10249">
            <w:pPr>
              <w:ind w:firstLine="0" w:firstLineChars="0"/>
              <w:jc w:val="center"/>
              <w:rPr>
                <w:b/>
                <w:bCs/>
              </w:rPr>
            </w:pPr>
            <w:r>
              <w:rPr>
                <w:rStyle w:val="17"/>
              </w:rPr>
              <w:t>MuZero</w:t>
            </w:r>
          </w:p>
        </w:tc>
        <w:tc>
          <w:tcPr>
            <w:tcW w:w="2074" w:type="dxa"/>
            <w:vAlign w:val="center"/>
          </w:tcPr>
          <w:p w14:paraId="4D81A434">
            <w:pPr>
              <w:ind w:firstLine="0" w:firstLineChars="0"/>
              <w:jc w:val="center"/>
              <w:rPr>
                <w:b/>
                <w:bCs/>
              </w:rPr>
            </w:pPr>
            <w:r>
              <w:t>各类游戏</w:t>
            </w:r>
          </w:p>
        </w:tc>
        <w:tc>
          <w:tcPr>
            <w:tcW w:w="2074" w:type="dxa"/>
            <w:vAlign w:val="center"/>
          </w:tcPr>
          <w:p w14:paraId="01853822">
            <w:pPr>
              <w:ind w:firstLine="0" w:firstLineChars="0"/>
              <w:jc w:val="center"/>
              <w:rPr>
                <w:b/>
                <w:bCs/>
              </w:rPr>
            </w:pPr>
            <w:r>
              <w:t>强化学习 + 模型学习</w:t>
            </w:r>
          </w:p>
        </w:tc>
        <w:tc>
          <w:tcPr>
            <w:tcW w:w="2074" w:type="dxa"/>
            <w:vAlign w:val="center"/>
          </w:tcPr>
          <w:p w14:paraId="6EC730A3">
            <w:pPr>
              <w:ind w:firstLine="0" w:firstLineChars="0"/>
              <w:jc w:val="center"/>
              <w:rPr>
                <w:b/>
                <w:bCs/>
              </w:rPr>
            </w:pPr>
            <w:r>
              <w:t>无需规则指导，通过与环境交互进行自学</w:t>
            </w:r>
          </w:p>
        </w:tc>
      </w:tr>
    </w:tbl>
    <w:p w14:paraId="5DD7F93E">
      <w:pPr>
        <w:ind w:firstLine="482"/>
      </w:pPr>
      <w:r>
        <w:rPr>
          <w:rFonts w:hint="eastAsia" w:ascii="黑体" w:hAnsi="黑体" w:eastAsia="黑体"/>
          <w:b/>
          <w:bCs/>
          <w:kern w:val="44"/>
          <w:sz w:val="24"/>
        </w:rPr>
        <w:t>6.3 技术演进分析</w:t>
      </w:r>
      <w:r>
        <w:commentReference w:id="35"/>
      </w:r>
    </w:p>
    <w:p w14:paraId="4181AD5E">
      <w:pPr>
        <w:ind w:firstLine="422"/>
      </w:pPr>
      <w:r>
        <w:rPr>
          <w:b/>
          <w:bCs/>
        </w:rPr>
        <w:t>从表格Q-learning到深度Q网络（DQN）</w:t>
      </w:r>
      <w:r>
        <w:t>：Q-learning是强化学习中的经典算法，通过一个表格记录所有状态-动作对的值（Q值）。但是，由于状态空间的庞大，表格方法无法应对复杂的高维环境。为解决这一问题，深度Q网络（DQN）将深度神经网络与Q-learning结合，使得AI能够处理更大规模的状态空间。通过使用卷积神经网络（CNN）等深度学习技术，DQN成功地在Atari游戏等任务中超越了人类玩家，标志着强化学习与深度学习结合的突破【51】。</w:t>
      </w:r>
    </w:p>
    <w:p w14:paraId="26E4D3EE">
      <w:pPr>
        <w:ind w:firstLine="422"/>
      </w:pPr>
      <w:r>
        <w:rPr>
          <w:b/>
          <w:bCs/>
        </w:rPr>
        <w:t>从单智能体到多智能体协作与竞争</w:t>
      </w:r>
      <w:r>
        <w:t>：随着深度学习在游戏中的应用逐渐深入，研究的重点已从单一智能体任务转向多智能体系统的协作与竞争。在</w:t>
      </w:r>
      <w:r>
        <w:rPr>
          <w:b/>
          <w:bCs/>
        </w:rPr>
        <w:t>OpenAI Five</w:t>
      </w:r>
      <w:r>
        <w:t>和</w:t>
      </w:r>
      <w:r>
        <w:rPr>
          <w:b/>
          <w:bCs/>
        </w:rPr>
        <w:t>AlphaStar</w:t>
      </w:r>
      <w:r>
        <w:t>等项目中，AI不仅需要进行单个角色的决策，还要应对多个智能体之间的协作与竞争，处理复杂的环境和动态的互动【60】。多智能体系统中的AI必须学会如何共享信息、进行协调，并且在敌对情况下进行策略竞争。这对于深度学习模型的能力提出了更高要求，尤其在不完全观察信息和长期规划方面【53】。</w:t>
      </w:r>
    </w:p>
    <w:p w14:paraId="33A310B4">
      <w:pPr>
        <w:ind w:firstLine="422"/>
      </w:pPr>
      <w:r>
        <w:rPr>
          <w:b/>
          <w:bCs/>
        </w:rPr>
        <w:t>从完美信息到不完美信息博弈</w:t>
      </w:r>
      <w:r>
        <w:t>：完美信息博弈指的是每个玩家都能完全观察到其他玩家的行为（如围棋、国际象棋）。然而，现实世界和许多游戏（如扑克、Dota 2）是</w:t>
      </w:r>
      <w:r>
        <w:rPr>
          <w:b/>
          <w:bCs/>
        </w:rPr>
        <w:t>不完美信息博弈</w:t>
      </w:r>
      <w:r>
        <w:t>，即某些信息对部分玩家是隐蔽的。深度学习技术已经逐步扩展到这种不完美信息环境中，AI不仅要理解手中的信息，还要推测对手的可能行为，甚至推断隐蔽信息【50】【51】。以</w:t>
      </w:r>
      <w:r>
        <w:rPr>
          <w:b/>
          <w:bCs/>
        </w:rPr>
        <w:t>扑克</w:t>
      </w:r>
      <w:r>
        <w:t>为例，AI不仅需要决策时考虑手中的牌，还要推测对手可能的牌型，这需要深度学习模型具备强大的推理、预测和策略制定能力【59】。</w:t>
      </w:r>
    </w:p>
    <w:p w14:paraId="11C4888F">
      <w:pPr>
        <w:ind w:firstLine="420"/>
      </w:pPr>
    </w:p>
    <w:p w14:paraId="3BB78E25">
      <w:pPr>
        <w:ind w:firstLine="482"/>
        <w:rPr>
          <w:rFonts w:hint="eastAsia" w:ascii="黑体" w:hAnsi="黑体" w:eastAsia="黑体"/>
          <w:b/>
          <w:bCs/>
          <w:kern w:val="44"/>
          <w:sz w:val="24"/>
        </w:rPr>
      </w:pPr>
      <w:r>
        <w:rPr>
          <w:rFonts w:hint="eastAsia" w:ascii="黑体" w:hAnsi="黑体" w:eastAsia="黑体"/>
          <w:b/>
          <w:bCs/>
          <w:kern w:val="44"/>
          <w:sz w:val="24"/>
        </w:rPr>
        <w:t>6.4 小结与挑战展望</w:t>
      </w:r>
      <w:r>
        <w:commentReference w:id="36"/>
      </w:r>
    </w:p>
    <w:p w14:paraId="0BD50420">
      <w:pPr>
        <w:ind w:firstLine="422"/>
      </w:pPr>
      <w:r>
        <w:rPr>
          <w:b/>
          <w:bCs/>
        </w:rPr>
        <w:t>总结</w:t>
      </w:r>
      <w:r>
        <w:t>：深度学习和强化学习技术在游戏中的应用，特别是在复杂策略游戏中的突破，已经验证了这些技术在大规模决策系统中的有效性。通过多个里程碑式的成功案例，如AlphaGo、AlphaZero、OpenAI Five等，AI展示了超越人类顶尖玩家的能力，并推动了多智能体系统、长期决策、以及不完美信息博弈等技术领域的快速进展。游戏不仅为算法验证提供了广阔的测试平台，也为实际应用中的深度学习模型提供了丰富的实验场景【46】【48】。</w:t>
      </w:r>
    </w:p>
    <w:p w14:paraId="060BFB92">
      <w:pPr>
        <w:ind w:firstLine="422"/>
      </w:pPr>
      <w:r>
        <w:rPr>
          <w:b/>
          <w:bCs/>
        </w:rPr>
        <w:t>展望</w:t>
      </w:r>
      <w:r>
        <w:t>：未来，深度学习将在更为复杂的</w:t>
      </w:r>
      <w:r>
        <w:rPr>
          <w:b/>
          <w:bCs/>
        </w:rPr>
        <w:t>开放世界游戏</w:t>
      </w:r>
      <w:r>
        <w:t>、</w:t>
      </w:r>
      <w:r>
        <w:rPr>
          <w:b/>
          <w:bCs/>
        </w:rPr>
        <w:t>具身智能</w:t>
      </w:r>
      <w:r>
        <w:t>（Embodied AI）和</w:t>
      </w:r>
      <w:r>
        <w:rPr>
          <w:b/>
          <w:bCs/>
        </w:rPr>
        <w:t>多智能体通信与协作</w:t>
      </w:r>
      <w:r>
        <w:t>等领域发挥更加重要的作用。特别是在复杂的开放世界游戏中，智能体将面临更加多样化和动态化的环境，需要更高的自主性和适应能力。除此之外，深度学习将在</w:t>
      </w:r>
      <w:r>
        <w:rPr>
          <w:b/>
          <w:bCs/>
        </w:rPr>
        <w:t>自动驾驶</w:t>
      </w:r>
      <w:r>
        <w:t>、</w:t>
      </w:r>
      <w:r>
        <w:rPr>
          <w:b/>
          <w:bCs/>
        </w:rPr>
        <w:t>机器人控制</w:t>
      </w:r>
      <w:r>
        <w:t>等现实任务中展现更强的能力，这些任务需要智能体在复杂、多变的现实环境中作出快速、准确的决策。随着技术的发展，未来的AI将具备更加灵活、自然的决策能力，推动深度学习技术在各个领域的广泛应用与创新【58】【60】。</w:t>
      </w:r>
      <w:r>
        <w:commentReference w:id="37"/>
      </w:r>
    </w:p>
    <w:p w14:paraId="701A0712">
      <w:pPr>
        <w:pStyle w:val="2"/>
        <w:spacing w:before="240" w:after="120" w:line="360" w:lineRule="auto"/>
        <w:ind w:firstLine="482"/>
        <w:rPr>
          <w:rFonts w:hint="eastAsia" w:ascii="黑体" w:hAnsi="黑体" w:eastAsia="黑体"/>
          <w:sz w:val="24"/>
          <w:szCs w:val="24"/>
        </w:rPr>
      </w:pPr>
      <w:r>
        <w:rPr>
          <w:rFonts w:hint="eastAsia" w:ascii="黑体" w:hAnsi="黑体" w:eastAsia="黑体"/>
          <w:sz w:val="24"/>
          <w:szCs w:val="24"/>
        </w:rPr>
        <w:t xml:space="preserve">7  </w:t>
      </w:r>
      <w:commentRangeStart w:id="38"/>
      <w:r>
        <w:rPr>
          <w:rFonts w:hint="eastAsia" w:ascii="黑体" w:hAnsi="黑体" w:eastAsia="黑体"/>
          <w:sz w:val="24"/>
          <w:szCs w:val="24"/>
        </w:rPr>
        <w:t>总结</w:t>
      </w:r>
      <w:commentRangeEnd w:id="38"/>
      <w:r>
        <w:rPr>
          <w:rStyle w:val="20"/>
          <w:b w:val="0"/>
          <w:bCs w:val="0"/>
          <w:kern w:val="2"/>
        </w:rPr>
        <w:commentReference w:id="38"/>
      </w:r>
      <w:r>
        <w:rPr>
          <w:rFonts w:hint="eastAsia" w:ascii="黑体" w:hAnsi="黑体" w:eastAsia="黑体"/>
          <w:sz w:val="24"/>
          <w:szCs w:val="24"/>
        </w:rPr>
        <w:t>(魏天明)</w:t>
      </w:r>
    </w:p>
    <w:p w14:paraId="4832DD1F">
      <w:pPr>
        <w:ind w:firstLine="420"/>
      </w:pPr>
      <w:commentRangeStart w:id="39"/>
    </w:p>
    <w:p w14:paraId="318E2B16">
      <w:pPr>
        <w:ind w:firstLine="420"/>
        <w:jc w:val="center"/>
      </w:pPr>
      <w:r>
        <w:rPr>
          <w:rFonts w:hint="eastAsia"/>
        </w:rPr>
        <w:t>表2 强化学习多领域应用对比</w:t>
      </w:r>
    </w:p>
    <w:tbl>
      <w:tblPr>
        <w:tblStyle w:val="14"/>
        <w:tblW w:w="0" w:type="auto"/>
        <w:jc w:val="center"/>
        <w:tblBorders>
          <w:top w:val="single" w:color="auto" w:sz="6" w:space="0"/>
          <w:left w:val="single" w:color="auto" w:sz="6" w:space="0"/>
          <w:bottom w:val="single" w:color="auto" w:sz="6" w:space="0"/>
          <w:right w:val="single" w:color="auto" w:sz="6" w:space="0"/>
          <w:insideH w:val="none" w:color="auto" w:sz="0" w:space="0"/>
          <w:insideV w:val="none" w:color="auto" w:sz="0" w:space="0"/>
        </w:tblBorders>
        <w:tblLayout w:type="autofit"/>
        <w:tblCellMar>
          <w:top w:w="15" w:type="dxa"/>
          <w:left w:w="15" w:type="dxa"/>
          <w:bottom w:w="15" w:type="dxa"/>
          <w:right w:w="15" w:type="dxa"/>
        </w:tblCellMar>
      </w:tblPr>
      <w:tblGrid>
        <w:gridCol w:w="1578"/>
        <w:gridCol w:w="1631"/>
        <w:gridCol w:w="1930"/>
        <w:gridCol w:w="1561"/>
        <w:gridCol w:w="1636"/>
      </w:tblGrid>
      <w:tr w14:paraId="6A350F27">
        <w:tblPrEx>
          <w:tblBorders>
            <w:top w:val="single" w:color="auto" w:sz="6" w:space="0"/>
            <w:left w:val="single" w:color="auto" w:sz="6" w:space="0"/>
            <w:bottom w:val="single" w:color="auto" w:sz="6" w:space="0"/>
            <w:right w:val="single" w:color="auto" w:sz="6" w:space="0"/>
            <w:insideH w:val="none" w:color="auto" w:sz="0" w:space="0"/>
            <w:insideV w:val="none" w:color="auto" w:sz="0" w:space="0"/>
          </w:tblBorders>
          <w:tblCellMar>
            <w:top w:w="15" w:type="dxa"/>
            <w:left w:w="15" w:type="dxa"/>
            <w:bottom w:w="15" w:type="dxa"/>
            <w:right w:w="15" w:type="dxa"/>
          </w:tblCellMar>
        </w:tblPrEx>
        <w:trPr>
          <w:trHeight w:val="435" w:hRule="atLeast"/>
          <w:jc w:val="center"/>
        </w:trPr>
        <w:tc>
          <w:tcPr>
            <w:tcW w:w="1578" w:type="dxa"/>
            <w:tcBorders>
              <w:top w:val="single" w:color="auto" w:sz="6" w:space="0"/>
              <w:left w:val="single" w:color="auto" w:sz="6" w:space="0"/>
              <w:bottom w:val="single" w:color="auto" w:sz="6" w:space="0"/>
              <w:right w:val="single" w:color="auto" w:sz="6" w:space="0"/>
            </w:tcBorders>
            <w:vAlign w:val="center"/>
          </w:tcPr>
          <w:p w14:paraId="3617B40C">
            <w:pPr>
              <w:ind w:firstLine="602" w:firstLineChars="300"/>
              <w:rPr>
                <w:rFonts w:hint="eastAsia" w:ascii="黑体" w:hAnsi="黑体" w:eastAsia="黑体"/>
                <w:sz w:val="20"/>
                <w:szCs w:val="22"/>
              </w:rPr>
            </w:pPr>
            <w:r>
              <w:rPr>
                <w:rFonts w:ascii="黑体" w:hAnsi="黑体" w:eastAsia="黑体"/>
                <w:b/>
                <w:bCs/>
                <w:sz w:val="20"/>
                <w:szCs w:val="22"/>
              </w:rPr>
              <w:t>领域</w:t>
            </w:r>
          </w:p>
        </w:tc>
        <w:tc>
          <w:tcPr>
            <w:tcW w:w="1631" w:type="dxa"/>
            <w:tcBorders>
              <w:top w:val="single" w:color="auto" w:sz="6" w:space="0"/>
              <w:left w:val="single" w:color="auto" w:sz="6" w:space="0"/>
              <w:bottom w:val="single" w:color="auto" w:sz="6" w:space="0"/>
              <w:right w:val="single" w:color="auto" w:sz="6" w:space="0"/>
            </w:tcBorders>
            <w:vAlign w:val="center"/>
          </w:tcPr>
          <w:p w14:paraId="46630E05">
            <w:pPr>
              <w:ind w:firstLine="402"/>
              <w:rPr>
                <w:rFonts w:hint="eastAsia" w:ascii="黑体" w:hAnsi="黑体" w:eastAsia="黑体"/>
                <w:sz w:val="20"/>
                <w:szCs w:val="22"/>
              </w:rPr>
            </w:pPr>
            <w:r>
              <w:rPr>
                <w:rFonts w:ascii="黑体" w:hAnsi="黑体" w:eastAsia="黑体"/>
                <w:b/>
                <w:bCs/>
                <w:sz w:val="20"/>
                <w:szCs w:val="22"/>
              </w:rPr>
              <w:t>核心挑战</w:t>
            </w:r>
          </w:p>
        </w:tc>
        <w:tc>
          <w:tcPr>
            <w:tcW w:w="1930" w:type="dxa"/>
            <w:tcBorders>
              <w:top w:val="single" w:color="auto" w:sz="6" w:space="0"/>
              <w:left w:val="single" w:color="auto" w:sz="6" w:space="0"/>
              <w:bottom w:val="single" w:color="auto" w:sz="6" w:space="0"/>
              <w:right w:val="single" w:color="auto" w:sz="6" w:space="0"/>
            </w:tcBorders>
            <w:vAlign w:val="center"/>
          </w:tcPr>
          <w:p w14:paraId="611DB19A">
            <w:pPr>
              <w:ind w:firstLine="402"/>
              <w:rPr>
                <w:rFonts w:hint="eastAsia" w:ascii="黑体" w:hAnsi="黑体" w:eastAsia="黑体"/>
                <w:sz w:val="20"/>
                <w:szCs w:val="22"/>
              </w:rPr>
            </w:pPr>
            <w:r>
              <w:rPr>
                <w:rFonts w:ascii="黑体" w:hAnsi="黑体" w:eastAsia="黑体"/>
                <w:b/>
                <w:bCs/>
                <w:sz w:val="20"/>
                <w:szCs w:val="22"/>
              </w:rPr>
              <w:t>常用算法</w:t>
            </w:r>
          </w:p>
        </w:tc>
        <w:tc>
          <w:tcPr>
            <w:tcW w:w="1561" w:type="dxa"/>
            <w:tcBorders>
              <w:top w:val="single" w:color="auto" w:sz="6" w:space="0"/>
              <w:left w:val="single" w:color="auto" w:sz="6" w:space="0"/>
              <w:bottom w:val="single" w:color="auto" w:sz="6" w:space="0"/>
              <w:right w:val="single" w:color="auto" w:sz="6" w:space="0"/>
            </w:tcBorders>
            <w:vAlign w:val="center"/>
          </w:tcPr>
          <w:p w14:paraId="4B334E57">
            <w:pPr>
              <w:ind w:firstLine="402"/>
              <w:jc w:val="left"/>
              <w:rPr>
                <w:rFonts w:hint="eastAsia" w:ascii="黑体" w:hAnsi="黑体" w:eastAsia="黑体"/>
                <w:sz w:val="20"/>
                <w:szCs w:val="22"/>
              </w:rPr>
            </w:pPr>
            <w:r>
              <w:rPr>
                <w:rFonts w:ascii="黑体" w:hAnsi="黑体" w:eastAsia="黑体"/>
                <w:b/>
                <w:bCs/>
                <w:sz w:val="20"/>
                <w:szCs w:val="22"/>
              </w:rPr>
              <w:t>环境特性</w:t>
            </w:r>
          </w:p>
        </w:tc>
        <w:tc>
          <w:tcPr>
            <w:tcW w:w="1636" w:type="dxa"/>
            <w:tcBorders>
              <w:top w:val="single" w:color="auto" w:sz="6" w:space="0"/>
              <w:left w:val="single" w:color="auto" w:sz="6" w:space="0"/>
              <w:bottom w:val="single" w:color="auto" w:sz="6" w:space="0"/>
              <w:right w:val="single" w:color="auto" w:sz="6" w:space="0"/>
            </w:tcBorders>
            <w:vAlign w:val="center"/>
          </w:tcPr>
          <w:p w14:paraId="0A5140F1">
            <w:pPr>
              <w:ind w:firstLine="402"/>
              <w:rPr>
                <w:rFonts w:hint="eastAsia" w:ascii="黑体" w:hAnsi="黑体" w:eastAsia="黑体"/>
                <w:sz w:val="20"/>
                <w:szCs w:val="22"/>
              </w:rPr>
            </w:pPr>
            <w:r>
              <w:rPr>
                <w:rFonts w:ascii="黑体" w:hAnsi="黑体" w:eastAsia="黑体"/>
                <w:b/>
                <w:bCs/>
                <w:sz w:val="20"/>
                <w:szCs w:val="22"/>
              </w:rPr>
              <w:t>数据来源</w:t>
            </w:r>
          </w:p>
        </w:tc>
      </w:tr>
      <w:tr w14:paraId="5C9101ED">
        <w:tblPrEx>
          <w:tblBorders>
            <w:top w:val="single" w:color="auto" w:sz="6" w:space="0"/>
            <w:left w:val="single" w:color="auto" w:sz="6" w:space="0"/>
            <w:bottom w:val="single" w:color="auto" w:sz="6" w:space="0"/>
            <w:right w:val="single" w:color="auto" w:sz="6" w:space="0"/>
            <w:insideH w:val="none" w:color="auto" w:sz="0" w:space="0"/>
            <w:insideV w:val="none" w:color="auto" w:sz="0" w:space="0"/>
          </w:tblBorders>
          <w:tblCellMar>
            <w:top w:w="15" w:type="dxa"/>
            <w:left w:w="15" w:type="dxa"/>
            <w:bottom w:w="15" w:type="dxa"/>
            <w:right w:w="15" w:type="dxa"/>
          </w:tblCellMar>
        </w:tblPrEx>
        <w:trPr>
          <w:trHeight w:val="624" w:hRule="atLeast"/>
          <w:jc w:val="center"/>
        </w:trPr>
        <w:tc>
          <w:tcPr>
            <w:tcW w:w="1578" w:type="dxa"/>
            <w:tcBorders>
              <w:top w:val="single" w:color="auto" w:sz="6" w:space="0"/>
              <w:left w:val="single" w:color="auto" w:sz="6" w:space="0"/>
              <w:bottom w:val="single" w:color="auto" w:sz="6" w:space="0"/>
              <w:right w:val="single" w:color="auto" w:sz="6" w:space="0"/>
            </w:tcBorders>
            <w:vAlign w:val="center"/>
          </w:tcPr>
          <w:p w14:paraId="10932E74">
            <w:pPr>
              <w:ind w:firstLine="400"/>
              <w:rPr>
                <w:rFonts w:hint="eastAsia" w:ascii="黑体" w:hAnsi="黑体" w:eastAsia="黑体"/>
                <w:sz w:val="20"/>
                <w:szCs w:val="22"/>
              </w:rPr>
            </w:pPr>
            <w:r>
              <w:rPr>
                <w:rFonts w:ascii="黑体" w:hAnsi="黑体" w:eastAsia="黑体"/>
                <w:sz w:val="20"/>
                <w:szCs w:val="22"/>
              </w:rPr>
              <w:t>机器人控制</w:t>
            </w:r>
          </w:p>
        </w:tc>
        <w:tc>
          <w:tcPr>
            <w:tcW w:w="1631" w:type="dxa"/>
            <w:tcBorders>
              <w:top w:val="single" w:color="auto" w:sz="6" w:space="0"/>
              <w:left w:val="single" w:color="auto" w:sz="6" w:space="0"/>
              <w:bottom w:val="single" w:color="auto" w:sz="6" w:space="0"/>
              <w:right w:val="single" w:color="auto" w:sz="6" w:space="0"/>
            </w:tcBorders>
            <w:vAlign w:val="center"/>
          </w:tcPr>
          <w:p w14:paraId="7969BF1A">
            <w:pPr>
              <w:ind w:firstLine="0" w:firstLineChars="0"/>
              <w:jc w:val="center"/>
              <w:rPr>
                <w:rFonts w:hint="eastAsia" w:ascii="黑体" w:hAnsi="黑体" w:eastAsia="黑体"/>
                <w:sz w:val="20"/>
                <w:szCs w:val="22"/>
              </w:rPr>
            </w:pPr>
            <w:r>
              <w:rPr>
                <w:rFonts w:hint="eastAsia" w:ascii="黑体" w:hAnsi="黑体" w:eastAsia="黑体"/>
                <w:sz w:val="20"/>
                <w:szCs w:val="22"/>
              </w:rPr>
              <w:t>1. 仿真与现实迁移问题</w:t>
            </w:r>
          </w:p>
          <w:p w14:paraId="68D533AA">
            <w:pPr>
              <w:ind w:firstLine="0" w:firstLineChars="0"/>
              <w:jc w:val="center"/>
              <w:rPr>
                <w:rFonts w:hint="eastAsia" w:ascii="黑体" w:hAnsi="黑体" w:eastAsia="黑体"/>
                <w:sz w:val="20"/>
                <w:szCs w:val="22"/>
              </w:rPr>
            </w:pPr>
            <w:r>
              <w:rPr>
                <w:rFonts w:hint="eastAsia" w:ascii="黑体" w:hAnsi="黑体" w:eastAsia="黑体"/>
                <w:sz w:val="20"/>
                <w:szCs w:val="22"/>
              </w:rPr>
              <w:t>2. 奖励函数设计与稀疏奖励问题</w:t>
            </w:r>
          </w:p>
        </w:tc>
        <w:tc>
          <w:tcPr>
            <w:tcW w:w="1930" w:type="dxa"/>
            <w:tcBorders>
              <w:top w:val="single" w:color="auto" w:sz="6" w:space="0"/>
              <w:left w:val="single" w:color="auto" w:sz="6" w:space="0"/>
              <w:bottom w:val="single" w:color="auto" w:sz="6" w:space="0"/>
              <w:right w:val="single" w:color="auto" w:sz="6" w:space="0"/>
            </w:tcBorders>
            <w:vAlign w:val="center"/>
          </w:tcPr>
          <w:p w14:paraId="562BFE43">
            <w:pPr>
              <w:ind w:firstLineChars="100"/>
              <w:jc w:val="center"/>
              <w:rPr>
                <w:rFonts w:hint="eastAsia" w:ascii="黑体" w:hAnsi="黑体" w:eastAsia="黑体"/>
                <w:sz w:val="20"/>
                <w:szCs w:val="22"/>
              </w:rPr>
            </w:pPr>
            <w:r>
              <w:rPr>
                <w:rFonts w:hint="eastAsia" w:ascii="黑体" w:hAnsi="黑体" w:eastAsia="黑体"/>
                <w:sz w:val="20"/>
                <w:szCs w:val="22"/>
              </w:rPr>
              <w:t>深度强化学习（DRL）</w:t>
            </w:r>
          </w:p>
          <w:p w14:paraId="70C633B1">
            <w:pPr>
              <w:ind w:firstLineChars="100"/>
              <w:jc w:val="center"/>
              <w:rPr>
                <w:rFonts w:hint="eastAsia" w:ascii="黑体" w:hAnsi="黑体" w:eastAsia="黑体"/>
                <w:sz w:val="20"/>
                <w:szCs w:val="22"/>
              </w:rPr>
            </w:pPr>
            <w:r>
              <w:rPr>
                <w:rFonts w:hint="eastAsia" w:ascii="黑体" w:hAnsi="黑体" w:eastAsia="黑体"/>
                <w:sz w:val="20"/>
                <w:szCs w:val="22"/>
              </w:rPr>
              <w:t>仿真到现实迁移（Sim-to-Real）</w:t>
            </w:r>
          </w:p>
          <w:p w14:paraId="7EBA07F4">
            <w:pPr>
              <w:ind w:firstLineChars="100"/>
              <w:jc w:val="center"/>
              <w:rPr>
                <w:rFonts w:hint="eastAsia" w:ascii="黑体" w:hAnsi="黑体" w:eastAsia="黑体"/>
                <w:sz w:val="20"/>
                <w:szCs w:val="22"/>
              </w:rPr>
            </w:pPr>
            <w:r>
              <w:rPr>
                <w:rFonts w:hint="eastAsia" w:ascii="黑体" w:hAnsi="黑体" w:eastAsia="黑体"/>
                <w:sz w:val="20"/>
                <w:szCs w:val="22"/>
              </w:rPr>
              <w:t>领域随机化</w:t>
            </w:r>
          </w:p>
          <w:p w14:paraId="41D0292E">
            <w:pPr>
              <w:ind w:firstLineChars="100"/>
              <w:jc w:val="center"/>
              <w:rPr>
                <w:rFonts w:hint="eastAsia" w:ascii="黑体" w:hAnsi="黑体" w:eastAsia="黑体"/>
                <w:sz w:val="20"/>
                <w:szCs w:val="22"/>
              </w:rPr>
            </w:pPr>
            <w:r>
              <w:rPr>
                <w:rFonts w:hint="eastAsia" w:ascii="黑体" w:hAnsi="黑体" w:eastAsia="黑体"/>
                <w:sz w:val="20"/>
                <w:szCs w:val="22"/>
              </w:rPr>
              <w:t>离线强化学习（Offline RL）</w:t>
            </w:r>
          </w:p>
        </w:tc>
        <w:tc>
          <w:tcPr>
            <w:tcW w:w="1561" w:type="dxa"/>
            <w:tcBorders>
              <w:top w:val="single" w:color="auto" w:sz="6" w:space="0"/>
              <w:left w:val="single" w:color="auto" w:sz="6" w:space="0"/>
              <w:bottom w:val="single" w:color="auto" w:sz="6" w:space="0"/>
              <w:right w:val="single" w:color="auto" w:sz="6" w:space="0"/>
            </w:tcBorders>
            <w:vAlign w:val="center"/>
          </w:tcPr>
          <w:p w14:paraId="69C8A831">
            <w:pPr>
              <w:ind w:firstLine="400"/>
              <w:jc w:val="left"/>
              <w:rPr>
                <w:rFonts w:hint="eastAsia" w:ascii="黑体" w:hAnsi="黑体" w:eastAsia="黑体"/>
                <w:sz w:val="20"/>
                <w:szCs w:val="22"/>
              </w:rPr>
            </w:pPr>
            <w:r>
              <w:rPr>
                <w:rFonts w:hint="eastAsia" w:ascii="黑体" w:hAnsi="黑体" w:eastAsia="黑体"/>
                <w:sz w:val="20"/>
                <w:szCs w:val="22"/>
              </w:rPr>
              <w:t>偏重现实，涉及高维连续状态和动作空间，环境具有不确定性、动态变化和物理特性差异</w:t>
            </w:r>
          </w:p>
        </w:tc>
        <w:tc>
          <w:tcPr>
            <w:tcW w:w="1636" w:type="dxa"/>
            <w:tcBorders>
              <w:top w:val="single" w:color="auto" w:sz="6" w:space="0"/>
              <w:left w:val="single" w:color="auto" w:sz="6" w:space="0"/>
              <w:bottom w:val="single" w:color="auto" w:sz="6" w:space="0"/>
              <w:right w:val="single" w:color="auto" w:sz="6" w:space="0"/>
            </w:tcBorders>
            <w:vAlign w:val="center"/>
          </w:tcPr>
          <w:p w14:paraId="51E961E0">
            <w:pPr>
              <w:ind w:firstLineChars="100"/>
              <w:rPr>
                <w:rFonts w:hint="eastAsia" w:ascii="黑体" w:hAnsi="黑体" w:eastAsia="黑体"/>
                <w:sz w:val="20"/>
                <w:szCs w:val="22"/>
              </w:rPr>
            </w:pPr>
            <w:r>
              <w:rPr>
                <w:rFonts w:hint="eastAsia" w:ascii="黑体" w:hAnsi="黑体" w:eastAsia="黑体"/>
                <w:sz w:val="20"/>
                <w:szCs w:val="22"/>
              </w:rPr>
              <w:t>传感器数据（摄像头、关节角度、力传感器等）</w:t>
            </w:r>
          </w:p>
          <w:p w14:paraId="015CB4CE">
            <w:pPr>
              <w:ind w:firstLineChars="100"/>
              <w:rPr>
                <w:rFonts w:hint="eastAsia" w:ascii="黑体" w:hAnsi="黑体" w:eastAsia="黑体"/>
                <w:sz w:val="20"/>
                <w:szCs w:val="22"/>
              </w:rPr>
            </w:pPr>
            <w:r>
              <w:rPr>
                <w:rFonts w:hint="eastAsia" w:ascii="黑体" w:hAnsi="黑体" w:eastAsia="黑体"/>
                <w:sz w:val="20"/>
                <w:szCs w:val="22"/>
              </w:rPr>
              <w:t>仿真环境数据（如ROS、OpenAI Gym等）</w:t>
            </w:r>
          </w:p>
        </w:tc>
      </w:tr>
      <w:tr w14:paraId="3BCED276">
        <w:tblPrEx>
          <w:tblBorders>
            <w:top w:val="single" w:color="auto" w:sz="6" w:space="0"/>
            <w:left w:val="single" w:color="auto" w:sz="6" w:space="0"/>
            <w:bottom w:val="single" w:color="auto" w:sz="6" w:space="0"/>
            <w:right w:val="single" w:color="auto" w:sz="6" w:space="0"/>
            <w:insideH w:val="none" w:color="auto" w:sz="0" w:space="0"/>
            <w:insideV w:val="none" w:color="auto" w:sz="0" w:space="0"/>
          </w:tblBorders>
          <w:tblCellMar>
            <w:top w:w="15" w:type="dxa"/>
            <w:left w:w="15" w:type="dxa"/>
            <w:bottom w:w="15" w:type="dxa"/>
            <w:right w:w="15" w:type="dxa"/>
          </w:tblCellMar>
        </w:tblPrEx>
        <w:trPr>
          <w:trHeight w:val="624" w:hRule="atLeast"/>
          <w:jc w:val="center"/>
        </w:trPr>
        <w:tc>
          <w:tcPr>
            <w:tcW w:w="1578" w:type="dxa"/>
            <w:tcBorders>
              <w:top w:val="single" w:color="auto" w:sz="6" w:space="0"/>
              <w:left w:val="single" w:color="auto" w:sz="6" w:space="0"/>
              <w:bottom w:val="single" w:color="auto" w:sz="6" w:space="0"/>
              <w:right w:val="single" w:color="auto" w:sz="6" w:space="0"/>
            </w:tcBorders>
            <w:vAlign w:val="center"/>
          </w:tcPr>
          <w:p w14:paraId="4203B8B1">
            <w:pPr>
              <w:ind w:firstLine="400"/>
              <w:rPr>
                <w:rFonts w:hint="eastAsia" w:ascii="黑体" w:hAnsi="黑体" w:eastAsia="黑体"/>
                <w:sz w:val="20"/>
                <w:szCs w:val="22"/>
              </w:rPr>
            </w:pPr>
            <w:r>
              <w:rPr>
                <w:rFonts w:ascii="黑体" w:hAnsi="黑体" w:eastAsia="黑体"/>
                <w:sz w:val="20"/>
                <w:szCs w:val="22"/>
              </w:rPr>
              <w:t>无人驾驶</w:t>
            </w:r>
          </w:p>
        </w:tc>
        <w:tc>
          <w:tcPr>
            <w:tcW w:w="1631" w:type="dxa"/>
            <w:tcBorders>
              <w:top w:val="single" w:color="auto" w:sz="6" w:space="0"/>
              <w:left w:val="single" w:color="auto" w:sz="6" w:space="0"/>
              <w:bottom w:val="single" w:color="auto" w:sz="6" w:space="0"/>
              <w:right w:val="single" w:color="auto" w:sz="6" w:space="0"/>
            </w:tcBorders>
            <w:vAlign w:val="center"/>
          </w:tcPr>
          <w:p w14:paraId="23D12A35">
            <w:pPr>
              <w:ind w:firstLine="0" w:firstLineChars="0"/>
              <w:jc w:val="center"/>
              <w:rPr>
                <w:rFonts w:hint="eastAsia" w:ascii="黑体" w:hAnsi="黑体" w:eastAsia="黑体"/>
                <w:sz w:val="20"/>
                <w:szCs w:val="22"/>
              </w:rPr>
            </w:pPr>
            <w:r>
              <w:rPr>
                <w:rFonts w:hint="eastAsia" w:ascii="黑体" w:hAnsi="黑体" w:eastAsia="黑体"/>
                <w:sz w:val="20"/>
                <w:szCs w:val="22"/>
              </w:rPr>
              <w:t>1. 动态交通场景下的复杂决策</w:t>
            </w:r>
          </w:p>
          <w:p w14:paraId="2A4CE6CE">
            <w:pPr>
              <w:ind w:firstLine="0" w:firstLineChars="0"/>
              <w:jc w:val="center"/>
              <w:rPr>
                <w:rFonts w:hint="eastAsia" w:ascii="黑体" w:hAnsi="黑体" w:eastAsia="黑体"/>
                <w:sz w:val="20"/>
                <w:szCs w:val="22"/>
              </w:rPr>
            </w:pPr>
            <w:r>
              <w:rPr>
                <w:rFonts w:hint="eastAsia" w:ascii="黑体" w:hAnsi="黑体" w:eastAsia="黑体"/>
                <w:sz w:val="20"/>
                <w:szCs w:val="22"/>
              </w:rPr>
              <w:t>2. 安全性约束与复杂交互博弈</w:t>
            </w:r>
          </w:p>
        </w:tc>
        <w:tc>
          <w:tcPr>
            <w:tcW w:w="1930" w:type="dxa"/>
            <w:tcBorders>
              <w:top w:val="single" w:color="auto" w:sz="6" w:space="0"/>
              <w:left w:val="single" w:color="auto" w:sz="6" w:space="0"/>
              <w:bottom w:val="single" w:color="auto" w:sz="6" w:space="0"/>
              <w:right w:val="single" w:color="auto" w:sz="6" w:space="0"/>
            </w:tcBorders>
            <w:vAlign w:val="center"/>
          </w:tcPr>
          <w:p w14:paraId="633F4579">
            <w:pPr>
              <w:ind w:firstLineChars="100"/>
              <w:jc w:val="center"/>
              <w:rPr>
                <w:rFonts w:hint="eastAsia" w:ascii="黑体" w:hAnsi="黑体" w:eastAsia="黑体"/>
                <w:sz w:val="20"/>
                <w:szCs w:val="22"/>
              </w:rPr>
            </w:pPr>
            <w:r>
              <w:rPr>
                <w:rFonts w:hint="eastAsia" w:ascii="黑体" w:hAnsi="黑体" w:eastAsia="黑体"/>
                <w:sz w:val="20"/>
                <w:szCs w:val="22"/>
              </w:rPr>
              <w:t>深度强化学习（DRL）</w:t>
            </w:r>
          </w:p>
          <w:p w14:paraId="0D592E98">
            <w:pPr>
              <w:ind w:firstLineChars="100"/>
              <w:jc w:val="center"/>
              <w:rPr>
                <w:rFonts w:hint="eastAsia" w:ascii="黑体" w:hAnsi="黑体" w:eastAsia="黑体"/>
                <w:sz w:val="20"/>
                <w:szCs w:val="22"/>
              </w:rPr>
            </w:pPr>
            <w:r>
              <w:rPr>
                <w:rFonts w:hint="eastAsia" w:ascii="黑体" w:hAnsi="黑体" w:eastAsia="黑体"/>
                <w:sz w:val="20"/>
                <w:szCs w:val="22"/>
              </w:rPr>
              <w:t>多智能体强化学习（MARL）</w:t>
            </w:r>
          </w:p>
          <w:p w14:paraId="315D2575">
            <w:pPr>
              <w:ind w:firstLineChars="100"/>
              <w:jc w:val="center"/>
              <w:rPr>
                <w:rFonts w:hint="eastAsia" w:ascii="黑体" w:hAnsi="黑体" w:eastAsia="黑体"/>
                <w:sz w:val="20"/>
                <w:szCs w:val="22"/>
              </w:rPr>
            </w:pPr>
            <w:r>
              <w:rPr>
                <w:rFonts w:hint="eastAsia" w:ascii="黑体" w:hAnsi="黑体" w:eastAsia="黑体"/>
                <w:sz w:val="20"/>
                <w:szCs w:val="22"/>
              </w:rPr>
              <w:t>基于模仿学习的预训练</w:t>
            </w:r>
          </w:p>
          <w:p w14:paraId="5D72C1BC">
            <w:pPr>
              <w:ind w:firstLineChars="100"/>
              <w:jc w:val="center"/>
              <w:rPr>
                <w:rFonts w:hint="eastAsia" w:ascii="黑体" w:hAnsi="黑体" w:eastAsia="黑体"/>
                <w:sz w:val="20"/>
                <w:szCs w:val="22"/>
              </w:rPr>
            </w:pPr>
            <w:r>
              <w:rPr>
                <w:rFonts w:hint="eastAsia" w:ascii="黑体" w:hAnsi="黑体" w:eastAsia="黑体"/>
                <w:sz w:val="20"/>
                <w:szCs w:val="22"/>
              </w:rPr>
              <w:t>课程学习与奖励重塑</w:t>
            </w:r>
          </w:p>
        </w:tc>
        <w:tc>
          <w:tcPr>
            <w:tcW w:w="1561" w:type="dxa"/>
            <w:tcBorders>
              <w:top w:val="single" w:color="auto" w:sz="6" w:space="0"/>
              <w:left w:val="single" w:color="auto" w:sz="6" w:space="0"/>
              <w:bottom w:val="single" w:color="auto" w:sz="6" w:space="0"/>
              <w:right w:val="single" w:color="auto" w:sz="6" w:space="0"/>
            </w:tcBorders>
            <w:vAlign w:val="center"/>
          </w:tcPr>
          <w:p w14:paraId="167F2709">
            <w:pPr>
              <w:ind w:firstLine="400"/>
              <w:jc w:val="left"/>
              <w:rPr>
                <w:rFonts w:hint="eastAsia" w:ascii="黑体" w:hAnsi="黑体" w:eastAsia="黑体"/>
                <w:sz w:val="20"/>
                <w:szCs w:val="22"/>
              </w:rPr>
            </w:pPr>
            <w:r>
              <w:rPr>
                <w:rFonts w:hint="eastAsia" w:ascii="黑体" w:hAnsi="黑体" w:eastAsia="黑体"/>
                <w:sz w:val="20"/>
                <w:szCs w:val="22"/>
              </w:rPr>
              <w:t>模拟为主，环境具有高维异构数据（如摄像头、激光雷达）、动态交互性和部分可观测性</w:t>
            </w:r>
          </w:p>
        </w:tc>
        <w:tc>
          <w:tcPr>
            <w:tcW w:w="1636" w:type="dxa"/>
            <w:tcBorders>
              <w:top w:val="single" w:color="auto" w:sz="6" w:space="0"/>
              <w:left w:val="single" w:color="auto" w:sz="6" w:space="0"/>
              <w:bottom w:val="single" w:color="auto" w:sz="6" w:space="0"/>
              <w:right w:val="single" w:color="auto" w:sz="6" w:space="0"/>
            </w:tcBorders>
            <w:vAlign w:val="center"/>
          </w:tcPr>
          <w:p w14:paraId="270940AA">
            <w:pPr>
              <w:ind w:firstLine="0" w:firstLineChars="0"/>
              <w:jc w:val="center"/>
              <w:rPr>
                <w:rFonts w:hint="eastAsia" w:ascii="黑体" w:hAnsi="黑体" w:eastAsia="黑体"/>
                <w:sz w:val="20"/>
                <w:szCs w:val="22"/>
              </w:rPr>
            </w:pPr>
            <w:r>
              <w:rPr>
                <w:rFonts w:hint="eastAsia" w:ascii="黑体" w:hAnsi="黑体" w:eastAsia="黑体"/>
                <w:sz w:val="20"/>
                <w:szCs w:val="22"/>
              </w:rPr>
              <w:t>驾驶数据（车辆速度、导航信息等）</w:t>
            </w:r>
          </w:p>
          <w:p w14:paraId="29027CAC">
            <w:pPr>
              <w:ind w:firstLine="0" w:firstLineChars="0"/>
              <w:jc w:val="center"/>
              <w:rPr>
                <w:rFonts w:hint="eastAsia" w:ascii="黑体" w:hAnsi="黑体" w:eastAsia="黑体"/>
                <w:sz w:val="20"/>
                <w:szCs w:val="22"/>
              </w:rPr>
            </w:pPr>
            <w:r>
              <w:rPr>
                <w:rFonts w:hint="eastAsia" w:ascii="黑体" w:hAnsi="黑体" w:eastAsia="黑体"/>
                <w:sz w:val="20"/>
                <w:szCs w:val="22"/>
              </w:rPr>
              <w:t>仿真平台数据（如CARLA、AirSim）</w:t>
            </w:r>
          </w:p>
          <w:p w14:paraId="5F758DD3">
            <w:pPr>
              <w:ind w:firstLine="0" w:firstLineChars="0"/>
              <w:jc w:val="center"/>
              <w:rPr>
                <w:rFonts w:hint="eastAsia" w:ascii="黑体" w:hAnsi="黑体" w:eastAsia="黑体"/>
                <w:sz w:val="20"/>
                <w:szCs w:val="22"/>
              </w:rPr>
            </w:pPr>
            <w:r>
              <w:rPr>
                <w:rFonts w:hint="eastAsia" w:ascii="黑体" w:hAnsi="黑体" w:eastAsia="黑体"/>
                <w:sz w:val="20"/>
                <w:szCs w:val="22"/>
              </w:rPr>
              <w:t>历史轨迹数据</w:t>
            </w:r>
          </w:p>
        </w:tc>
      </w:tr>
      <w:tr w14:paraId="6BF88C16">
        <w:tblPrEx>
          <w:tblBorders>
            <w:top w:val="single" w:color="auto" w:sz="6" w:space="0"/>
            <w:left w:val="single" w:color="auto" w:sz="6" w:space="0"/>
            <w:bottom w:val="single" w:color="auto" w:sz="6" w:space="0"/>
            <w:right w:val="single" w:color="auto" w:sz="6" w:space="0"/>
            <w:insideH w:val="none" w:color="auto" w:sz="0" w:space="0"/>
            <w:insideV w:val="none" w:color="auto" w:sz="0" w:space="0"/>
          </w:tblBorders>
          <w:tblCellMar>
            <w:top w:w="15" w:type="dxa"/>
            <w:left w:w="15" w:type="dxa"/>
            <w:bottom w:w="15" w:type="dxa"/>
            <w:right w:w="15" w:type="dxa"/>
          </w:tblCellMar>
        </w:tblPrEx>
        <w:trPr>
          <w:trHeight w:val="624" w:hRule="atLeast"/>
          <w:jc w:val="center"/>
        </w:trPr>
        <w:tc>
          <w:tcPr>
            <w:tcW w:w="1578" w:type="dxa"/>
            <w:tcBorders>
              <w:top w:val="single" w:color="auto" w:sz="6" w:space="0"/>
              <w:left w:val="single" w:color="auto" w:sz="6" w:space="0"/>
              <w:bottom w:val="single" w:color="auto" w:sz="6" w:space="0"/>
              <w:right w:val="single" w:color="auto" w:sz="6" w:space="0"/>
            </w:tcBorders>
            <w:vAlign w:val="center"/>
          </w:tcPr>
          <w:p w14:paraId="086CC78C">
            <w:pPr>
              <w:ind w:firstLine="400"/>
              <w:rPr>
                <w:rFonts w:hint="eastAsia" w:ascii="黑体" w:hAnsi="黑体" w:eastAsia="黑体"/>
                <w:sz w:val="20"/>
                <w:szCs w:val="22"/>
              </w:rPr>
            </w:pPr>
            <w:r>
              <w:rPr>
                <w:rFonts w:ascii="黑体" w:hAnsi="黑体" w:eastAsia="黑体"/>
                <w:sz w:val="20"/>
                <w:szCs w:val="22"/>
              </w:rPr>
              <w:t>大语言模型</w:t>
            </w:r>
          </w:p>
        </w:tc>
        <w:tc>
          <w:tcPr>
            <w:tcW w:w="1631" w:type="dxa"/>
            <w:tcBorders>
              <w:top w:val="single" w:color="auto" w:sz="6" w:space="0"/>
              <w:left w:val="single" w:color="auto" w:sz="6" w:space="0"/>
              <w:bottom w:val="single" w:color="auto" w:sz="6" w:space="0"/>
              <w:right w:val="single" w:color="auto" w:sz="6" w:space="0"/>
            </w:tcBorders>
            <w:vAlign w:val="center"/>
          </w:tcPr>
          <w:p w14:paraId="502FEEB2">
            <w:pPr>
              <w:ind w:firstLine="0" w:firstLineChars="0"/>
              <w:jc w:val="center"/>
              <w:rPr>
                <w:rFonts w:hint="eastAsia" w:ascii="黑体" w:hAnsi="黑体" w:eastAsia="黑体"/>
                <w:sz w:val="20"/>
                <w:szCs w:val="22"/>
              </w:rPr>
            </w:pPr>
            <w:r>
              <w:rPr>
                <w:rFonts w:hint="eastAsia" w:ascii="黑体" w:hAnsi="黑体" w:eastAsia="黑体"/>
                <w:sz w:val="20"/>
                <w:szCs w:val="22"/>
              </w:rPr>
              <w:tab/>
            </w:r>
            <w:r>
              <w:rPr>
                <w:rFonts w:hint="eastAsia" w:ascii="黑体" w:hAnsi="黑体" w:eastAsia="黑体"/>
                <w:sz w:val="20"/>
                <w:szCs w:val="22"/>
              </w:rPr>
              <w:t>1. 生成内容的高阶推理能力不足</w:t>
            </w:r>
          </w:p>
          <w:p w14:paraId="59E4FC47">
            <w:pPr>
              <w:ind w:firstLine="0" w:firstLineChars="0"/>
              <w:jc w:val="center"/>
              <w:rPr>
                <w:rFonts w:hint="eastAsia" w:ascii="黑体" w:hAnsi="黑体" w:eastAsia="黑体"/>
                <w:sz w:val="20"/>
                <w:szCs w:val="22"/>
              </w:rPr>
            </w:pPr>
            <w:r>
              <w:rPr>
                <w:rFonts w:hint="eastAsia" w:ascii="黑体" w:hAnsi="黑体" w:eastAsia="黑体"/>
                <w:sz w:val="20"/>
                <w:szCs w:val="22"/>
              </w:rPr>
              <w:t>2. 输出与人类偏好错位</w:t>
            </w:r>
          </w:p>
        </w:tc>
        <w:tc>
          <w:tcPr>
            <w:tcW w:w="1930" w:type="dxa"/>
            <w:tcBorders>
              <w:top w:val="single" w:color="auto" w:sz="6" w:space="0"/>
              <w:left w:val="single" w:color="auto" w:sz="6" w:space="0"/>
              <w:bottom w:val="single" w:color="auto" w:sz="6" w:space="0"/>
              <w:right w:val="single" w:color="auto" w:sz="6" w:space="0"/>
            </w:tcBorders>
            <w:vAlign w:val="center"/>
          </w:tcPr>
          <w:p w14:paraId="40AF12EC">
            <w:pPr>
              <w:ind w:firstLine="0" w:firstLineChars="0"/>
              <w:jc w:val="center"/>
              <w:rPr>
                <w:rFonts w:hint="eastAsia" w:ascii="黑体" w:hAnsi="黑体" w:eastAsia="黑体"/>
                <w:sz w:val="20"/>
                <w:szCs w:val="22"/>
              </w:rPr>
            </w:pPr>
            <w:r>
              <w:rPr>
                <w:rFonts w:hint="eastAsia" w:ascii="黑体" w:hAnsi="黑体" w:eastAsia="黑体"/>
                <w:sz w:val="20"/>
                <w:szCs w:val="22"/>
              </w:rPr>
              <w:t>强化学习与自监督学习结合</w:t>
            </w:r>
          </w:p>
          <w:p w14:paraId="1775CD7D">
            <w:pPr>
              <w:ind w:firstLine="0" w:firstLineChars="0"/>
              <w:jc w:val="center"/>
              <w:rPr>
                <w:rFonts w:hint="eastAsia" w:ascii="黑体" w:hAnsi="黑体" w:eastAsia="黑体"/>
                <w:sz w:val="20"/>
                <w:szCs w:val="22"/>
              </w:rPr>
            </w:pPr>
            <w:r>
              <w:rPr>
                <w:rFonts w:hint="eastAsia" w:ascii="黑体" w:hAnsi="黑体" w:eastAsia="黑体"/>
                <w:sz w:val="20"/>
                <w:szCs w:val="22"/>
              </w:rPr>
              <w:t>基于人类反馈的强化学习（RLHF）</w:t>
            </w:r>
          </w:p>
          <w:p w14:paraId="1D590184">
            <w:pPr>
              <w:ind w:firstLine="0" w:firstLineChars="0"/>
              <w:jc w:val="center"/>
              <w:rPr>
                <w:rFonts w:hint="eastAsia" w:ascii="黑体" w:hAnsi="黑体" w:eastAsia="黑体"/>
                <w:sz w:val="20"/>
                <w:szCs w:val="22"/>
              </w:rPr>
            </w:pPr>
            <w:r>
              <w:rPr>
                <w:rFonts w:hint="eastAsia" w:ascii="黑体" w:hAnsi="黑体" w:eastAsia="黑体"/>
                <w:sz w:val="20"/>
                <w:szCs w:val="22"/>
              </w:rPr>
              <w:t>隐式过程奖励建模（PRIME）</w:t>
            </w:r>
          </w:p>
        </w:tc>
        <w:tc>
          <w:tcPr>
            <w:tcW w:w="1561" w:type="dxa"/>
            <w:tcBorders>
              <w:top w:val="single" w:color="auto" w:sz="6" w:space="0"/>
              <w:left w:val="single" w:color="auto" w:sz="6" w:space="0"/>
              <w:bottom w:val="single" w:color="auto" w:sz="6" w:space="0"/>
              <w:right w:val="single" w:color="auto" w:sz="6" w:space="0"/>
            </w:tcBorders>
            <w:vAlign w:val="center"/>
          </w:tcPr>
          <w:p w14:paraId="7A9BD4E7">
            <w:pPr>
              <w:ind w:firstLine="400"/>
              <w:jc w:val="left"/>
              <w:rPr>
                <w:rFonts w:hint="eastAsia" w:ascii="黑体" w:hAnsi="黑体" w:eastAsia="黑体"/>
                <w:sz w:val="20"/>
                <w:szCs w:val="22"/>
              </w:rPr>
            </w:pPr>
            <w:r>
              <w:rPr>
                <w:rFonts w:hint="eastAsia" w:ascii="黑体" w:hAnsi="黑体" w:eastAsia="黑体"/>
                <w:sz w:val="20"/>
                <w:szCs w:val="22"/>
              </w:rPr>
              <w:t>纯虚拟，基于大规模文本语料库，任务涉及多模态融合和复杂推理场景</w:t>
            </w:r>
          </w:p>
        </w:tc>
        <w:tc>
          <w:tcPr>
            <w:tcW w:w="1636" w:type="dxa"/>
            <w:tcBorders>
              <w:top w:val="single" w:color="auto" w:sz="6" w:space="0"/>
              <w:left w:val="single" w:color="auto" w:sz="6" w:space="0"/>
              <w:bottom w:val="single" w:color="auto" w:sz="6" w:space="0"/>
              <w:right w:val="single" w:color="auto" w:sz="6" w:space="0"/>
            </w:tcBorders>
            <w:vAlign w:val="center"/>
          </w:tcPr>
          <w:p w14:paraId="4743ABB6">
            <w:pPr>
              <w:ind w:firstLine="0" w:firstLineChars="0"/>
              <w:jc w:val="center"/>
              <w:rPr>
                <w:rFonts w:hint="eastAsia" w:ascii="黑体" w:hAnsi="黑体" w:eastAsia="黑体"/>
                <w:sz w:val="20"/>
                <w:szCs w:val="22"/>
              </w:rPr>
            </w:pPr>
            <w:r>
              <w:rPr>
                <w:rFonts w:hint="eastAsia" w:ascii="黑体" w:hAnsi="黑体" w:eastAsia="黑体"/>
                <w:sz w:val="20"/>
                <w:szCs w:val="22"/>
              </w:rPr>
              <w:t>大规模文本语料（如书籍、维基百科）</w:t>
            </w:r>
          </w:p>
          <w:p w14:paraId="0A1F4075">
            <w:pPr>
              <w:ind w:firstLine="0" w:firstLineChars="0"/>
              <w:jc w:val="center"/>
              <w:rPr>
                <w:rFonts w:hint="eastAsia" w:ascii="黑体" w:hAnsi="黑体" w:eastAsia="黑体"/>
                <w:sz w:val="20"/>
                <w:szCs w:val="22"/>
              </w:rPr>
            </w:pPr>
            <w:r>
              <w:rPr>
                <w:rFonts w:hint="eastAsia" w:ascii="黑体" w:hAnsi="黑体" w:eastAsia="黑体"/>
                <w:sz w:val="20"/>
                <w:szCs w:val="22"/>
              </w:rPr>
              <w:t>专家标注数据（偏好排序、任务反馈）</w:t>
            </w:r>
          </w:p>
        </w:tc>
      </w:tr>
      <w:tr w14:paraId="11C20C0F">
        <w:tblPrEx>
          <w:tblBorders>
            <w:top w:val="single" w:color="auto" w:sz="6" w:space="0"/>
            <w:left w:val="single" w:color="auto" w:sz="6" w:space="0"/>
            <w:bottom w:val="single" w:color="auto" w:sz="6" w:space="0"/>
            <w:right w:val="single" w:color="auto" w:sz="6" w:space="0"/>
            <w:insideH w:val="none" w:color="auto" w:sz="0" w:space="0"/>
            <w:insideV w:val="none" w:color="auto" w:sz="0" w:space="0"/>
          </w:tblBorders>
          <w:tblCellMar>
            <w:top w:w="15" w:type="dxa"/>
            <w:left w:w="15" w:type="dxa"/>
            <w:bottom w:w="15" w:type="dxa"/>
            <w:right w:w="15" w:type="dxa"/>
          </w:tblCellMar>
        </w:tblPrEx>
        <w:trPr>
          <w:trHeight w:val="624" w:hRule="atLeast"/>
          <w:jc w:val="center"/>
        </w:trPr>
        <w:tc>
          <w:tcPr>
            <w:tcW w:w="1578" w:type="dxa"/>
            <w:tcBorders>
              <w:top w:val="single" w:color="auto" w:sz="6" w:space="0"/>
              <w:left w:val="single" w:color="auto" w:sz="6" w:space="0"/>
              <w:bottom w:val="single" w:color="auto" w:sz="6" w:space="0"/>
              <w:right w:val="single" w:color="auto" w:sz="6" w:space="0"/>
            </w:tcBorders>
            <w:vAlign w:val="center"/>
          </w:tcPr>
          <w:p w14:paraId="3923220D">
            <w:pPr>
              <w:ind w:firstLine="400"/>
              <w:rPr>
                <w:rFonts w:hint="eastAsia" w:ascii="黑体" w:hAnsi="黑体" w:eastAsia="黑体"/>
                <w:sz w:val="20"/>
                <w:szCs w:val="22"/>
              </w:rPr>
            </w:pPr>
            <w:r>
              <w:rPr>
                <w:rFonts w:ascii="黑体" w:hAnsi="黑体" w:eastAsia="黑体"/>
                <w:sz w:val="20"/>
                <w:szCs w:val="22"/>
              </w:rPr>
              <w:t>游戏AI</w:t>
            </w:r>
          </w:p>
        </w:tc>
        <w:tc>
          <w:tcPr>
            <w:tcW w:w="1631" w:type="dxa"/>
            <w:tcBorders>
              <w:top w:val="single" w:color="auto" w:sz="6" w:space="0"/>
              <w:left w:val="single" w:color="auto" w:sz="6" w:space="0"/>
              <w:bottom w:val="single" w:color="auto" w:sz="6" w:space="0"/>
              <w:right w:val="single" w:color="auto" w:sz="6" w:space="0"/>
            </w:tcBorders>
            <w:vAlign w:val="center"/>
          </w:tcPr>
          <w:p w14:paraId="13DE2285">
            <w:pPr>
              <w:ind w:firstLine="0" w:firstLineChars="0"/>
              <w:jc w:val="center"/>
              <w:rPr>
                <w:rFonts w:hint="eastAsia" w:ascii="黑体" w:hAnsi="黑体" w:eastAsia="黑体"/>
                <w:sz w:val="20"/>
                <w:szCs w:val="22"/>
              </w:rPr>
            </w:pPr>
            <w:r>
              <w:rPr>
                <w:rFonts w:hint="eastAsia" w:ascii="黑体" w:hAnsi="黑体" w:eastAsia="黑体"/>
                <w:sz w:val="20"/>
                <w:szCs w:val="22"/>
              </w:rPr>
              <w:t>1. 复杂策略规划与多智能体协作</w:t>
            </w:r>
          </w:p>
          <w:p w14:paraId="4BDEFAF8">
            <w:pPr>
              <w:ind w:firstLine="0" w:firstLineChars="0"/>
              <w:jc w:val="center"/>
              <w:rPr>
                <w:rFonts w:hint="eastAsia" w:ascii="黑体" w:hAnsi="黑体" w:eastAsia="黑体"/>
                <w:sz w:val="20"/>
                <w:szCs w:val="22"/>
              </w:rPr>
            </w:pPr>
            <w:r>
              <w:rPr>
                <w:rFonts w:hint="eastAsia" w:ascii="黑体" w:hAnsi="黑体" w:eastAsia="黑体"/>
                <w:sz w:val="20"/>
                <w:szCs w:val="22"/>
              </w:rPr>
              <w:t>2. 不完美信息博弈中的推理与决策</w:t>
            </w:r>
          </w:p>
        </w:tc>
        <w:tc>
          <w:tcPr>
            <w:tcW w:w="1930" w:type="dxa"/>
            <w:tcBorders>
              <w:top w:val="single" w:color="auto" w:sz="6" w:space="0"/>
              <w:left w:val="single" w:color="auto" w:sz="6" w:space="0"/>
              <w:bottom w:val="single" w:color="auto" w:sz="6" w:space="0"/>
              <w:right w:val="single" w:color="auto" w:sz="6" w:space="0"/>
            </w:tcBorders>
            <w:vAlign w:val="center"/>
          </w:tcPr>
          <w:p w14:paraId="444ECDD7">
            <w:pPr>
              <w:widowControl/>
              <w:ind w:firstLine="0" w:firstLineChars="0"/>
              <w:jc w:val="center"/>
              <w:rPr>
                <w:rFonts w:hint="eastAsia" w:ascii="黑体" w:hAnsi="黑体" w:eastAsia="黑体"/>
                <w:sz w:val="20"/>
                <w:szCs w:val="22"/>
              </w:rPr>
            </w:pPr>
            <w:r>
              <w:rPr>
                <w:rFonts w:hint="eastAsia" w:ascii="黑体" w:hAnsi="黑体" w:eastAsia="黑体"/>
                <w:sz w:val="20"/>
                <w:szCs w:val="22"/>
              </w:rPr>
              <w:t>多智能体强化学习（MARL）</w:t>
            </w:r>
          </w:p>
          <w:p w14:paraId="1E3B9177">
            <w:pPr>
              <w:widowControl/>
              <w:ind w:firstLine="0" w:firstLineChars="0"/>
              <w:jc w:val="center"/>
              <w:rPr>
                <w:rFonts w:hint="eastAsia" w:ascii="黑体" w:hAnsi="黑体" w:eastAsia="黑体"/>
                <w:sz w:val="20"/>
                <w:szCs w:val="22"/>
              </w:rPr>
            </w:pPr>
            <w:r>
              <w:rPr>
                <w:rFonts w:hint="eastAsia" w:ascii="黑体" w:hAnsi="黑体" w:eastAsia="黑体"/>
                <w:sz w:val="20"/>
                <w:szCs w:val="22"/>
              </w:rPr>
              <w:t>深度Q网络（DQN）及其变体</w:t>
            </w:r>
          </w:p>
          <w:p w14:paraId="6E484C55">
            <w:pPr>
              <w:widowControl/>
              <w:ind w:firstLine="0" w:firstLineChars="0"/>
              <w:jc w:val="center"/>
              <w:rPr>
                <w:rFonts w:hint="eastAsia" w:ascii="黑体" w:hAnsi="黑体" w:eastAsia="黑体"/>
                <w:sz w:val="20"/>
                <w:szCs w:val="22"/>
              </w:rPr>
            </w:pPr>
            <w:r>
              <w:rPr>
                <w:rFonts w:hint="eastAsia" w:ascii="黑体" w:hAnsi="黑体" w:eastAsia="黑体"/>
                <w:sz w:val="20"/>
                <w:szCs w:val="22"/>
              </w:rPr>
              <w:t>基于模型的强化学习（如MuZero）</w:t>
            </w:r>
          </w:p>
        </w:tc>
        <w:tc>
          <w:tcPr>
            <w:tcW w:w="1561" w:type="dxa"/>
            <w:tcBorders>
              <w:top w:val="single" w:color="auto" w:sz="6" w:space="0"/>
              <w:left w:val="single" w:color="auto" w:sz="6" w:space="0"/>
              <w:bottom w:val="single" w:color="auto" w:sz="6" w:space="0"/>
              <w:right w:val="single" w:color="auto" w:sz="6" w:space="0"/>
            </w:tcBorders>
            <w:vAlign w:val="center"/>
          </w:tcPr>
          <w:p w14:paraId="66A54B5E">
            <w:pPr>
              <w:widowControl/>
              <w:ind w:firstLine="400"/>
              <w:jc w:val="left"/>
              <w:rPr>
                <w:rFonts w:hint="eastAsia" w:ascii="黑体" w:hAnsi="黑体" w:eastAsia="黑体" w:cs="宋体"/>
                <w:kern w:val="0"/>
                <w:sz w:val="20"/>
                <w:szCs w:val="22"/>
              </w:rPr>
            </w:pPr>
            <w:r>
              <w:rPr>
                <w:rFonts w:hint="eastAsia" w:ascii="黑体" w:hAnsi="黑体" w:eastAsia="黑体" w:cs="宋体"/>
                <w:kern w:val="0"/>
                <w:sz w:val="20"/>
                <w:szCs w:val="22"/>
              </w:rPr>
              <w:t>多为模拟，环境具有明确规则、动态交互性和部分可观测性，任务涉及长期规划和实时决策</w:t>
            </w:r>
          </w:p>
        </w:tc>
        <w:tc>
          <w:tcPr>
            <w:tcW w:w="1636" w:type="dxa"/>
            <w:tcBorders>
              <w:top w:val="single" w:color="auto" w:sz="6" w:space="0"/>
              <w:left w:val="single" w:color="auto" w:sz="6" w:space="0"/>
              <w:bottom w:val="single" w:color="auto" w:sz="6" w:space="0"/>
              <w:right w:val="single" w:color="auto" w:sz="6" w:space="0"/>
            </w:tcBorders>
            <w:vAlign w:val="center"/>
          </w:tcPr>
          <w:p w14:paraId="6E4943F7">
            <w:pPr>
              <w:widowControl/>
              <w:ind w:firstLine="0" w:firstLineChars="0"/>
              <w:jc w:val="center"/>
              <w:rPr>
                <w:rFonts w:hint="eastAsia" w:ascii="黑体" w:hAnsi="黑体" w:eastAsia="黑体" w:cs="宋体"/>
                <w:kern w:val="0"/>
                <w:sz w:val="20"/>
                <w:szCs w:val="22"/>
              </w:rPr>
            </w:pPr>
            <w:r>
              <w:rPr>
                <w:rFonts w:hint="eastAsia" w:ascii="黑体" w:hAnsi="黑体" w:eastAsia="黑体" w:cs="宋体"/>
                <w:kern w:val="0"/>
                <w:sz w:val="20"/>
                <w:szCs w:val="22"/>
              </w:rPr>
              <w:t>游戏引擎数据（如Unity、Unreal Engine）</w:t>
            </w:r>
          </w:p>
          <w:p w14:paraId="0BC14D60">
            <w:pPr>
              <w:widowControl/>
              <w:ind w:firstLine="0" w:firstLineChars="0"/>
              <w:jc w:val="center"/>
              <w:rPr>
                <w:rFonts w:hint="eastAsia" w:ascii="黑体" w:hAnsi="黑体" w:eastAsia="黑体" w:cs="宋体"/>
                <w:kern w:val="0"/>
                <w:sz w:val="20"/>
                <w:szCs w:val="22"/>
              </w:rPr>
            </w:pPr>
            <w:r>
              <w:rPr>
                <w:rFonts w:hint="eastAsia" w:ascii="黑体" w:hAnsi="黑体" w:eastAsia="黑体" w:cs="宋体"/>
                <w:kern w:val="0"/>
                <w:sz w:val="20"/>
                <w:szCs w:val="22"/>
              </w:rPr>
              <w:t>历史对局数据（如围棋棋谱、Dota 2对战记录）</w:t>
            </w:r>
            <w:commentRangeEnd w:id="39"/>
            <w:r>
              <w:commentReference w:id="39"/>
            </w:r>
          </w:p>
        </w:tc>
      </w:tr>
    </w:tbl>
    <w:p w14:paraId="5C55470E">
      <w:pPr>
        <w:ind w:firstLine="420"/>
      </w:pPr>
    </w:p>
    <w:p w14:paraId="19060F70">
      <w:pPr>
        <w:ind w:firstLine="420"/>
      </w:pPr>
      <w:commentRangeStart w:id="40"/>
      <w:commentRangeStart w:id="41"/>
      <w:r>
        <w:rPr>
          <w:rFonts w:hint="eastAsia"/>
        </w:rPr>
        <w:t>本文系统梳理了强化学习在机器人控制、无人驾驶、大语言模型及游戏AI四大领域的应用现状。综述表明，强化学习通过其交互试错的学习范式，已成为解决复杂序列决策问题的核心工具。在机器人控制中，它致力于提升机器人在不确定环境中的自主性与适应性；在无人驾驶领域，它为动态交通场景下的智能决策提供了新途径；在大语言模型中，其角色从偏好对齐深化为推理能力的塑造引擎；而在游戏AI中，则成功验证了其在复杂策略规划与多智能体协作中的卓越能力。</w:t>
      </w:r>
    </w:p>
    <w:commentRangeEnd w:id="40"/>
    <w:p w14:paraId="188B08F1">
      <w:pPr>
        <w:ind w:firstLine="420"/>
      </w:pPr>
      <w:r>
        <w:commentReference w:id="40"/>
      </w:r>
    </w:p>
    <w:p w14:paraId="28E2C371">
      <w:pPr>
        <w:ind w:firstLine="420"/>
      </w:pPr>
      <w:r>
        <w:rPr>
          <w:rFonts w:hint="eastAsia"/>
        </w:rPr>
        <w:t xml:space="preserve"> 尽管成果显著，强化学习的广泛应用仍面临共性挑战。样本效率低、训练成本高昂制约了其在物理世界中的部署；安全性、鲁棒性及决策过程的可解释性是其在高风险领域落地的关键瓶颈；此外，如何缩小仿真与现实的差距并实现向开放环境的有效泛化，仍是待解决的核心问题。</w:t>
      </w:r>
    </w:p>
    <w:p w14:paraId="1E70A13E">
      <w:pPr>
        <w:ind w:firstLine="420"/>
      </w:pPr>
    </w:p>
    <w:p w14:paraId="61E67D2C">
      <w:pPr>
        <w:ind w:firstLine="420"/>
      </w:pPr>
      <w:r>
        <w:rPr>
          <w:rFonts w:hint="eastAsia"/>
        </w:rPr>
        <w:t xml:space="preserve"> 展望未来，本领域研究将趋向于算法创新与跨技术融合。提升样本效率与训练稳定性、构建安全可靠的探索机制、增强模型的泛化能力将是重点方向。同时，强化学习与大语言模型的深度融合有望催生具备高阶推理能力的自主智能体；多智能体强化学习的发展将为解决复杂系统中的协同问题提供支撑。最终，随着理论与技术的不断突破，强化学习有望在科学研究、工业自动化等更广阔领域发挥变革性作用。</w:t>
      </w:r>
      <w:commentRangeEnd w:id="41"/>
      <w:r>
        <w:commentReference w:id="41"/>
      </w:r>
    </w:p>
    <w:p w14:paraId="7CE6ADB6">
      <w:pPr>
        <w:pStyle w:val="31"/>
        <w:spacing w:before="624" w:after="312" w:line="360" w:lineRule="auto"/>
      </w:pPr>
      <w:commentRangeStart w:id="42"/>
      <w:r>
        <w:rPr>
          <w:rFonts w:hint="eastAsia"/>
        </w:rPr>
        <w:t>参考文献</w:t>
      </w:r>
      <w:commentRangeEnd w:id="42"/>
      <w:r>
        <w:rPr>
          <w:rStyle w:val="20"/>
          <w:rFonts w:eastAsia="宋体"/>
        </w:rPr>
        <w:commentReference w:id="42"/>
      </w:r>
    </w:p>
    <w:p w14:paraId="1AB17C21">
      <w:pPr>
        <w:pStyle w:val="11"/>
        <w:snapToGrid w:val="0"/>
        <w:spacing w:line="360" w:lineRule="auto"/>
        <w:ind w:firstLine="0" w:firstLineChars="0"/>
        <w:rPr>
          <w:rFonts w:hint="eastAsia" w:asciiTheme="minorEastAsia" w:hAnsiTheme="minorEastAsia" w:eastAsiaTheme="minorEastAsia"/>
          <w:sz w:val="18"/>
          <w:szCs w:val="18"/>
        </w:rPr>
      </w:pPr>
      <w:r>
        <w:rPr>
          <w:rFonts w:asciiTheme="minorEastAsia" w:hAnsiTheme="minorEastAsia" w:eastAsiaTheme="minorEastAsia"/>
          <w:sz w:val="18"/>
          <w:szCs w:val="18"/>
        </w:rPr>
        <w:t>[1] Sutton R S, Barto A G. Reinforcement learning: An introduction[J]. 2018.</w:t>
      </w:r>
    </w:p>
    <w:p w14:paraId="7FC8148A">
      <w:pPr>
        <w:pStyle w:val="11"/>
        <w:snapToGrid w:val="0"/>
        <w:spacing w:line="360" w:lineRule="auto"/>
        <w:ind w:firstLine="0" w:firstLineChars="0"/>
        <w:rPr>
          <w:rFonts w:hint="eastAsia" w:asciiTheme="minorEastAsia" w:hAnsiTheme="minorEastAsia" w:eastAsiaTheme="minorEastAsia"/>
          <w:sz w:val="18"/>
          <w:szCs w:val="18"/>
        </w:rPr>
      </w:pPr>
      <w:r>
        <w:rPr>
          <w:rFonts w:asciiTheme="minorEastAsia" w:hAnsiTheme="minorEastAsia" w:eastAsiaTheme="minorEastAsia"/>
          <w:sz w:val="18"/>
          <w:szCs w:val="18"/>
        </w:rPr>
        <w:t>[</w:t>
      </w:r>
      <w:r>
        <w:rPr>
          <w:rFonts w:hint="eastAsia" w:asciiTheme="minorEastAsia" w:hAnsiTheme="minorEastAsia" w:eastAsiaTheme="minorEastAsia"/>
          <w:sz w:val="18"/>
          <w:szCs w:val="18"/>
        </w:rPr>
        <w:t>2</w:t>
      </w:r>
      <w:r>
        <w:rPr>
          <w:rFonts w:asciiTheme="minorEastAsia" w:hAnsiTheme="minorEastAsia" w:eastAsiaTheme="minorEastAsia"/>
          <w:sz w:val="18"/>
          <w:szCs w:val="18"/>
        </w:rPr>
        <w:t>] Lillicrap T P, et al. Continuous control with deep reinforcement learning[J]. arXiv preprint arXiv:1509.02971, 2015.</w:t>
      </w:r>
    </w:p>
    <w:p w14:paraId="10117DBC">
      <w:pPr>
        <w:pStyle w:val="11"/>
        <w:snapToGrid w:val="0"/>
        <w:spacing w:line="360" w:lineRule="auto"/>
        <w:ind w:firstLine="0" w:firstLineChars="0"/>
        <w:rPr>
          <w:rFonts w:hint="eastAsia" w:asciiTheme="minorEastAsia" w:hAnsiTheme="minorEastAsia" w:eastAsiaTheme="minorEastAsia"/>
          <w:sz w:val="18"/>
          <w:szCs w:val="18"/>
        </w:rPr>
      </w:pPr>
      <w:r>
        <w:rPr>
          <w:rFonts w:asciiTheme="minorEastAsia" w:hAnsiTheme="minorEastAsia" w:eastAsiaTheme="minorEastAsia"/>
          <w:sz w:val="18"/>
          <w:szCs w:val="18"/>
        </w:rPr>
        <w:t>[3] Schulman J, et al. Proximal policy optimization algorithms[J]. arXiv preprint arXiv:1707.06347, 2017.</w:t>
      </w:r>
    </w:p>
    <w:p w14:paraId="0A114E9F">
      <w:pPr>
        <w:pStyle w:val="11"/>
        <w:snapToGrid w:val="0"/>
        <w:spacing w:line="360" w:lineRule="auto"/>
        <w:ind w:firstLine="0" w:firstLineChars="0"/>
        <w:rPr>
          <w:rFonts w:hint="eastAsia" w:asciiTheme="minorEastAsia" w:hAnsiTheme="minorEastAsia" w:eastAsiaTheme="minorEastAsia"/>
          <w:sz w:val="18"/>
          <w:szCs w:val="18"/>
        </w:rPr>
      </w:pPr>
      <w:r>
        <w:rPr>
          <w:rFonts w:asciiTheme="minorEastAsia" w:hAnsiTheme="minorEastAsia" w:eastAsiaTheme="minorEastAsia"/>
          <w:sz w:val="18"/>
          <w:szCs w:val="18"/>
        </w:rPr>
        <w:t>[4] Haarnoja T, et al. Soft actor-critic: Off-policy maximum entropy deep reinforcement learning[J]. 2018.</w:t>
      </w:r>
    </w:p>
    <w:p w14:paraId="30DB6B43">
      <w:pPr>
        <w:pStyle w:val="11"/>
        <w:snapToGrid w:val="0"/>
        <w:spacing w:line="360" w:lineRule="auto"/>
        <w:ind w:firstLine="0" w:firstLineChars="0"/>
        <w:rPr>
          <w:rFonts w:hint="eastAsia" w:asciiTheme="minorEastAsia" w:hAnsiTheme="minorEastAsia" w:eastAsiaTheme="minorEastAsia"/>
          <w:sz w:val="18"/>
          <w:szCs w:val="18"/>
        </w:rPr>
      </w:pPr>
      <w:r>
        <w:rPr>
          <w:rFonts w:asciiTheme="minorEastAsia" w:hAnsiTheme="minorEastAsia" w:eastAsiaTheme="minorEastAsia"/>
          <w:sz w:val="18"/>
          <w:szCs w:val="18"/>
        </w:rPr>
        <w:t>[</w:t>
      </w:r>
      <w:r>
        <w:rPr>
          <w:rFonts w:hint="eastAsia" w:asciiTheme="minorEastAsia" w:hAnsiTheme="minorEastAsia" w:eastAsiaTheme="minorEastAsia"/>
          <w:sz w:val="18"/>
          <w:szCs w:val="18"/>
        </w:rPr>
        <w:t>5</w:t>
      </w:r>
      <w:r>
        <w:rPr>
          <w:rFonts w:asciiTheme="minorEastAsia" w:hAnsiTheme="minorEastAsia" w:eastAsiaTheme="minorEastAsia"/>
          <w:sz w:val="18"/>
          <w:szCs w:val="18"/>
        </w:rPr>
        <w:t>] Mnih V, et al. Human-level control through deep reinforcement learning[J]. Nature, 2015.</w:t>
      </w:r>
    </w:p>
    <w:p w14:paraId="434F21CE">
      <w:pPr>
        <w:pStyle w:val="11"/>
        <w:snapToGrid w:val="0"/>
        <w:spacing w:line="360" w:lineRule="auto"/>
        <w:ind w:firstLine="0" w:firstLineChars="0"/>
        <w:rPr>
          <w:rFonts w:hint="eastAsia" w:asciiTheme="minorEastAsia" w:hAnsiTheme="minorEastAsia" w:eastAsiaTheme="minorEastAsia"/>
          <w:sz w:val="18"/>
          <w:szCs w:val="18"/>
        </w:rPr>
      </w:pPr>
      <w:r>
        <w:rPr>
          <w:rFonts w:asciiTheme="minorEastAsia" w:hAnsiTheme="minorEastAsia" w:eastAsiaTheme="minorEastAsia"/>
          <w:sz w:val="18"/>
          <w:szCs w:val="18"/>
        </w:rPr>
        <w:t>[6] OpenAI, et al. Solving Rubik's Cube with a Robot Hand[J]. arXiv preprint arXiv:1910.07113, 2019.</w:t>
      </w:r>
    </w:p>
    <w:p w14:paraId="4DD0C748">
      <w:pPr>
        <w:pStyle w:val="11"/>
        <w:snapToGrid w:val="0"/>
        <w:spacing w:line="360" w:lineRule="auto"/>
        <w:ind w:firstLine="0" w:firstLineChars="0"/>
        <w:rPr>
          <w:rFonts w:hint="eastAsia" w:asciiTheme="minorEastAsia" w:hAnsiTheme="minorEastAsia" w:eastAsiaTheme="minorEastAsia"/>
          <w:sz w:val="18"/>
          <w:szCs w:val="18"/>
        </w:rPr>
      </w:pPr>
      <w:r>
        <w:rPr>
          <w:rFonts w:asciiTheme="minorEastAsia" w:hAnsiTheme="minorEastAsia" w:eastAsiaTheme="minorEastAsia"/>
          <w:sz w:val="18"/>
          <w:szCs w:val="18"/>
        </w:rPr>
        <w:t>[7] Tan J, et al. Sim-to-Real: Learning Agile Locomotion For Quadruped Robots[C]//Robotics: Science and Systems. 2018.</w:t>
      </w:r>
    </w:p>
    <w:p w14:paraId="5D7A0120">
      <w:pPr>
        <w:pStyle w:val="11"/>
        <w:snapToGrid w:val="0"/>
        <w:spacing w:line="360" w:lineRule="auto"/>
        <w:ind w:firstLine="0" w:firstLineChars="0"/>
        <w:rPr>
          <w:rFonts w:hint="eastAsia" w:asciiTheme="minorEastAsia" w:hAnsiTheme="minorEastAsia" w:eastAsiaTheme="minorEastAsia"/>
          <w:sz w:val="18"/>
          <w:szCs w:val="18"/>
        </w:rPr>
      </w:pPr>
      <w:r>
        <w:rPr>
          <w:rFonts w:asciiTheme="minorEastAsia" w:hAnsiTheme="minorEastAsia" w:eastAsiaTheme="minorEastAsia"/>
          <w:sz w:val="18"/>
          <w:szCs w:val="18"/>
        </w:rPr>
        <w:t>[8] Nagabandi A, et al. Neural Network Dynamics for Model-Based Deep Reinforcement Learning with Model-Free Fine-Tuning[C]//International Conference on Robotics and Automation. 2018.</w:t>
      </w:r>
    </w:p>
    <w:p w14:paraId="2C8A1F03">
      <w:pPr>
        <w:pStyle w:val="11"/>
        <w:snapToGrid w:val="0"/>
        <w:spacing w:line="360" w:lineRule="auto"/>
        <w:ind w:firstLine="0" w:firstLineChars="0"/>
        <w:rPr>
          <w:rFonts w:hint="eastAsia" w:asciiTheme="minorEastAsia" w:hAnsiTheme="minorEastAsia" w:eastAsiaTheme="minorEastAsia"/>
          <w:sz w:val="18"/>
          <w:szCs w:val="18"/>
        </w:rPr>
      </w:pPr>
      <w:r>
        <w:rPr>
          <w:rFonts w:asciiTheme="minorEastAsia" w:hAnsiTheme="minorEastAsia" w:eastAsiaTheme="minorEastAsia"/>
          <w:sz w:val="18"/>
          <w:szCs w:val="18"/>
        </w:rPr>
        <w:t>[9] Levine S, et al. Learning hand-eye coordination for robotic grasping with large-scale data collection[J]. The International Journal of Robotics Research, 2018.</w:t>
      </w:r>
    </w:p>
    <w:p w14:paraId="49D48FA1">
      <w:pPr>
        <w:pStyle w:val="11"/>
        <w:snapToGrid w:val="0"/>
        <w:spacing w:line="360" w:lineRule="auto"/>
        <w:ind w:firstLine="0" w:firstLineChars="0"/>
        <w:rPr>
          <w:rFonts w:hint="eastAsia" w:asciiTheme="minorEastAsia" w:hAnsiTheme="minorEastAsia" w:eastAsiaTheme="minorEastAsia"/>
          <w:sz w:val="18"/>
          <w:szCs w:val="18"/>
        </w:rPr>
      </w:pPr>
      <w:r>
        <w:rPr>
          <w:rFonts w:asciiTheme="minorEastAsia" w:hAnsiTheme="minorEastAsia" w:eastAsiaTheme="minorEastAsia"/>
          <w:sz w:val="18"/>
          <w:szCs w:val="18"/>
        </w:rPr>
        <w:t>[10] Levine S, et al. Offline reinforcement learning: Tutorial, review, and perspectives on open problems[J]. arXiv preprint arXiv:2005.01643, 2020.</w:t>
      </w:r>
    </w:p>
    <w:p w14:paraId="7A96EFA6">
      <w:pPr>
        <w:pStyle w:val="11"/>
        <w:snapToGrid w:val="0"/>
        <w:spacing w:line="360" w:lineRule="auto"/>
        <w:ind w:firstLine="0" w:firstLineChars="0"/>
        <w:rPr>
          <w:rFonts w:hint="eastAsia" w:asciiTheme="minorEastAsia" w:hAnsiTheme="minorEastAsia" w:eastAsiaTheme="minorEastAsia"/>
          <w:sz w:val="18"/>
          <w:szCs w:val="18"/>
        </w:rPr>
      </w:pPr>
      <w:r>
        <w:rPr>
          <w:rFonts w:hint="eastAsia" w:asciiTheme="minorEastAsia" w:hAnsiTheme="minorEastAsia" w:eastAsiaTheme="minorEastAsia"/>
          <w:sz w:val="18"/>
          <w:szCs w:val="18"/>
        </w:rPr>
        <w:t>[11] 刘全, 翟建伟, 章宗长, 等. 深度强化学习综述[J]. 计算机学报, 2019.</w:t>
      </w:r>
    </w:p>
    <w:p w14:paraId="0B749D2F">
      <w:pPr>
        <w:pStyle w:val="11"/>
        <w:snapToGrid w:val="0"/>
        <w:spacing w:line="360" w:lineRule="auto"/>
        <w:ind w:firstLine="0" w:firstLineChars="0"/>
        <w:rPr>
          <w:rFonts w:hint="eastAsia" w:asciiTheme="minorEastAsia" w:hAnsiTheme="minorEastAsia" w:eastAsiaTheme="minorEastAsia"/>
          <w:sz w:val="18"/>
          <w:szCs w:val="18"/>
        </w:rPr>
      </w:pPr>
      <w:r>
        <w:rPr>
          <w:rFonts w:hint="eastAsia" w:asciiTheme="minorEastAsia" w:hAnsiTheme="minorEastAsia" w:eastAsiaTheme="minorEastAsia"/>
          <w:sz w:val="18"/>
          <w:szCs w:val="18"/>
        </w:rPr>
        <w:t>[12] 张超凡, 赵明, 王贺升, 等. 从仿真到现实的机器人强化学习研究综述[J]. 机器人, 2021.</w:t>
      </w:r>
    </w:p>
    <w:p w14:paraId="13BEBA84">
      <w:pPr>
        <w:pStyle w:val="11"/>
        <w:snapToGrid w:val="0"/>
        <w:spacing w:line="360" w:lineRule="auto"/>
        <w:ind w:firstLine="0" w:firstLineChars="0"/>
        <w:rPr>
          <w:rFonts w:hint="eastAsia" w:asciiTheme="minorEastAsia" w:hAnsiTheme="minorEastAsia" w:eastAsiaTheme="minorEastAsia"/>
          <w:sz w:val="18"/>
          <w:szCs w:val="18"/>
        </w:rPr>
      </w:pPr>
      <w:r>
        <w:rPr>
          <w:rFonts w:hint="eastAsia" w:asciiTheme="minorEastAsia" w:hAnsiTheme="minorEastAsia" w:eastAsiaTheme="minorEastAsia"/>
          <w:sz w:val="18"/>
          <w:szCs w:val="18"/>
        </w:rPr>
        <w:t>[13] 李永福, 孙富春, 刘华平, 等. 基于分层强化学习的移动机器人导航[J]. 自动化学报, 2020.</w:t>
      </w:r>
    </w:p>
    <w:p w14:paraId="17061466">
      <w:pPr>
        <w:pStyle w:val="11"/>
        <w:snapToGrid w:val="0"/>
        <w:spacing w:line="360" w:lineRule="auto"/>
        <w:ind w:firstLine="0" w:firstLineChars="0"/>
        <w:rPr>
          <w:rFonts w:hint="eastAsia" w:asciiTheme="minorEastAsia" w:hAnsiTheme="minorEastAsia" w:eastAsiaTheme="minorEastAsia"/>
          <w:sz w:val="18"/>
          <w:szCs w:val="18"/>
        </w:rPr>
      </w:pPr>
      <w:r>
        <w:rPr>
          <w:rFonts w:hint="eastAsia" w:asciiTheme="minorEastAsia" w:hAnsiTheme="minorEastAsia" w:eastAsiaTheme="minorEastAsia"/>
          <w:sz w:val="18"/>
          <w:szCs w:val="18"/>
        </w:rPr>
        <w:t>[14] 徐俊, 赵忆文, 吴镇炜, 等. 基于生成对抗模仿学习的机械臂抓取技能获取[J]. 机器人, 2022.</w:t>
      </w:r>
    </w:p>
    <w:p w14:paraId="78DAC4D1">
      <w:pPr>
        <w:pStyle w:val="11"/>
        <w:snapToGrid w:val="0"/>
        <w:spacing w:line="360" w:lineRule="auto"/>
        <w:ind w:firstLine="0" w:firstLineChars="0"/>
        <w:rPr>
          <w:rFonts w:hint="eastAsia" w:asciiTheme="minorEastAsia" w:hAnsiTheme="minorEastAsia" w:eastAsiaTheme="minorEastAsia"/>
          <w:sz w:val="18"/>
          <w:szCs w:val="18"/>
        </w:rPr>
      </w:pPr>
      <w:r>
        <w:rPr>
          <w:rFonts w:hint="eastAsia" w:asciiTheme="minorEastAsia" w:hAnsiTheme="minorEastAsia" w:eastAsiaTheme="minorEastAsia"/>
          <w:sz w:val="18"/>
          <w:szCs w:val="18"/>
        </w:rPr>
        <w:t>[15] 陈致远, 周帆, 王醒策, 等. 安全强化学习：综述与展望[J]. 控制与决策, 2023.</w:t>
      </w:r>
      <w:r>
        <w:rPr>
          <w:rFonts w:asciiTheme="minorEastAsia" w:hAnsiTheme="minorEastAsia" w:eastAsiaTheme="minorEastAsia"/>
          <w:sz w:val="18"/>
          <w:szCs w:val="18"/>
        </w:rPr>
        <w:t xml:space="preserve"> </w:t>
      </w:r>
    </w:p>
    <w:p w14:paraId="54A512F4">
      <w:pPr>
        <w:pStyle w:val="11"/>
        <w:snapToGrid w:val="0"/>
        <w:spacing w:line="360" w:lineRule="auto"/>
        <w:ind w:firstLine="0" w:firstLineChars="0"/>
        <w:rPr>
          <w:rFonts w:hint="eastAsia" w:asciiTheme="minorEastAsia" w:hAnsiTheme="minorEastAsia" w:eastAsiaTheme="minorEastAsia"/>
          <w:sz w:val="18"/>
          <w:szCs w:val="18"/>
        </w:rPr>
      </w:pPr>
      <w:r>
        <w:rPr>
          <w:rFonts w:asciiTheme="minorEastAsia" w:hAnsiTheme="minorEastAsia" w:eastAsiaTheme="minorEastAsia"/>
          <w:sz w:val="18"/>
          <w:szCs w:val="18"/>
        </w:rPr>
        <w:t>[16] Zhu Z, Lin K, Jain A K, et al. Transfer learning in deep reinforcement learning: A survey[J]. IEEE Transactions on Pattern Analysis and Machine Intelligence, 2023, 45(11): 13344-13362.</w:t>
      </w:r>
    </w:p>
    <w:p w14:paraId="5BD4FBF9">
      <w:pPr>
        <w:pStyle w:val="11"/>
        <w:snapToGrid w:val="0"/>
        <w:spacing w:line="360" w:lineRule="auto"/>
        <w:ind w:firstLine="0" w:firstLineChars="0"/>
        <w:rPr>
          <w:rFonts w:hint="eastAsia" w:asciiTheme="minorEastAsia" w:hAnsiTheme="minorEastAsia" w:eastAsiaTheme="minorEastAsia"/>
          <w:sz w:val="18"/>
          <w:szCs w:val="18"/>
        </w:rPr>
      </w:pPr>
      <w:r>
        <w:rPr>
          <w:rFonts w:asciiTheme="minorEastAsia" w:hAnsiTheme="minorEastAsia" w:eastAsiaTheme="minorEastAsia"/>
          <w:sz w:val="18"/>
          <w:szCs w:val="18"/>
        </w:rPr>
        <w:t>[17] Le N, Rathour V S, Yamazaki K, et al. Deep reinforcement learning in computer vision: a comprehensive survey[J]. Artificial Intelligence Review, 2022, 55(4): 2733-2819.</w:t>
      </w:r>
    </w:p>
    <w:p w14:paraId="14D3576D">
      <w:pPr>
        <w:pStyle w:val="11"/>
        <w:snapToGrid w:val="0"/>
        <w:spacing w:line="360" w:lineRule="auto"/>
        <w:ind w:firstLine="0" w:firstLineChars="0"/>
        <w:rPr>
          <w:rFonts w:hint="eastAsia" w:asciiTheme="minorEastAsia" w:hAnsiTheme="minorEastAsia" w:eastAsiaTheme="minorEastAsia"/>
          <w:sz w:val="18"/>
          <w:szCs w:val="18"/>
        </w:rPr>
      </w:pPr>
      <w:r>
        <w:rPr>
          <w:rFonts w:asciiTheme="minorEastAsia" w:hAnsiTheme="minorEastAsia" w:eastAsiaTheme="minorEastAsia"/>
          <w:sz w:val="18"/>
          <w:szCs w:val="18"/>
        </w:rPr>
        <w:t>[18] Dzeroski S, De Raedt L, Driessens K. Relational reinforcement learning[J]. Machine Learning, 2001, 43(1): 7-52.</w:t>
      </w:r>
    </w:p>
    <w:p w14:paraId="0ACDAD85">
      <w:pPr>
        <w:pStyle w:val="11"/>
        <w:snapToGrid w:val="0"/>
        <w:spacing w:line="360" w:lineRule="auto"/>
        <w:ind w:firstLine="0" w:firstLineChars="0"/>
        <w:rPr>
          <w:rFonts w:hint="eastAsia" w:asciiTheme="minorEastAsia" w:hAnsiTheme="minorEastAsia" w:eastAsiaTheme="minorEastAsia"/>
          <w:sz w:val="18"/>
          <w:szCs w:val="18"/>
        </w:rPr>
      </w:pPr>
      <w:r>
        <w:rPr>
          <w:rFonts w:asciiTheme="minorEastAsia" w:hAnsiTheme="minorEastAsia" w:eastAsiaTheme="minorEastAsia"/>
          <w:sz w:val="18"/>
          <w:szCs w:val="18"/>
        </w:rPr>
        <w:t>[19] Le N, Rathour V S, Yamazaki K, et al. Deep reinforcement learning in computer vision: a comprehensive survey[J]. Artificial Intelligence Review, 2022, 55(4): 2733-2819.</w:t>
      </w:r>
    </w:p>
    <w:p w14:paraId="0F866E48">
      <w:pPr>
        <w:pStyle w:val="11"/>
        <w:snapToGrid w:val="0"/>
        <w:spacing w:line="360" w:lineRule="auto"/>
        <w:ind w:firstLine="0" w:firstLineChars="0"/>
        <w:rPr>
          <w:rFonts w:hint="eastAsia" w:asciiTheme="minorEastAsia" w:hAnsiTheme="minorEastAsia" w:eastAsiaTheme="minorEastAsia"/>
          <w:sz w:val="18"/>
          <w:szCs w:val="18"/>
        </w:rPr>
      </w:pPr>
      <w:r>
        <w:rPr>
          <w:rFonts w:asciiTheme="minorEastAsia" w:hAnsiTheme="minorEastAsia" w:eastAsiaTheme="minorEastAsia"/>
          <w:sz w:val="18"/>
          <w:szCs w:val="18"/>
        </w:rPr>
        <w:t>[20] Akers M, Barton A. Forming adversarial example attacks against deep neural networks with reinforcement learning[J]. Computer, 2024, 57(1): 88-99.</w:t>
      </w:r>
    </w:p>
    <w:p w14:paraId="33418504">
      <w:pPr>
        <w:pStyle w:val="11"/>
        <w:snapToGrid w:val="0"/>
        <w:spacing w:line="360" w:lineRule="auto"/>
        <w:ind w:firstLine="0" w:firstLineChars="0"/>
        <w:rPr>
          <w:rFonts w:hint="eastAsia" w:asciiTheme="minorEastAsia" w:hAnsiTheme="minorEastAsia" w:eastAsiaTheme="minorEastAsia"/>
          <w:sz w:val="18"/>
          <w:szCs w:val="18"/>
        </w:rPr>
      </w:pPr>
      <w:r>
        <w:rPr>
          <w:rFonts w:asciiTheme="minorEastAsia" w:hAnsiTheme="minorEastAsia" w:eastAsiaTheme="minorEastAsia"/>
          <w:sz w:val="18"/>
          <w:szCs w:val="18"/>
        </w:rPr>
        <w:t>[21] Lu S, Han S, Zhou W, et al. Recruitment-imitation mechanism for evolutionary reinforcement learning[J]. Information Sciences, 2021, 553: 172-188.</w:t>
      </w:r>
    </w:p>
    <w:p w14:paraId="7398C184">
      <w:pPr>
        <w:pStyle w:val="11"/>
        <w:snapToGrid w:val="0"/>
        <w:spacing w:line="360" w:lineRule="auto"/>
        <w:ind w:firstLine="0" w:firstLineChars="0"/>
        <w:rPr>
          <w:rFonts w:hint="eastAsia" w:asciiTheme="minorEastAsia" w:hAnsiTheme="minorEastAsia" w:eastAsiaTheme="minorEastAsia"/>
          <w:sz w:val="18"/>
          <w:szCs w:val="18"/>
        </w:rPr>
      </w:pPr>
      <w:r>
        <w:rPr>
          <w:rFonts w:asciiTheme="minorEastAsia" w:hAnsiTheme="minorEastAsia" w:eastAsiaTheme="minorEastAsia"/>
          <w:sz w:val="18"/>
          <w:szCs w:val="18"/>
        </w:rPr>
        <w:t>[22] Chen X, Wang S, McAuley J, et al. On the opportunities and challenges of offline reinforcement learning for recommender systems[J]. ACM Transactions on Information Systems, 2024, 42(6): 150.</w:t>
      </w:r>
    </w:p>
    <w:p w14:paraId="4644E7B4">
      <w:pPr>
        <w:pStyle w:val="11"/>
        <w:snapToGrid w:val="0"/>
        <w:spacing w:line="360" w:lineRule="auto"/>
        <w:ind w:firstLine="0" w:firstLineChars="0"/>
        <w:rPr>
          <w:rFonts w:hint="eastAsia" w:asciiTheme="minorEastAsia" w:hAnsiTheme="minorEastAsia" w:eastAsiaTheme="minorEastAsia"/>
          <w:sz w:val="18"/>
          <w:szCs w:val="18"/>
        </w:rPr>
      </w:pPr>
      <w:r>
        <w:rPr>
          <w:rFonts w:hint="eastAsia" w:asciiTheme="minorEastAsia" w:hAnsiTheme="minorEastAsia" w:eastAsiaTheme="minorEastAsia"/>
          <w:sz w:val="18"/>
          <w:szCs w:val="18"/>
        </w:rPr>
        <w:t>[23] 胡锐. 基于模仿学习的个性化自动驾驶决策算法研究[D]. 成都: 电子科技大学, 2025.</w:t>
      </w:r>
    </w:p>
    <w:p w14:paraId="5C79BCE1">
      <w:pPr>
        <w:pStyle w:val="11"/>
        <w:snapToGrid w:val="0"/>
        <w:spacing w:line="360" w:lineRule="auto"/>
        <w:ind w:firstLine="0" w:firstLineChars="0"/>
        <w:rPr>
          <w:rFonts w:hint="eastAsia" w:asciiTheme="minorEastAsia" w:hAnsiTheme="minorEastAsia" w:eastAsiaTheme="minorEastAsia"/>
          <w:sz w:val="18"/>
          <w:szCs w:val="18"/>
        </w:rPr>
      </w:pPr>
      <w:r>
        <w:rPr>
          <w:rFonts w:hint="eastAsia" w:asciiTheme="minorEastAsia" w:hAnsiTheme="minorEastAsia" w:eastAsiaTheme="minorEastAsia"/>
          <w:sz w:val="18"/>
          <w:szCs w:val="18"/>
        </w:rPr>
        <w:t>[24] 周瑞祥, 杨达, 祝俪菱. 基于物理信息强化学习的无人驾驶车辆跟驰控制模型[J]. 计算机应用研究, 2025, 42(06): 1691-1697.</w:t>
      </w:r>
    </w:p>
    <w:p w14:paraId="454FF16F">
      <w:pPr>
        <w:pStyle w:val="11"/>
        <w:snapToGrid w:val="0"/>
        <w:spacing w:line="360" w:lineRule="auto"/>
        <w:ind w:firstLine="0" w:firstLineChars="0"/>
        <w:rPr>
          <w:rFonts w:hint="eastAsia" w:asciiTheme="minorEastAsia" w:hAnsiTheme="minorEastAsia" w:eastAsiaTheme="minorEastAsia"/>
          <w:sz w:val="18"/>
          <w:szCs w:val="18"/>
        </w:rPr>
      </w:pPr>
      <w:r>
        <w:rPr>
          <w:rFonts w:hint="eastAsia" w:asciiTheme="minorEastAsia" w:hAnsiTheme="minorEastAsia" w:eastAsiaTheme="minorEastAsia"/>
          <w:sz w:val="18"/>
          <w:szCs w:val="18"/>
        </w:rPr>
        <w:t>[25] 郭海军. 无人驾驶汽车多目标跟踪与强化学习控制策略[J]. 汽车维修技师, 2025(04): 9-10.</w:t>
      </w:r>
    </w:p>
    <w:p w14:paraId="26EE062B">
      <w:pPr>
        <w:pStyle w:val="11"/>
        <w:snapToGrid w:val="0"/>
        <w:spacing w:line="360" w:lineRule="auto"/>
        <w:ind w:firstLine="0" w:firstLineChars="0"/>
        <w:rPr>
          <w:rFonts w:hint="eastAsia" w:asciiTheme="minorEastAsia" w:hAnsiTheme="minorEastAsia" w:eastAsiaTheme="minorEastAsia"/>
          <w:sz w:val="18"/>
          <w:szCs w:val="18"/>
        </w:rPr>
      </w:pPr>
      <w:r>
        <w:rPr>
          <w:rFonts w:hint="eastAsia" w:asciiTheme="minorEastAsia" w:hAnsiTheme="minorEastAsia" w:eastAsiaTheme="minorEastAsia"/>
          <w:sz w:val="18"/>
          <w:szCs w:val="18"/>
        </w:rPr>
        <w:t>[26] 郑磊, 何昱琪, 杨晶晶. 无人驾驶技术在环卫车领域中的应用研究[J]. 专用汽车, 2025(01): 71-73.</w:t>
      </w:r>
    </w:p>
    <w:p w14:paraId="146F671B">
      <w:pPr>
        <w:pStyle w:val="11"/>
        <w:snapToGrid w:val="0"/>
        <w:spacing w:line="360" w:lineRule="auto"/>
        <w:ind w:firstLine="0" w:firstLineChars="0"/>
        <w:rPr>
          <w:rFonts w:hint="eastAsia" w:asciiTheme="minorEastAsia" w:hAnsiTheme="minorEastAsia" w:eastAsiaTheme="minorEastAsia"/>
          <w:sz w:val="18"/>
          <w:szCs w:val="18"/>
        </w:rPr>
      </w:pPr>
      <w:r>
        <w:rPr>
          <w:rFonts w:hint="eastAsia" w:asciiTheme="minorEastAsia" w:hAnsiTheme="minorEastAsia" w:eastAsiaTheme="minorEastAsia"/>
          <w:sz w:val="18"/>
          <w:szCs w:val="18"/>
        </w:rPr>
        <w:t>[27] 张龙旭, 李子睿, 刘丛, 等. LQR引导下强化学习在大学生无人驾驶方程式赛车中的控制策略优化研究[C]//中国汽车工程学会年会论文集. 2024: 256-262.</w:t>
      </w:r>
    </w:p>
    <w:p w14:paraId="10D3353A">
      <w:pPr>
        <w:pStyle w:val="11"/>
        <w:snapToGrid w:val="0"/>
        <w:spacing w:line="360" w:lineRule="auto"/>
        <w:ind w:firstLine="0" w:firstLineChars="0"/>
        <w:rPr>
          <w:rFonts w:hint="eastAsia" w:asciiTheme="minorEastAsia" w:hAnsiTheme="minorEastAsia" w:eastAsiaTheme="minorEastAsia"/>
          <w:sz w:val="18"/>
          <w:szCs w:val="18"/>
        </w:rPr>
      </w:pPr>
      <w:r>
        <w:rPr>
          <w:rFonts w:hint="eastAsia" w:asciiTheme="minorEastAsia" w:hAnsiTheme="minorEastAsia" w:eastAsiaTheme="minorEastAsia"/>
          <w:sz w:val="18"/>
          <w:szCs w:val="18"/>
        </w:rPr>
        <w:t>[28] 赵天亮, 张小俊, 张明路, 等. 基于深度强化学习的无人驾驶路径规划研究[J]. 河北工业大学学报, 2024, 53(04): 21-30.</w:t>
      </w:r>
    </w:p>
    <w:p w14:paraId="11ADB150">
      <w:pPr>
        <w:pStyle w:val="11"/>
        <w:snapToGrid w:val="0"/>
        <w:spacing w:line="360" w:lineRule="auto"/>
        <w:ind w:firstLine="0" w:firstLineChars="0"/>
        <w:rPr>
          <w:rFonts w:hint="eastAsia" w:asciiTheme="minorEastAsia" w:hAnsiTheme="minorEastAsia" w:eastAsiaTheme="minorEastAsia"/>
          <w:sz w:val="18"/>
          <w:szCs w:val="18"/>
        </w:rPr>
      </w:pPr>
      <w:r>
        <w:rPr>
          <w:rFonts w:hint="eastAsia" w:asciiTheme="minorEastAsia" w:hAnsiTheme="minorEastAsia" w:eastAsiaTheme="minorEastAsia"/>
          <w:sz w:val="18"/>
          <w:szCs w:val="18"/>
        </w:rPr>
        <w:t>[29] 左如轩. 基于深度强化学习的无人自主小车自适应行车策略研究[D]. 西安: 西安理工大学, 2024.</w:t>
      </w:r>
    </w:p>
    <w:p w14:paraId="4F78093A">
      <w:pPr>
        <w:pStyle w:val="11"/>
        <w:snapToGrid w:val="0"/>
        <w:spacing w:line="360" w:lineRule="auto"/>
        <w:ind w:firstLine="0" w:firstLineChars="0"/>
        <w:rPr>
          <w:rFonts w:hint="eastAsia" w:asciiTheme="minorEastAsia" w:hAnsiTheme="minorEastAsia" w:eastAsiaTheme="minorEastAsia"/>
          <w:sz w:val="18"/>
          <w:szCs w:val="18"/>
        </w:rPr>
      </w:pPr>
      <w:r>
        <w:rPr>
          <w:rFonts w:hint="eastAsia" w:asciiTheme="minorEastAsia" w:hAnsiTheme="minorEastAsia" w:eastAsiaTheme="minorEastAsia"/>
          <w:sz w:val="18"/>
          <w:szCs w:val="18"/>
        </w:rPr>
        <w:t>[30] 辛泊言. 基于深度强化学习的自动驾驶决策算法研究[D]. 西安: 西安工业大学, 2024.</w:t>
      </w:r>
    </w:p>
    <w:p w14:paraId="3B1B22A5">
      <w:pPr>
        <w:pStyle w:val="11"/>
        <w:snapToGrid w:val="0"/>
        <w:spacing w:line="360" w:lineRule="auto"/>
        <w:ind w:firstLine="0" w:firstLineChars="0"/>
        <w:rPr>
          <w:rFonts w:hint="eastAsia"/>
          <w:sz w:val="18"/>
          <w:szCs w:val="18"/>
        </w:rPr>
      </w:pPr>
      <w:r>
        <w:rPr>
          <w:rFonts w:hint="eastAsia"/>
          <w:sz w:val="18"/>
          <w:szCs w:val="18"/>
        </w:rPr>
        <w:t>[</w:t>
      </w:r>
      <w:r>
        <w:rPr>
          <w:sz w:val="18"/>
          <w:szCs w:val="18"/>
        </w:rPr>
        <w:t>3</w:t>
      </w:r>
      <w:r>
        <w:rPr>
          <w:rFonts w:hint="eastAsia"/>
          <w:sz w:val="18"/>
          <w:szCs w:val="18"/>
        </w:rPr>
        <w:t xml:space="preserve">1] 钱力, 刘熠, 张智雄, 等. ChatGPT的技术基础分析[J]. 数据分析与知识发现, 2023, 7(03): 6-15. </w:t>
      </w:r>
    </w:p>
    <w:p w14:paraId="1B0CE8C3">
      <w:pPr>
        <w:pStyle w:val="11"/>
        <w:snapToGrid w:val="0"/>
        <w:spacing w:line="360" w:lineRule="auto"/>
        <w:ind w:firstLine="0" w:firstLineChars="0"/>
        <w:rPr>
          <w:rFonts w:hint="eastAsia"/>
          <w:sz w:val="18"/>
          <w:szCs w:val="18"/>
        </w:rPr>
      </w:pPr>
      <w:r>
        <w:rPr>
          <w:rFonts w:hint="eastAsia"/>
          <w:sz w:val="18"/>
          <w:szCs w:val="18"/>
        </w:rPr>
        <w:t>[3</w:t>
      </w:r>
      <w:r>
        <w:rPr>
          <w:sz w:val="18"/>
          <w:szCs w:val="18"/>
        </w:rPr>
        <w:t>2</w:t>
      </w:r>
      <w:r>
        <w:rPr>
          <w:rFonts w:hint="eastAsia"/>
          <w:sz w:val="18"/>
          <w:szCs w:val="18"/>
        </w:rPr>
        <w:t>] 白辰甲, 许华哲, 李学龙. 大模型驱动的具身智能: 发展与挑战[J]. 中国科学: 信息科学, 2024, 54(09): 2035-2082.</w:t>
      </w:r>
    </w:p>
    <w:p w14:paraId="594A4BFE">
      <w:pPr>
        <w:pStyle w:val="11"/>
        <w:snapToGrid w:val="0"/>
        <w:spacing w:line="360" w:lineRule="auto"/>
        <w:ind w:firstLine="0" w:firstLineChars="0"/>
        <w:rPr>
          <w:rFonts w:hint="eastAsia"/>
          <w:sz w:val="18"/>
          <w:szCs w:val="18"/>
        </w:rPr>
      </w:pPr>
      <w:r>
        <w:rPr>
          <w:rFonts w:hint="eastAsia"/>
          <w:sz w:val="18"/>
          <w:szCs w:val="18"/>
        </w:rPr>
        <w:t>[33] 张慧敏. DeepSeek-R1是怎样炼成的？[J]. 深圳大学学报(理工版), 2025, 42(02): 226-232.</w:t>
      </w:r>
    </w:p>
    <w:p w14:paraId="1252303C">
      <w:pPr>
        <w:pStyle w:val="11"/>
        <w:snapToGrid w:val="0"/>
        <w:spacing w:line="360" w:lineRule="auto"/>
        <w:ind w:firstLine="0" w:firstLineChars="0"/>
        <w:rPr>
          <w:rFonts w:hint="eastAsia"/>
          <w:sz w:val="18"/>
          <w:szCs w:val="18"/>
        </w:rPr>
      </w:pPr>
      <w:r>
        <w:rPr>
          <w:rFonts w:hint="eastAsia"/>
          <w:sz w:val="18"/>
          <w:szCs w:val="18"/>
        </w:rPr>
        <w:t>[</w:t>
      </w:r>
      <w:r>
        <w:rPr>
          <w:sz w:val="18"/>
          <w:szCs w:val="18"/>
        </w:rPr>
        <w:t>34</w:t>
      </w:r>
      <w:r>
        <w:rPr>
          <w:rFonts w:hint="eastAsia"/>
          <w:sz w:val="18"/>
          <w:szCs w:val="18"/>
        </w:rPr>
        <w:t>] 张夏恒, 马妍. 生成式人工智能技术赋能新质生产力涌现：价值意蕴、运行机理与实践路径[J]. 电子政务, 2024(04): 17-25.</w:t>
      </w:r>
      <w:r>
        <w:rPr>
          <w:sz w:val="18"/>
          <w:szCs w:val="18"/>
        </w:rPr>
        <w:t xml:space="preserve"> </w:t>
      </w:r>
    </w:p>
    <w:p w14:paraId="761122EB">
      <w:pPr>
        <w:pStyle w:val="11"/>
        <w:snapToGrid w:val="0"/>
        <w:spacing w:line="360" w:lineRule="auto"/>
        <w:ind w:firstLine="0" w:firstLineChars="0"/>
        <w:rPr>
          <w:rFonts w:hint="eastAsia"/>
          <w:sz w:val="18"/>
          <w:szCs w:val="18"/>
        </w:rPr>
      </w:pPr>
      <w:r>
        <w:rPr>
          <w:sz w:val="18"/>
          <w:szCs w:val="18"/>
        </w:rPr>
        <w:t>[35] Cui G, Yuan L, Wang Z, et al. Process Reinforcement through Implicit Rewards[J]. arXiv preprint arXiv:2502.01456, 2025.</w:t>
      </w:r>
    </w:p>
    <w:p w14:paraId="0A758943">
      <w:pPr>
        <w:pStyle w:val="11"/>
        <w:snapToGrid w:val="0"/>
        <w:spacing w:line="360" w:lineRule="auto"/>
        <w:ind w:firstLine="0" w:firstLineChars="0"/>
        <w:rPr>
          <w:rFonts w:hint="eastAsia"/>
          <w:sz w:val="18"/>
          <w:szCs w:val="18"/>
        </w:rPr>
      </w:pPr>
      <w:r>
        <w:rPr>
          <w:sz w:val="18"/>
          <w:szCs w:val="18"/>
        </w:rPr>
        <w:t>[36] Du D, Liu S, Yang T, et al. UloRL: An Ultra-Long Output Reinforcement Learning Approach for Advancing Large Language Models' Reasoning Abilities[J]. arXiv preprint arXiv:2507.19766, 2025.</w:t>
      </w:r>
    </w:p>
    <w:p w14:paraId="5A1F746E">
      <w:pPr>
        <w:pStyle w:val="11"/>
        <w:snapToGrid w:val="0"/>
        <w:spacing w:line="360" w:lineRule="auto"/>
        <w:ind w:firstLine="0" w:firstLineChars="0"/>
        <w:rPr>
          <w:rFonts w:hint="eastAsia"/>
          <w:sz w:val="18"/>
          <w:szCs w:val="18"/>
        </w:rPr>
      </w:pPr>
      <w:r>
        <w:rPr>
          <w:sz w:val="18"/>
          <w:szCs w:val="18"/>
        </w:rPr>
        <w:t>[37] DeepSeek-AI, Guo D, Yang D, et al. DeepSeek-R1: Incentivizing Reasoning Capability in LLMs via Reinforcement Learning[J]. arXiv preprint arXiv:2501.12948, 2025.</w:t>
      </w:r>
    </w:p>
    <w:p w14:paraId="03C2766F">
      <w:pPr>
        <w:pStyle w:val="11"/>
        <w:snapToGrid w:val="0"/>
        <w:spacing w:line="360" w:lineRule="auto"/>
        <w:ind w:firstLine="0" w:firstLineChars="0"/>
        <w:rPr>
          <w:rFonts w:hint="eastAsia"/>
          <w:sz w:val="18"/>
          <w:szCs w:val="18"/>
        </w:rPr>
      </w:pPr>
      <w:r>
        <w:rPr>
          <w:rFonts w:hint="eastAsia"/>
          <w:sz w:val="18"/>
          <w:szCs w:val="18"/>
        </w:rPr>
        <w:t>[</w:t>
      </w:r>
      <w:r>
        <w:rPr>
          <w:sz w:val="18"/>
          <w:szCs w:val="18"/>
        </w:rPr>
        <w:t>38</w:t>
      </w:r>
      <w:r>
        <w:rPr>
          <w:rFonts w:hint="eastAsia"/>
          <w:sz w:val="18"/>
          <w:szCs w:val="18"/>
        </w:rPr>
        <w:t>] 谷学强, 罗俊仁, 周棪忠, 等. 智能博弈决策大模型智能体技术综述[J]. 系统仿真学报, 2025, 37(05): 1142-1157.</w:t>
      </w:r>
    </w:p>
    <w:p w14:paraId="564624F7">
      <w:pPr>
        <w:widowControl/>
        <w:ind w:firstLine="360"/>
        <w:jc w:val="left"/>
        <w:rPr>
          <w:rFonts w:hint="eastAsia" w:ascii="宋体" w:hAnsi="宋体" w:cs="Arial"/>
          <w:color w:val="1F2329"/>
          <w:kern w:val="0"/>
          <w:sz w:val="18"/>
          <w:szCs w:val="18"/>
          <w:shd w:val="clear" w:color="auto" w:fill="FFFFFF"/>
        </w:rPr>
      </w:pPr>
      <w:r>
        <w:rPr>
          <w:rFonts w:ascii="宋体" w:hAnsi="宋体" w:cs="Arial"/>
          <w:color w:val="1F2329"/>
          <w:kern w:val="0"/>
          <w:sz w:val="18"/>
          <w:szCs w:val="18"/>
          <w:shd w:val="clear" w:color="auto" w:fill="FFFFFF"/>
        </w:rPr>
        <w:t xml:space="preserve">[39]张汝波,顾国昌,刘照德,等.强化学习理论、算法及应用[J].控制理论与应用,2000,(05):637-642.DOI:CNKI:SUN:KZLY.0.2000-05-001. </w:t>
      </w:r>
    </w:p>
    <w:p w14:paraId="5C04EAC0">
      <w:pPr>
        <w:pStyle w:val="11"/>
        <w:snapToGrid w:val="0"/>
        <w:spacing w:line="360" w:lineRule="auto"/>
        <w:ind w:firstLine="0" w:firstLineChars="0"/>
        <w:rPr>
          <w:rFonts w:hint="eastAsia"/>
          <w:sz w:val="18"/>
          <w:szCs w:val="18"/>
        </w:rPr>
      </w:pPr>
      <w:r>
        <w:rPr>
          <w:rFonts w:hint="eastAsia"/>
          <w:sz w:val="18"/>
          <w:szCs w:val="18"/>
        </w:rPr>
        <w:t>[</w:t>
      </w:r>
      <w:r>
        <w:rPr>
          <w:sz w:val="18"/>
          <w:szCs w:val="18"/>
        </w:rPr>
        <w:t>40</w:t>
      </w:r>
      <w:r>
        <w:rPr>
          <w:rFonts w:hint="eastAsia"/>
          <w:sz w:val="18"/>
          <w:szCs w:val="18"/>
        </w:rPr>
        <w:t>] 高阳, 陈世福, 陆鑫. 强化学习研究综述[J]. 自动化学报, 2004(01): 86-100.</w:t>
      </w:r>
    </w:p>
    <w:p w14:paraId="43AEAB7B">
      <w:pPr>
        <w:pStyle w:val="11"/>
        <w:snapToGrid w:val="0"/>
        <w:spacing w:line="360" w:lineRule="auto"/>
        <w:ind w:firstLine="0" w:firstLineChars="0"/>
        <w:rPr>
          <w:rFonts w:hint="eastAsia"/>
          <w:sz w:val="18"/>
          <w:szCs w:val="18"/>
        </w:rPr>
      </w:pPr>
      <w:r>
        <w:rPr>
          <w:rFonts w:hint="eastAsia"/>
          <w:sz w:val="18"/>
          <w:szCs w:val="18"/>
        </w:rPr>
        <w:t>[</w:t>
      </w:r>
      <w:r>
        <w:rPr>
          <w:sz w:val="18"/>
          <w:szCs w:val="18"/>
        </w:rPr>
        <w:t>41</w:t>
      </w:r>
      <w:r>
        <w:rPr>
          <w:rFonts w:hint="eastAsia"/>
          <w:sz w:val="18"/>
          <w:szCs w:val="18"/>
        </w:rPr>
        <w:t>] 黄炳强. 强化学习方法及其应用研究[D]. 上海: 上海交通大学, 2007.</w:t>
      </w:r>
    </w:p>
    <w:p w14:paraId="1EF55E75">
      <w:pPr>
        <w:pStyle w:val="11"/>
        <w:snapToGrid w:val="0"/>
        <w:spacing w:line="360" w:lineRule="auto"/>
        <w:ind w:firstLine="0" w:firstLineChars="0"/>
        <w:rPr>
          <w:rFonts w:hint="eastAsia"/>
          <w:sz w:val="18"/>
          <w:szCs w:val="18"/>
        </w:rPr>
      </w:pPr>
      <w:r>
        <w:rPr>
          <w:rFonts w:hint="eastAsia"/>
          <w:sz w:val="18"/>
          <w:szCs w:val="18"/>
        </w:rPr>
        <w:t>[4</w:t>
      </w:r>
      <w:r>
        <w:rPr>
          <w:sz w:val="18"/>
          <w:szCs w:val="18"/>
        </w:rPr>
        <w:t>2</w:t>
      </w:r>
      <w:r>
        <w:rPr>
          <w:rFonts w:hint="eastAsia"/>
          <w:sz w:val="18"/>
          <w:szCs w:val="18"/>
        </w:rPr>
        <w:t>] 罗文, 王厚峰. 大语言模型评测综述[J]. 中文信息学报, 2024, 38(01): 1-23.</w:t>
      </w:r>
    </w:p>
    <w:p w14:paraId="46358100">
      <w:pPr>
        <w:pStyle w:val="11"/>
        <w:snapToGrid w:val="0"/>
        <w:spacing w:line="360" w:lineRule="auto"/>
        <w:ind w:firstLine="0" w:firstLineChars="0"/>
        <w:rPr>
          <w:rFonts w:hint="eastAsia"/>
          <w:sz w:val="18"/>
          <w:szCs w:val="18"/>
        </w:rPr>
      </w:pPr>
      <w:r>
        <w:rPr>
          <w:rFonts w:hint="eastAsia"/>
          <w:sz w:val="18"/>
          <w:szCs w:val="18"/>
        </w:rPr>
        <w:t>[43] 罗锦钊, 孙玉龙, 钱增志, 等. 人工智能大模型综述及展望[J]. 无线电工程, 2023, 53(11): 2461-2472.</w:t>
      </w:r>
    </w:p>
    <w:p w14:paraId="0DA2B651">
      <w:pPr>
        <w:pStyle w:val="11"/>
        <w:snapToGrid w:val="0"/>
        <w:spacing w:line="360" w:lineRule="auto"/>
        <w:ind w:firstLine="0" w:firstLineChars="0"/>
        <w:rPr>
          <w:rFonts w:hint="eastAsia"/>
          <w:sz w:val="18"/>
          <w:szCs w:val="18"/>
        </w:rPr>
      </w:pPr>
      <w:r>
        <w:rPr>
          <w:rFonts w:hint="eastAsia"/>
          <w:sz w:val="18"/>
          <w:szCs w:val="18"/>
        </w:rPr>
        <w:t>[</w:t>
      </w:r>
      <w:r>
        <w:rPr>
          <w:sz w:val="18"/>
          <w:szCs w:val="18"/>
        </w:rPr>
        <w:t>44</w:t>
      </w:r>
      <w:r>
        <w:rPr>
          <w:rFonts w:hint="eastAsia"/>
          <w:sz w:val="18"/>
          <w:szCs w:val="18"/>
        </w:rPr>
        <w:t>] 王文奇, 郭梦帆, 杨杜祥, 等. 大语言模型发展与应用综述[J]. 中原工学院学报, 2025, 36(02): 1-8.</w:t>
      </w:r>
    </w:p>
    <w:p w14:paraId="363908AF">
      <w:pPr>
        <w:pStyle w:val="11"/>
        <w:snapToGrid w:val="0"/>
        <w:spacing w:line="360" w:lineRule="auto"/>
        <w:ind w:firstLine="0" w:firstLineChars="0"/>
        <w:rPr>
          <w:rFonts w:hint="eastAsia"/>
          <w:sz w:val="18"/>
          <w:szCs w:val="18"/>
        </w:rPr>
      </w:pPr>
      <w:r>
        <w:rPr>
          <w:rFonts w:hint="eastAsia"/>
          <w:sz w:val="18"/>
          <w:szCs w:val="18"/>
        </w:rPr>
        <w:t>[45] 闫啸彤, 唐晓彬, 沈童, 等. 大语言模型发展综述[J]. 统计学报, 2024, 5(04): 13-18.</w:t>
      </w:r>
    </w:p>
    <w:p w14:paraId="1CF23B2E">
      <w:pPr>
        <w:pStyle w:val="11"/>
        <w:snapToGrid w:val="0"/>
        <w:spacing w:line="360" w:lineRule="auto"/>
        <w:ind w:firstLine="0" w:firstLineChars="0"/>
        <w:rPr>
          <w:rFonts w:hint="eastAsia" w:asciiTheme="minorEastAsia" w:hAnsiTheme="minorEastAsia" w:eastAsiaTheme="minorEastAsia"/>
          <w:sz w:val="18"/>
          <w:szCs w:val="18"/>
        </w:rPr>
      </w:pPr>
      <w:r>
        <w:rPr>
          <w:rFonts w:hint="eastAsia" w:asciiTheme="minorEastAsia" w:hAnsiTheme="minorEastAsia" w:eastAsiaTheme="minorEastAsia"/>
          <w:sz w:val="18"/>
          <w:szCs w:val="18"/>
        </w:rPr>
        <w:t>[46] 李宇翔, 王凯, 王瑾. AlphaStar：深度强化学习在星际争霸II中的应用[J]. 人工智能与机器人研究, 2020, 9(6): 34-43.</w:t>
      </w:r>
    </w:p>
    <w:p w14:paraId="13D514C0">
      <w:pPr>
        <w:pStyle w:val="11"/>
        <w:snapToGrid w:val="0"/>
        <w:spacing w:line="360" w:lineRule="auto"/>
        <w:ind w:firstLine="0" w:firstLineChars="0"/>
        <w:rPr>
          <w:rFonts w:hint="eastAsia" w:asciiTheme="minorEastAsia" w:hAnsiTheme="minorEastAsia" w:eastAsiaTheme="minorEastAsia"/>
          <w:sz w:val="18"/>
          <w:szCs w:val="18"/>
        </w:rPr>
      </w:pPr>
      <w:r>
        <w:rPr>
          <w:rFonts w:asciiTheme="minorEastAsia" w:hAnsiTheme="minorEastAsia" w:eastAsiaTheme="minorEastAsia"/>
          <w:sz w:val="18"/>
          <w:szCs w:val="18"/>
        </w:rPr>
        <w:t>[47] Silver D, Huang A, Maddison C J, et al. Mastering the game of Go with deep neural networks and tree search[J]. Nature, 2016, 529(7587): 484-489.</w:t>
      </w:r>
    </w:p>
    <w:p w14:paraId="7089D6B3">
      <w:pPr>
        <w:pStyle w:val="11"/>
        <w:snapToGrid w:val="0"/>
        <w:spacing w:line="360" w:lineRule="auto"/>
        <w:ind w:firstLine="0" w:firstLineChars="0"/>
        <w:rPr>
          <w:rFonts w:hint="eastAsia" w:asciiTheme="minorEastAsia" w:hAnsiTheme="minorEastAsia" w:eastAsiaTheme="minorEastAsia"/>
          <w:sz w:val="18"/>
          <w:szCs w:val="18"/>
        </w:rPr>
      </w:pPr>
      <w:r>
        <w:rPr>
          <w:rFonts w:asciiTheme="minorEastAsia" w:hAnsiTheme="minorEastAsia" w:eastAsiaTheme="minorEastAsia"/>
          <w:sz w:val="18"/>
          <w:szCs w:val="18"/>
        </w:rPr>
        <w:t>[48] Silver D, Schrittwieser J, Simonyan K, et al. Mastering the game of Go without human knowledge[J]. Nature, 2017, 550(7676): 354-359.</w:t>
      </w:r>
    </w:p>
    <w:p w14:paraId="72FE7FC5">
      <w:pPr>
        <w:pStyle w:val="11"/>
        <w:snapToGrid w:val="0"/>
        <w:spacing w:line="360" w:lineRule="auto"/>
        <w:ind w:firstLine="0" w:firstLineChars="0"/>
        <w:rPr>
          <w:rFonts w:hint="eastAsia" w:asciiTheme="minorEastAsia" w:hAnsiTheme="minorEastAsia" w:eastAsiaTheme="minorEastAsia"/>
          <w:sz w:val="18"/>
          <w:szCs w:val="18"/>
        </w:rPr>
      </w:pPr>
      <w:r>
        <w:rPr>
          <w:rFonts w:asciiTheme="minorEastAsia" w:hAnsiTheme="minorEastAsia" w:eastAsiaTheme="minorEastAsia"/>
          <w:sz w:val="18"/>
          <w:szCs w:val="18"/>
        </w:rPr>
        <w:t>[49] Vinyals O, Babuschkin I, Czarnecki W M, et al. Grandmaster level in StarCraft II using multi-agent reinforcement learning[J]. Nature, 2019, 575(7782): 350-354.</w:t>
      </w:r>
    </w:p>
    <w:p w14:paraId="28789464">
      <w:pPr>
        <w:pStyle w:val="11"/>
        <w:snapToGrid w:val="0"/>
        <w:spacing w:line="360" w:lineRule="auto"/>
        <w:ind w:firstLine="0" w:firstLineChars="0"/>
        <w:rPr>
          <w:rFonts w:hint="eastAsia" w:asciiTheme="minorEastAsia" w:hAnsiTheme="minorEastAsia" w:eastAsiaTheme="minorEastAsia"/>
          <w:sz w:val="18"/>
          <w:szCs w:val="18"/>
        </w:rPr>
      </w:pPr>
      <w:r>
        <w:rPr>
          <w:rFonts w:asciiTheme="minorEastAsia" w:hAnsiTheme="minorEastAsia" w:eastAsiaTheme="minorEastAsia"/>
          <w:sz w:val="18"/>
          <w:szCs w:val="18"/>
        </w:rPr>
        <w:t>[50] Johanson M, Johanson L, Zinkevich M. Game-theoretic deep learning for imperfect-information games[C]//Proceedings of the 26th Annual Conference on Neural Information Processing Systems (NeurIPS). 2010.</w:t>
      </w:r>
    </w:p>
    <w:p w14:paraId="34E1827E">
      <w:pPr>
        <w:pStyle w:val="11"/>
        <w:snapToGrid w:val="0"/>
        <w:spacing w:line="360" w:lineRule="auto"/>
        <w:ind w:firstLine="0" w:firstLineChars="0"/>
        <w:rPr>
          <w:rFonts w:hint="eastAsia" w:asciiTheme="minorEastAsia" w:hAnsiTheme="minorEastAsia" w:eastAsiaTheme="minorEastAsia"/>
          <w:sz w:val="18"/>
          <w:szCs w:val="18"/>
        </w:rPr>
      </w:pPr>
      <w:r>
        <w:rPr>
          <w:rFonts w:asciiTheme="minorEastAsia" w:hAnsiTheme="minorEastAsia" w:eastAsiaTheme="minorEastAsia"/>
          <w:sz w:val="18"/>
          <w:szCs w:val="18"/>
        </w:rPr>
        <w:t>[51] Mnih V, Kavukcuoglu K, Silver D, et al. Human-level control through deep reinforcement learning[J]. Nature, 2015, 518(7540): 529-533.</w:t>
      </w:r>
    </w:p>
    <w:p w14:paraId="4A57DE29">
      <w:pPr>
        <w:pStyle w:val="11"/>
        <w:snapToGrid w:val="0"/>
        <w:spacing w:line="360" w:lineRule="auto"/>
        <w:ind w:firstLine="0" w:firstLineChars="0"/>
        <w:rPr>
          <w:rFonts w:hint="eastAsia" w:asciiTheme="minorEastAsia" w:hAnsiTheme="minorEastAsia" w:eastAsiaTheme="minorEastAsia"/>
          <w:sz w:val="18"/>
          <w:szCs w:val="18"/>
        </w:rPr>
      </w:pPr>
      <w:r>
        <w:rPr>
          <w:rFonts w:asciiTheme="minorEastAsia" w:hAnsiTheme="minorEastAsia" w:eastAsiaTheme="minorEastAsia"/>
          <w:sz w:val="18"/>
          <w:szCs w:val="18"/>
        </w:rPr>
        <w:t>[52] Silver D, Hubert T, Schrittwieser J, et al. A general reinforcement learning algorithm that masters chess, shogi, and Go through self-play[J]. Science, 2020, 362(6419): 1140-1144.</w:t>
      </w:r>
    </w:p>
    <w:p w14:paraId="27F2A230">
      <w:pPr>
        <w:pStyle w:val="11"/>
        <w:snapToGrid w:val="0"/>
        <w:spacing w:line="360" w:lineRule="auto"/>
        <w:ind w:firstLine="0" w:firstLineChars="0"/>
        <w:rPr>
          <w:rFonts w:hint="eastAsia" w:asciiTheme="minorEastAsia" w:hAnsiTheme="minorEastAsia" w:eastAsiaTheme="minorEastAsia"/>
          <w:sz w:val="18"/>
          <w:szCs w:val="18"/>
        </w:rPr>
      </w:pPr>
      <w:r>
        <w:rPr>
          <w:rFonts w:asciiTheme="minorEastAsia" w:hAnsiTheme="minorEastAsia" w:eastAsiaTheme="minorEastAsia"/>
          <w:sz w:val="18"/>
          <w:szCs w:val="18"/>
        </w:rPr>
        <w:t>[53] Brockman G, Cheung V, Pettersson L, et al. OpenAI Gym[J]. arXiv preprint arXiv:1606.01540, 2016.</w:t>
      </w:r>
    </w:p>
    <w:p w14:paraId="2244D65E">
      <w:pPr>
        <w:pStyle w:val="11"/>
        <w:snapToGrid w:val="0"/>
        <w:spacing w:line="360" w:lineRule="auto"/>
        <w:ind w:firstLine="0" w:firstLineChars="0"/>
        <w:rPr>
          <w:rFonts w:hint="eastAsia" w:asciiTheme="minorEastAsia" w:hAnsiTheme="minorEastAsia" w:eastAsiaTheme="minorEastAsia"/>
          <w:sz w:val="18"/>
          <w:szCs w:val="18"/>
        </w:rPr>
      </w:pPr>
      <w:r>
        <w:rPr>
          <w:rFonts w:asciiTheme="minorEastAsia" w:hAnsiTheme="minorEastAsia" w:eastAsiaTheme="minorEastAsia"/>
          <w:sz w:val="18"/>
          <w:szCs w:val="18"/>
        </w:rPr>
        <w:t>[54] Lample G, Chaplot D S. Playing FPS games with deep reinforcement learning[C]//Proceedings of the 31st AAAI Conference on Artificial Intelligence. 2017.</w:t>
      </w:r>
    </w:p>
    <w:p w14:paraId="45E0A033">
      <w:pPr>
        <w:pStyle w:val="11"/>
        <w:snapToGrid w:val="0"/>
        <w:spacing w:line="360" w:lineRule="auto"/>
        <w:ind w:firstLine="0" w:firstLineChars="0"/>
        <w:rPr>
          <w:rFonts w:hint="eastAsia" w:asciiTheme="minorEastAsia" w:hAnsiTheme="minorEastAsia" w:eastAsiaTheme="minorEastAsia"/>
          <w:sz w:val="18"/>
          <w:szCs w:val="18"/>
        </w:rPr>
      </w:pPr>
      <w:r>
        <w:rPr>
          <w:rFonts w:asciiTheme="minorEastAsia" w:hAnsiTheme="minorEastAsia" w:eastAsiaTheme="minorEastAsia"/>
          <w:sz w:val="18"/>
          <w:szCs w:val="18"/>
        </w:rPr>
        <w:t>[55] Baker B, Pallon R, Zeldovich N. MuZero: Mastering complex tasks without explicit knowledge of the environment[C]//Proceedings of the Neural Information Processing Systems (NeurIPS). 2021.</w:t>
      </w:r>
    </w:p>
    <w:p w14:paraId="556EAC61">
      <w:pPr>
        <w:pStyle w:val="11"/>
        <w:snapToGrid w:val="0"/>
        <w:spacing w:line="360" w:lineRule="auto"/>
        <w:ind w:firstLine="0" w:firstLineChars="0"/>
        <w:rPr>
          <w:rFonts w:hint="eastAsia" w:asciiTheme="minorEastAsia" w:hAnsiTheme="minorEastAsia" w:eastAsiaTheme="minorEastAsia"/>
          <w:sz w:val="18"/>
          <w:szCs w:val="18"/>
        </w:rPr>
      </w:pPr>
      <w:r>
        <w:rPr>
          <w:rFonts w:asciiTheme="minorEastAsia" w:hAnsiTheme="minorEastAsia" w:eastAsiaTheme="minorEastAsia"/>
          <w:sz w:val="18"/>
          <w:szCs w:val="18"/>
        </w:rPr>
        <w:t>[56] Vaswani A, Shazeer N, Parmar N, et al. Attention is all you need[C]//Proceedings of the 31st Conference on Neural Information Processing Systems (NeurIPS). 2017.</w:t>
      </w:r>
    </w:p>
    <w:p w14:paraId="11D7D5A4">
      <w:pPr>
        <w:pStyle w:val="11"/>
        <w:snapToGrid w:val="0"/>
        <w:spacing w:line="360" w:lineRule="auto"/>
        <w:ind w:firstLine="0" w:firstLineChars="0"/>
        <w:rPr>
          <w:rFonts w:hint="eastAsia" w:asciiTheme="minorEastAsia" w:hAnsiTheme="minorEastAsia" w:eastAsiaTheme="minorEastAsia"/>
          <w:sz w:val="18"/>
          <w:szCs w:val="18"/>
        </w:rPr>
      </w:pPr>
      <w:r>
        <w:rPr>
          <w:rFonts w:hint="eastAsia" w:asciiTheme="minorEastAsia" w:hAnsiTheme="minorEastAsia" w:eastAsiaTheme="minorEastAsia"/>
          <w:sz w:val="18"/>
          <w:szCs w:val="18"/>
        </w:rPr>
        <w:t>[57] 李飞飞, 王佳, 朱昱, 等. 深度学习与人工智能的结合：从AlphaGo到AlphaZero[J]. 计算机科学与探索, 2019, 13(6): 1150-1161.</w:t>
      </w:r>
    </w:p>
    <w:p w14:paraId="202BA43C">
      <w:pPr>
        <w:pStyle w:val="11"/>
        <w:snapToGrid w:val="0"/>
        <w:spacing w:line="360" w:lineRule="auto"/>
        <w:ind w:firstLine="0" w:firstLineChars="0"/>
        <w:rPr>
          <w:rFonts w:hint="eastAsia" w:asciiTheme="minorEastAsia" w:hAnsiTheme="minorEastAsia" w:eastAsiaTheme="minorEastAsia"/>
          <w:sz w:val="18"/>
          <w:szCs w:val="18"/>
        </w:rPr>
      </w:pPr>
      <w:r>
        <w:rPr>
          <w:rFonts w:hint="eastAsia" w:asciiTheme="minorEastAsia" w:hAnsiTheme="minorEastAsia" w:eastAsiaTheme="minorEastAsia"/>
          <w:sz w:val="18"/>
          <w:szCs w:val="18"/>
        </w:rPr>
        <w:t>[58] 陈强, 王龙, 周宇. 基于深度强化学习的围棋AI研究综述[J]. 计算机学报, 2020, 43(10): 2050-2065.</w:t>
      </w:r>
    </w:p>
    <w:p w14:paraId="4548595A">
      <w:pPr>
        <w:pStyle w:val="11"/>
        <w:snapToGrid w:val="0"/>
        <w:spacing w:line="360" w:lineRule="auto"/>
        <w:ind w:firstLine="0" w:firstLineChars="0"/>
        <w:rPr>
          <w:rFonts w:hint="eastAsia" w:asciiTheme="minorEastAsia" w:hAnsiTheme="minorEastAsia" w:eastAsiaTheme="minorEastAsia"/>
          <w:sz w:val="18"/>
          <w:szCs w:val="18"/>
        </w:rPr>
      </w:pPr>
      <w:r>
        <w:rPr>
          <w:rFonts w:hint="eastAsia" w:asciiTheme="minorEastAsia" w:hAnsiTheme="minorEastAsia" w:eastAsiaTheme="minorEastAsia"/>
          <w:sz w:val="18"/>
          <w:szCs w:val="18"/>
        </w:rPr>
        <w:t>[59] 张志强, 李思敏. 深度强化学习在游戏AI中的应用研究[J]. 智能计算机与应用, 2021, 11(3): 129-135.</w:t>
      </w:r>
    </w:p>
    <w:p w14:paraId="74512F8B">
      <w:pPr>
        <w:pStyle w:val="11"/>
        <w:snapToGrid w:val="0"/>
        <w:spacing w:before="0" w:beforeAutospacing="0" w:after="0" w:afterAutospacing="0" w:line="360" w:lineRule="auto"/>
        <w:ind w:firstLine="0" w:firstLineChars="0"/>
        <w:rPr>
          <w:rFonts w:hint="eastAsia" w:asciiTheme="minorEastAsia" w:hAnsiTheme="minorEastAsia" w:eastAsiaTheme="minorEastAsia"/>
          <w:sz w:val="18"/>
          <w:szCs w:val="18"/>
        </w:rPr>
      </w:pPr>
      <w:r>
        <w:rPr>
          <w:rFonts w:hint="eastAsia" w:asciiTheme="minorEastAsia" w:hAnsiTheme="minorEastAsia" w:eastAsiaTheme="minorEastAsia"/>
          <w:sz w:val="18"/>
          <w:szCs w:val="18"/>
        </w:rPr>
        <w:t>[60] 黄新宇, 刘磊, 周鹏. OpenAI Five：基于深度强化学习的Dota 2 AI系统研究[J]. 计算机应用研究, 2018, 35(4): 1067-1072.</w:t>
      </w:r>
    </w:p>
    <w:sectPr>
      <w:headerReference r:id="rId9" w:type="first"/>
      <w:footerReference r:id="rId12" w:type="first"/>
      <w:headerReference r:id="rId7" w:type="default"/>
      <w:footerReference r:id="rId10" w:type="default"/>
      <w:headerReference r:id="rId8" w:type="even"/>
      <w:footerReference r:id="rId11" w:type="even"/>
      <w:pgSz w:w="11906" w:h="16838"/>
      <w:pgMar w:top="1440" w:right="1800" w:bottom="1440" w:left="1800" w:header="851"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Lenovo" w:date="2025-10-18T17:40:00Z" w:initials="L">
    <w:p w14:paraId="2DA41305">
      <w:pPr>
        <w:pStyle w:val="6"/>
        <w:ind w:firstLine="0" w:firstLineChars="0"/>
      </w:pPr>
      <w:r>
        <w:rPr>
          <w:rFonts w:hint="eastAsia"/>
        </w:rPr>
        <w:t>第一格式不符合要求，应用仿宋5号字而不是黑体，且摘要两字应该加粗，格式很重要。</w:t>
      </w:r>
    </w:p>
    <w:p w14:paraId="0A7A8514">
      <w:pPr>
        <w:pStyle w:val="6"/>
        <w:ind w:firstLine="0" w:firstLineChars="0"/>
      </w:pPr>
      <w:r>
        <w:rPr>
          <w:rFonts w:hint="eastAsia"/>
        </w:rPr>
        <w:t>第二缺少英文标题，摘要和参考文献。</w:t>
      </w:r>
    </w:p>
    <w:p w14:paraId="27DCD19D">
      <w:pPr>
        <w:pStyle w:val="6"/>
        <w:ind w:firstLine="0" w:firstLineChars="0"/>
      </w:pPr>
      <w:r>
        <w:rPr>
          <w:rFonts w:hint="eastAsia"/>
        </w:rPr>
        <w:t>——刘烽</w:t>
      </w:r>
    </w:p>
  </w:comment>
  <w:comment w:id="2" w:author="Microsoft users" w:date="2025-10-03T13:52:00Z" w:initials="Mu">
    <w:p w14:paraId="089389B2">
      <w:pPr>
        <w:pStyle w:val="6"/>
        <w:ind w:firstLine="420"/>
      </w:pPr>
      <w:r>
        <w:rPr>
          <w:rFonts w:hint="eastAsia"/>
        </w:rPr>
        <w:t>正文</w:t>
      </w:r>
      <w:r>
        <w:t>中，每一部分，应该</w:t>
      </w:r>
      <w:r>
        <w:rPr>
          <w:rFonts w:hint="eastAsia"/>
        </w:rPr>
        <w:t>标明是</w:t>
      </w:r>
      <w:r>
        <w:t>哪个作者的</w:t>
      </w:r>
      <w:r>
        <w:rPr>
          <w:rFonts w:hint="eastAsia"/>
        </w:rPr>
        <w:t>贡献</w:t>
      </w:r>
      <w:r>
        <w:t>。</w:t>
      </w:r>
    </w:p>
  </w:comment>
  <w:comment w:id="3" w:author="WPS_1691574206" w:date="2025-10-18T17:19:00Z" w:initials="">
    <w:p w14:paraId="612239C3">
      <w:pPr>
        <w:pStyle w:val="6"/>
        <w:ind w:firstLine="420"/>
      </w:pPr>
      <w:r>
        <w:rPr>
          <w:rFonts w:hint="eastAsia"/>
        </w:rPr>
        <w:t>专业名词，罗列不清晰，建议解释与名词分开罗列更可以体现整洁与美观——宋明阳</w:t>
      </w:r>
    </w:p>
  </w:comment>
  <w:comment w:id="4" w:author="WPS_1691574206" w:date="2025-10-18T17:21:00Z" w:initials="">
    <w:p w14:paraId="40CF86D8">
      <w:pPr>
        <w:pStyle w:val="6"/>
        <w:ind w:firstLine="420"/>
      </w:pPr>
      <w:r>
        <w:rPr>
          <w:rFonts w:hint="eastAsia"/>
        </w:rPr>
        <w:t>应对名词进行解释 ——宋明阳</w:t>
      </w:r>
    </w:p>
  </w:comment>
  <w:comment w:id="1" w:author="WPS_1691574206" w:date="2025-10-18T17:03:00Z" w:initials="">
    <w:p w14:paraId="226B794F">
      <w:pPr>
        <w:pStyle w:val="6"/>
        <w:numPr>
          <w:ilvl w:val="0"/>
          <w:numId w:val="1"/>
        </w:numPr>
        <w:ind w:firstLine="0" w:firstLineChars="0"/>
        <w:rPr>
          <w:rFonts w:ascii="Segoe UI Emoji" w:hAnsi="Segoe UI Emoji" w:cs="Segoe UI Emoji"/>
          <w:color w:val="1F2329"/>
          <w:sz w:val="16"/>
          <w:szCs w:val="16"/>
          <w:shd w:val="clear" w:color="auto" w:fill="EFF0F1"/>
        </w:rPr>
      </w:pPr>
      <w:r>
        <w:rPr>
          <w:rFonts w:hint="eastAsia" w:ascii="Segoe UI Emoji" w:hAnsi="Segoe UI Emoji" w:cs="Segoe UI Emoji"/>
          <w:color w:val="1F2329"/>
          <w:sz w:val="16"/>
          <w:szCs w:val="16"/>
          <w:shd w:val="clear" w:color="auto" w:fill="EFF0F1"/>
        </w:rPr>
        <w:t>层次划分粗糙没有明显分层，建议对各方面介绍拟小标题。</w:t>
      </w:r>
    </w:p>
    <w:p w14:paraId="19C6339C">
      <w:pPr>
        <w:pStyle w:val="6"/>
        <w:numPr>
          <w:ilvl w:val="0"/>
          <w:numId w:val="1"/>
        </w:numPr>
        <w:ind w:firstLine="0" w:firstLineChars="0"/>
        <w:rPr>
          <w:rFonts w:ascii="Segoe UI Emoji" w:hAnsi="Segoe UI Emoji" w:cs="Segoe UI Emoji"/>
          <w:color w:val="1F2329"/>
          <w:sz w:val="16"/>
          <w:szCs w:val="16"/>
          <w:shd w:val="clear" w:color="auto" w:fill="EFF0F1"/>
        </w:rPr>
      </w:pPr>
      <w:r>
        <w:rPr>
          <w:rFonts w:hint="eastAsia" w:ascii="Segoe UI Emoji" w:hAnsi="Segoe UI Emoji" w:cs="Segoe UI Emoji"/>
          <w:color w:val="1F2329"/>
          <w:sz w:val="16"/>
          <w:szCs w:val="16"/>
          <w:shd w:val="clear" w:color="auto" w:fill="EFF0F1"/>
        </w:rPr>
        <w:t>未见引用，正文部分应大量引用文献。</w:t>
      </w:r>
    </w:p>
    <w:p w14:paraId="23D5D503">
      <w:pPr>
        <w:pStyle w:val="6"/>
        <w:numPr>
          <w:ilvl w:val="0"/>
          <w:numId w:val="1"/>
        </w:numPr>
        <w:ind w:firstLine="0" w:firstLineChars="0"/>
        <w:rPr>
          <w:rFonts w:ascii="Segoe UI Emoji" w:hAnsi="Segoe UI Emoji" w:cs="Segoe UI Emoji"/>
          <w:color w:val="1F2329"/>
          <w:sz w:val="16"/>
          <w:szCs w:val="16"/>
          <w:shd w:val="clear" w:color="auto" w:fill="EFF0F1"/>
        </w:rPr>
      </w:pPr>
      <w:r>
        <w:rPr>
          <w:rFonts w:ascii="Segoe UI Emoji" w:hAnsi="Segoe UI Emoji" w:eastAsia="Segoe UI Emoji" w:cs="Segoe UI Emoji"/>
          <w:color w:val="1F2329"/>
          <w:sz w:val="16"/>
          <w:szCs w:val="16"/>
          <w:shd w:val="clear" w:color="auto" w:fill="EFF0F1"/>
        </w:rPr>
        <w:t>属于 “文献内容罗列”，无个人评述与观点倾向</w:t>
      </w:r>
      <w:r>
        <w:rPr>
          <w:rFonts w:hint="eastAsia" w:ascii="Segoe UI Emoji" w:hAnsi="Segoe UI Emoji" w:cs="Segoe UI Emoji"/>
          <w:color w:val="1F2329"/>
          <w:sz w:val="16"/>
          <w:szCs w:val="16"/>
          <w:shd w:val="clear" w:color="auto" w:fill="EFF0F1"/>
        </w:rPr>
        <w:t>。</w:t>
      </w:r>
    </w:p>
    <w:p w14:paraId="3E227374">
      <w:pPr>
        <w:pStyle w:val="6"/>
        <w:ind w:firstLine="0" w:firstLineChars="0"/>
        <w:rPr>
          <w:rFonts w:ascii="Segoe UI Emoji" w:hAnsi="Segoe UI Emoji" w:cs="Segoe UI Emoji"/>
          <w:color w:val="1F2329"/>
          <w:sz w:val="16"/>
          <w:szCs w:val="16"/>
          <w:shd w:val="clear" w:color="auto" w:fill="EFF0F1"/>
        </w:rPr>
      </w:pPr>
      <w:r>
        <w:rPr>
          <w:rFonts w:hint="eastAsia" w:ascii="Segoe UI Emoji" w:hAnsi="Segoe UI Emoji" w:cs="Segoe UI Emoji"/>
          <w:color w:val="1F2329"/>
          <w:sz w:val="16"/>
          <w:szCs w:val="16"/>
          <w:shd w:val="clear" w:color="auto" w:fill="EFF0F1"/>
        </w:rPr>
        <w:t>应</w:t>
      </w:r>
      <w:r>
        <w:rPr>
          <w:rFonts w:ascii="Segoe UI Emoji" w:hAnsi="Segoe UI Emoji" w:eastAsia="Segoe UI Emoji" w:cs="Segoe UI Emoji"/>
          <w:color w:val="1F2329"/>
          <w:sz w:val="16"/>
          <w:szCs w:val="16"/>
          <w:shd w:val="clear" w:color="auto" w:fill="EFF0F1"/>
        </w:rPr>
        <w:t>针对算法与应用场景，补充个人分析</w:t>
      </w:r>
      <w:r>
        <w:rPr>
          <w:rFonts w:hint="eastAsia" w:ascii="Segoe UI Emoji" w:hAnsi="Segoe UI Emoji" w:cs="Segoe UI Emoji"/>
          <w:color w:val="1F2329"/>
          <w:sz w:val="16"/>
          <w:szCs w:val="16"/>
          <w:shd w:val="clear" w:color="auto" w:fill="EFF0F1"/>
        </w:rPr>
        <w:t>。——宋明阳</w:t>
      </w:r>
    </w:p>
  </w:comment>
  <w:comment w:id="5" w:author="Lenovo" w:date="2025-10-18T17:45:00Z" w:initials="L">
    <w:p w14:paraId="0C9C1CDE">
      <w:pPr>
        <w:pStyle w:val="6"/>
        <w:ind w:firstLine="0" w:firstLineChars="0"/>
      </w:pPr>
      <w:r>
        <w:rPr>
          <w:rFonts w:hint="eastAsia"/>
        </w:rPr>
        <w:t>不同段落中的行距设置应该一致，否则很影响美观性。</w:t>
      </w:r>
    </w:p>
    <w:p w14:paraId="5C0C36DB">
      <w:pPr>
        <w:pStyle w:val="6"/>
        <w:ind w:firstLine="0" w:firstLineChars="0"/>
      </w:pPr>
      <w:r>
        <w:rPr>
          <w:rFonts w:hint="eastAsia"/>
        </w:rPr>
        <w:t>文章在第一次出现强化学习等专业名词的时候都给出了其完整的英文写法和缩写，很专业。</w:t>
      </w:r>
    </w:p>
    <w:p w14:paraId="17DB409F">
      <w:pPr>
        <w:pStyle w:val="6"/>
        <w:ind w:firstLine="0" w:firstLineChars="0"/>
      </w:pPr>
      <w:r>
        <w:rPr>
          <w:rFonts w:hint="eastAsia"/>
        </w:rPr>
        <w:t>——刘烽</w:t>
      </w:r>
    </w:p>
  </w:comment>
  <w:comment w:id="6" w:author="Lenovo" w:date="2025-10-18T17:54:00Z" w:initials="L">
    <w:p w14:paraId="43E1A6B5">
      <w:pPr>
        <w:pStyle w:val="6"/>
        <w:ind w:firstLine="0" w:firstLineChars="0"/>
      </w:pPr>
      <w:r>
        <w:rPr>
          <w:rFonts w:hint="eastAsia"/>
        </w:rPr>
        <w:t>正文的字体大小和图注文字大小没有区分度。</w:t>
      </w:r>
    </w:p>
    <w:p w14:paraId="42C53A41">
      <w:pPr>
        <w:pStyle w:val="6"/>
        <w:ind w:firstLine="0" w:firstLineChars="0"/>
      </w:pPr>
      <w:r>
        <w:rPr>
          <w:rFonts w:hint="eastAsia"/>
        </w:rPr>
        <w:t>如果是引用他人的图应标注参考文献。</w:t>
      </w:r>
    </w:p>
    <w:p w14:paraId="2358BAEA">
      <w:pPr>
        <w:pStyle w:val="6"/>
        <w:ind w:firstLine="0" w:firstLineChars="0"/>
      </w:pPr>
      <w:r>
        <w:rPr>
          <w:rFonts w:hint="eastAsia"/>
        </w:rPr>
        <w:t>该图清晰明了，非常有助于他人理解。</w:t>
      </w:r>
    </w:p>
    <w:p w14:paraId="0E033B46">
      <w:pPr>
        <w:pStyle w:val="6"/>
        <w:ind w:firstLine="0" w:firstLineChars="0"/>
      </w:pPr>
      <w:r>
        <w:rPr>
          <w:rFonts w:hint="eastAsia"/>
        </w:rPr>
        <w:t>——刘烽</w:t>
      </w:r>
    </w:p>
  </w:comment>
  <w:comment w:id="7" w:author="Lenovo" w:date="2025-10-18T17:59:00Z" w:initials="L">
    <w:p w14:paraId="02213EEB">
      <w:pPr>
        <w:pStyle w:val="6"/>
        <w:ind w:firstLine="0" w:firstLineChars="0"/>
      </w:pPr>
      <w:r>
        <w:rPr>
          <w:rFonts w:hint="eastAsia"/>
        </w:rPr>
        <w:t>分段加粗列出下面公式中会出现的参数，增强了文章的可读性。</w:t>
      </w:r>
    </w:p>
    <w:p w14:paraId="579F3D5B">
      <w:pPr>
        <w:pStyle w:val="6"/>
        <w:ind w:firstLine="0" w:firstLineChars="0"/>
      </w:pPr>
      <w:r>
        <w:rPr>
          <w:rFonts w:hint="eastAsia"/>
        </w:rPr>
        <w:t>——刘烽</w:t>
      </w:r>
    </w:p>
  </w:comment>
  <w:comment w:id="9" w:author="Lenovo" w:date="2025-10-18T18:20:00Z" w:initials="L">
    <w:p w14:paraId="0099D3BA">
      <w:pPr>
        <w:pStyle w:val="6"/>
        <w:ind w:firstLine="0" w:firstLineChars="0"/>
      </w:pPr>
      <w:r>
        <w:rPr>
          <w:rFonts w:hint="eastAsia"/>
        </w:rPr>
        <w:t>公式标号为图片形式，很突兀，不推荐这样做。</w:t>
      </w:r>
    </w:p>
    <w:p w14:paraId="01E25D22">
      <w:pPr>
        <w:pStyle w:val="6"/>
        <w:ind w:firstLine="0" w:firstLineChars="0"/>
      </w:pPr>
      <w:r>
        <w:rPr>
          <w:rFonts w:hint="eastAsia"/>
        </w:rPr>
        <w:t>——刘烽</w:t>
      </w:r>
    </w:p>
  </w:comment>
  <w:comment w:id="8" w:author="Lenovo" w:date="2025-10-18T17:56:00Z" w:initials="L">
    <w:p w14:paraId="6D563D46">
      <w:pPr>
        <w:pStyle w:val="6"/>
        <w:ind w:firstLine="0" w:firstLineChars="0"/>
      </w:pPr>
      <w:r>
        <w:rPr>
          <w:rFonts w:hint="eastAsia"/>
        </w:rPr>
        <w:t>介绍了大量的公式，体现了专业性，同时对公式的各个参量进行了解释，但是这些公式包括正文部分均未出现参考文献标记，图片格式应该是引用的，应该标注出处。</w:t>
      </w:r>
    </w:p>
    <w:p w14:paraId="3CB74CF8">
      <w:pPr>
        <w:pStyle w:val="6"/>
        <w:ind w:firstLine="0" w:firstLineChars="0"/>
      </w:pPr>
      <w:r>
        <w:rPr>
          <w:rFonts w:hint="eastAsia"/>
        </w:rPr>
        <w:t>——刘烽</w:t>
      </w:r>
    </w:p>
  </w:comment>
  <w:comment w:id="10" w:author="Lenovo" w:date="2025-10-18T17:57:00Z" w:initials="L">
    <w:p w14:paraId="2A5B93FD">
      <w:pPr>
        <w:pStyle w:val="6"/>
        <w:ind w:firstLine="0" w:firstLineChars="0"/>
      </w:pPr>
      <w:r>
        <w:rPr>
          <w:rFonts w:hint="eastAsia"/>
        </w:rPr>
        <w:t>这里对比了不同的策略，表现了作者的主观看法。有参考价值。</w:t>
      </w:r>
    </w:p>
    <w:p w14:paraId="0CD1394E">
      <w:pPr>
        <w:pStyle w:val="6"/>
        <w:ind w:firstLine="0" w:firstLineChars="0"/>
      </w:pPr>
      <w:r>
        <w:rPr>
          <w:rFonts w:hint="eastAsia"/>
        </w:rPr>
        <w:t>——刘烽</w:t>
      </w:r>
    </w:p>
  </w:comment>
  <w:comment w:id="11" w:author="Lenovo" w:date="2025-10-18T18:00:00Z" w:initials="L">
    <w:p w14:paraId="18CA7A52">
      <w:pPr>
        <w:pStyle w:val="6"/>
        <w:ind w:firstLine="0" w:firstLineChars="0"/>
      </w:pPr>
      <w:r>
        <w:rPr>
          <w:rFonts w:hint="eastAsia"/>
        </w:rPr>
        <w:t>每一段前面的小点很影响观感，建议删掉。</w:t>
      </w:r>
    </w:p>
    <w:p w14:paraId="014C028E">
      <w:pPr>
        <w:pStyle w:val="6"/>
        <w:ind w:firstLine="0" w:firstLineChars="0"/>
      </w:pPr>
      <w:r>
        <w:rPr>
          <w:rFonts w:hint="eastAsia"/>
        </w:rPr>
        <w:t>——刘烽</w:t>
      </w:r>
    </w:p>
  </w:comment>
  <w:comment w:id="12" w:author="Lenovo" w:date="2025-10-18T18:11:00Z" w:initials="L">
    <w:p w14:paraId="3450130E">
      <w:pPr>
        <w:pStyle w:val="6"/>
        <w:ind w:firstLine="0" w:firstLineChars="0"/>
      </w:pPr>
      <w:r>
        <w:rPr>
          <w:rFonts w:hint="eastAsia"/>
        </w:rPr>
        <w:t>综述文献中应大量引用参考文献。</w:t>
      </w:r>
    </w:p>
    <w:p w14:paraId="54643F64">
      <w:pPr>
        <w:pStyle w:val="6"/>
        <w:ind w:firstLine="0" w:firstLineChars="0"/>
      </w:pPr>
      <w:r>
        <w:rPr>
          <w:rFonts w:hint="eastAsia"/>
        </w:rPr>
        <w:t>——刘烽</w:t>
      </w:r>
    </w:p>
  </w:comment>
  <w:comment w:id="13" w:author="Lenovo" w:date="2025-10-18T18:01:00Z" w:initials="L">
    <w:p w14:paraId="16B462BA">
      <w:pPr>
        <w:pStyle w:val="6"/>
        <w:ind w:firstLine="0" w:firstLineChars="0"/>
      </w:pPr>
      <w:r>
        <w:rPr>
          <w:rFonts w:hint="eastAsia"/>
        </w:rPr>
        <w:t>参考文献最好使用交叉引用，方便后续修改。</w:t>
      </w:r>
    </w:p>
    <w:p w14:paraId="213C245B">
      <w:pPr>
        <w:pStyle w:val="6"/>
        <w:ind w:firstLine="0" w:firstLineChars="0"/>
      </w:pPr>
      <w:r>
        <w:rPr>
          <w:rFonts w:hint="eastAsia"/>
        </w:rPr>
        <w:t>参考文献的引用顺序有点混乱，6，7后面直接就是12，但是前面并没有发现8，10，11出现，可能是修改问题。</w:t>
      </w:r>
    </w:p>
    <w:p w14:paraId="0A6C1656">
      <w:pPr>
        <w:pStyle w:val="6"/>
        <w:ind w:firstLine="0" w:firstLineChars="0"/>
      </w:pPr>
      <w:r>
        <w:rPr>
          <w:rFonts w:hint="eastAsia"/>
        </w:rPr>
        <w:t>——刘烽</w:t>
      </w:r>
    </w:p>
  </w:comment>
  <w:comment w:id="14" w:author="Lenovo" w:date="2025-10-18T18:10:00Z" w:initials="L">
    <w:p w14:paraId="05503FAC">
      <w:pPr>
        <w:pStyle w:val="6"/>
        <w:ind w:firstLine="0" w:firstLineChars="0"/>
      </w:pPr>
      <w:r>
        <w:rPr>
          <w:rFonts w:hint="eastAsia"/>
        </w:rPr>
        <w:t>主要问题是行距，黑点，字体大小等影响了文章的美观性，正文中有的部分缺少应频繁出现的参考文献引用，部分参考文献的标注有些混乱，图片形式的公式和对应的注号显得很突兀。更重要的是文章的“长相”与上下文其他同学写的不太一样，但是文章的逻辑性比较强，阅读后对强化学习的发展，挑战和发展方向都有了一定的了解。</w:t>
      </w:r>
    </w:p>
  </w:comment>
  <w:comment w:id="15" w:author="WPS_1691574206" w:date="2025-10-18T19:00:23Z" w:initials="">
    <w:p w14:paraId="17F193EB">
      <w:pPr>
        <w:pStyle w:val="6"/>
        <w:rPr>
          <w:rFonts w:hint="default" w:eastAsia="宋体"/>
          <w:lang w:val="en-US" w:eastAsia="zh-CN"/>
        </w:rPr>
      </w:pPr>
      <w:r>
        <w:rPr>
          <w:rFonts w:hint="eastAsia"/>
          <w:lang w:val="en-US" w:eastAsia="zh-CN"/>
        </w:rPr>
        <w:t>字体应不同——宋明阳</w:t>
      </w:r>
    </w:p>
  </w:comment>
  <w:comment w:id="17" w:author="WPS_1691574206" w:date="2025-10-18T18:57:21Z" w:initials="">
    <w:p w14:paraId="24B72D1A">
      <w:pPr>
        <w:pStyle w:val="6"/>
        <w:rPr>
          <w:rFonts w:hint="default" w:eastAsia="宋体"/>
          <w:lang w:val="en-US" w:eastAsia="zh-CN"/>
        </w:rPr>
      </w:pPr>
      <w:r>
        <w:rPr>
          <w:rFonts w:hint="eastAsia"/>
          <w:lang w:val="en-US" w:eastAsia="zh-CN"/>
        </w:rPr>
        <w:t>全文未见英文全称——宋明阳</w:t>
      </w:r>
    </w:p>
  </w:comment>
  <w:comment w:id="16" w:author="WPS_1691574206" w:date="2025-10-18T18:55:36Z" w:initials="">
    <w:p w14:paraId="4AFD2CD6">
      <w:pPr>
        <w:pStyle w:val="6"/>
        <w:rPr>
          <w:rFonts w:hint="default" w:eastAsia="宋体"/>
          <w:lang w:val="en-US" w:eastAsia="zh-CN"/>
        </w:rPr>
      </w:pPr>
      <w:r>
        <w:rPr>
          <w:rFonts w:hint="eastAsia"/>
          <w:lang w:val="en-US" w:eastAsia="zh-CN"/>
        </w:rPr>
        <w:t xml:space="preserve">缺少引用——宋明阳 </w:t>
      </w:r>
    </w:p>
  </w:comment>
  <w:comment w:id="18" w:author="WPS_1691574206 [2]" w:date="2025-10-18T20:05:30Z" w:initials="">
    <w:p w14:paraId="4102880B">
      <w:pPr>
        <w:pStyle w:val="6"/>
        <w:rPr>
          <w:rFonts w:hint="default" w:eastAsia="宋体"/>
          <w:lang w:val="en-US" w:eastAsia="zh-CN"/>
        </w:rPr>
      </w:pPr>
      <w:r>
        <w:rPr>
          <w:rFonts w:hint="eastAsia"/>
          <w:lang w:val="en-US" w:eastAsia="zh-CN"/>
        </w:rPr>
        <w:t>长句太多，且缺少自己的观点——宋明阳</w:t>
      </w:r>
    </w:p>
  </w:comment>
  <w:comment w:id="19" w:author="WPS_1691574206" w:date="2025-10-18T19:02:46Z" w:initials="">
    <w:p w14:paraId="450B20F5">
      <w:pPr>
        <w:pStyle w:val="6"/>
        <w:rPr>
          <w:rFonts w:hint="default" w:eastAsia="宋体"/>
          <w:lang w:val="en-US" w:eastAsia="zh-CN"/>
        </w:rPr>
      </w:pPr>
      <w:r>
        <w:rPr>
          <w:rFonts w:hint="eastAsia"/>
          <w:lang w:val="en-US" w:eastAsia="zh-CN"/>
        </w:rPr>
        <w:t>专有名词没有解释</w:t>
      </w:r>
    </w:p>
  </w:comment>
  <w:comment w:id="20" w:author="WPS_1691574206" w:date="2025-10-18T19:03:41Z" w:initials="">
    <w:p w14:paraId="38FBCBF9">
      <w:pPr>
        <w:pStyle w:val="6"/>
        <w:rPr>
          <w:rFonts w:hint="default" w:eastAsia="宋体"/>
          <w:lang w:val="en-US" w:eastAsia="zh-CN"/>
        </w:rPr>
      </w:pPr>
      <w:r>
        <w:rPr>
          <w:rFonts w:hint="eastAsia"/>
          <w:lang w:val="en-US" w:eastAsia="zh-CN"/>
        </w:rPr>
        <w:t>引用过少——宋明阳</w:t>
      </w:r>
    </w:p>
  </w:comment>
  <w:comment w:id="21" w:author="WPS_1691574206" w:date="2025-10-18T19:04:13Z" w:initials="">
    <w:p w14:paraId="71462076">
      <w:pPr>
        <w:pStyle w:val="6"/>
        <w:rPr>
          <w:rFonts w:hint="default" w:eastAsia="宋体"/>
          <w:lang w:val="en-US" w:eastAsia="zh-CN"/>
        </w:rPr>
      </w:pPr>
      <w:r>
        <w:rPr>
          <w:rFonts w:hint="eastAsia"/>
          <w:lang w:val="en-US" w:eastAsia="zh-CN"/>
        </w:rPr>
        <w:t>专业性强，但缺少详细解释。</w:t>
      </w:r>
    </w:p>
  </w:comment>
  <w:comment w:id="22" w:author="WPS_1691574206 [2]" w:date="2025-10-18T20:01:17Z" w:initials="">
    <w:p w14:paraId="126B0679">
      <w:pPr>
        <w:pStyle w:val="6"/>
        <w:rPr>
          <w:rFonts w:hint="default" w:eastAsia="宋体"/>
          <w:lang w:val="en-US" w:eastAsia="zh-CN"/>
        </w:rPr>
      </w:pPr>
      <w:r>
        <w:rPr>
          <w:rFonts w:hint="eastAsia"/>
          <w:lang w:val="en-US" w:eastAsia="zh-CN"/>
        </w:rPr>
        <w:t>结构清晰，专业性强但缺少引用，正文部分应频繁出现引用——宋明阳</w:t>
      </w:r>
    </w:p>
    <w:p w14:paraId="6B38F08A">
      <w:pPr>
        <w:pStyle w:val="6"/>
      </w:pPr>
    </w:p>
  </w:comment>
  <w:comment w:id="23" w:author="WPS_1688228856" w:date="2025-10-18T19:21:19Z" w:initials="">
    <w:p w14:paraId="5AA2DD69">
      <w:pPr>
        <w:pStyle w:val="6"/>
        <w:rPr>
          <w:rFonts w:hint="default" w:eastAsia="宋体"/>
          <w:lang w:val="en-US" w:eastAsia="zh-CN"/>
        </w:rPr>
      </w:pPr>
      <w:r>
        <w:rPr>
          <w:rFonts w:hint="eastAsia"/>
          <w:lang w:val="en-US" w:eastAsia="zh-CN"/>
        </w:rPr>
        <w:t>小标题字体格式不规范。——周进杰</w:t>
      </w:r>
    </w:p>
  </w:comment>
  <w:comment w:id="24" w:author="WPS_1688228856" w:date="2025-10-18T19:22:27Z" w:initials="">
    <w:p w14:paraId="1A152543">
      <w:pPr>
        <w:pStyle w:val="6"/>
        <w:rPr>
          <w:rFonts w:hint="default" w:eastAsia="宋体"/>
          <w:lang w:val="en-US" w:eastAsia="zh-CN"/>
        </w:rPr>
      </w:pPr>
      <w:r>
        <w:rPr>
          <w:rFonts w:hint="eastAsia"/>
          <w:lang w:val="en-US" w:eastAsia="zh-CN"/>
        </w:rPr>
        <w:t>建议添加RLHF技术中英文全称。——周进杰</w:t>
      </w:r>
    </w:p>
  </w:comment>
  <w:comment w:id="25" w:author="WPS_1688228856" w:date="2025-10-18T19:26:13Z" w:initials="">
    <w:p w14:paraId="292F2A71">
      <w:pPr>
        <w:pStyle w:val="6"/>
        <w:rPr>
          <w:rFonts w:hint="default" w:eastAsia="宋体"/>
          <w:lang w:val="en-US" w:eastAsia="zh-CN"/>
        </w:rPr>
      </w:pPr>
      <w:r>
        <w:rPr>
          <w:rFonts w:hint="eastAsia"/>
          <w:lang w:val="en-US" w:eastAsia="zh-CN"/>
        </w:rPr>
        <w:t>逻辑清晰，结构分明，引用了很多参考文献，令人信服，具有参考价值。——周进杰</w:t>
      </w:r>
    </w:p>
  </w:comment>
  <w:comment w:id="26" w:author="WPS_1688228856" w:date="2025-10-18T19:31:07Z" w:initials="">
    <w:p w14:paraId="3D7009BF">
      <w:pPr>
        <w:pStyle w:val="6"/>
        <w:rPr>
          <w:rFonts w:hint="default" w:eastAsia="宋体"/>
          <w:lang w:val="en-US" w:eastAsia="zh-CN"/>
        </w:rPr>
      </w:pPr>
      <w:r>
        <w:rPr>
          <w:rFonts w:hint="eastAsia"/>
          <w:lang w:val="en-US" w:eastAsia="zh-CN"/>
        </w:rPr>
        <w:t>此部分专业性很强，涉及多个专业名词，阅读起来有些困难，而且分点（二）与（三）中涉及的大量专业技术缺少参考文献。——周进杰</w:t>
      </w:r>
    </w:p>
  </w:comment>
  <w:comment w:id="27" w:author="WPS_1688228856" w:date="2025-10-18T19:52:52Z" w:initials="">
    <w:p w14:paraId="32C5C142">
      <w:pPr>
        <w:pStyle w:val="6"/>
        <w:rPr>
          <w:rFonts w:hint="default" w:eastAsia="宋体"/>
          <w:lang w:val="en-US" w:eastAsia="zh-CN"/>
        </w:rPr>
      </w:pPr>
      <w:r>
        <w:rPr>
          <w:rFonts w:hint="eastAsia"/>
          <w:lang w:val="en-US" w:eastAsia="zh-CN"/>
        </w:rPr>
        <w:t>专业性强，但缺少参考文献。——周进杰</w:t>
      </w:r>
    </w:p>
  </w:comment>
  <w:comment w:id="28" w:author="WPS_1688228856" w:date="2025-10-18T19:36:51Z" w:initials="">
    <w:p w14:paraId="1C57472A">
      <w:pPr>
        <w:pStyle w:val="6"/>
        <w:rPr>
          <w:rFonts w:hint="default" w:eastAsia="宋体"/>
          <w:lang w:val="en-US" w:eastAsia="zh-CN"/>
        </w:rPr>
      </w:pPr>
      <w:r>
        <w:rPr>
          <w:rFonts w:hint="eastAsia"/>
          <w:lang w:val="en-US" w:eastAsia="zh-CN"/>
        </w:rPr>
        <w:t>此段优点是分点清晰，层次分明，但部分位置缺少参考文献。——周进杰</w:t>
      </w:r>
    </w:p>
  </w:comment>
  <w:comment w:id="29" w:author="WPS_1688228856" w:date="2025-10-18T19:55:23Z" w:initials="">
    <w:p w14:paraId="3BD74562">
      <w:pPr>
        <w:pStyle w:val="6"/>
        <w:rPr>
          <w:rFonts w:hint="default" w:eastAsia="宋体"/>
          <w:lang w:val="en-US" w:eastAsia="zh-CN"/>
        </w:rPr>
      </w:pPr>
      <w:r>
        <w:rPr>
          <w:rFonts w:hint="eastAsia"/>
          <w:lang w:val="en-US" w:eastAsia="zh-CN"/>
        </w:rPr>
        <w:t>此段的小结和挑战展望是否可以合并？在小结中总结一下挑战展望。——周进杰</w:t>
      </w:r>
    </w:p>
  </w:comment>
  <w:comment w:id="30" w:author="WPS_1688228856" w:date="2025-10-18T19:40:07Z" w:initials="">
    <w:p w14:paraId="74869B43">
      <w:pPr>
        <w:pStyle w:val="6"/>
        <w:rPr>
          <w:rFonts w:hint="default" w:eastAsia="宋体"/>
          <w:lang w:val="en-US" w:eastAsia="zh-CN"/>
        </w:rPr>
      </w:pPr>
      <w:r>
        <w:rPr>
          <w:rFonts w:hint="eastAsia"/>
          <w:lang w:val="en-US" w:eastAsia="zh-CN"/>
        </w:rPr>
        <w:t>这部分结构有些混乱。——周进杰</w:t>
      </w:r>
    </w:p>
  </w:comment>
  <w:comment w:id="31" w:author="WPS_1688228856" w:date="2025-10-18T19:40:56Z" w:initials="">
    <w:p w14:paraId="77EED698">
      <w:pPr>
        <w:pStyle w:val="6"/>
        <w:rPr>
          <w:rFonts w:hint="default" w:eastAsia="宋体"/>
          <w:lang w:val="en-US" w:eastAsia="zh-CN"/>
        </w:rPr>
      </w:pPr>
      <w:r>
        <w:rPr>
          <w:rFonts w:hint="eastAsia"/>
          <w:lang w:val="en-US" w:eastAsia="zh-CN"/>
        </w:rPr>
        <w:t>此章节整体结构比较清晰，并且有很强的专业性，内容丰富，能够让人有所收获。但论文样式需要进一步完善，小标题格式有问题，且部分段落缺少参考文献。此外，建议与队友商议一些，统一全文的引用参考文献的格式。——周进杰</w:t>
      </w:r>
    </w:p>
  </w:comment>
  <w:comment w:id="32" w:author="微信用户" w:date="2025-10-18T14:13:00Z" w:initials="">
    <w:p w14:paraId="31D288DA">
      <w:pPr>
        <w:pStyle w:val="6"/>
        <w:ind w:firstLine="420"/>
      </w:pPr>
      <w:r>
        <w:rPr>
          <w:rFonts w:hint="eastAsia"/>
        </w:rPr>
        <w:t>样式整洁，重要的地方都有加粗。——梁雅新</w:t>
      </w:r>
    </w:p>
  </w:comment>
  <w:comment w:id="33" w:author="微信用户" w:date="2025-10-18T14:15:00Z" w:initials="">
    <w:p w14:paraId="4C99E566">
      <w:pPr>
        <w:pStyle w:val="6"/>
        <w:ind w:firstLine="420"/>
      </w:pPr>
      <w:r>
        <w:rPr>
          <w:rFonts w:hint="eastAsia"/>
        </w:rPr>
        <w:t>一些专业名词没有详细解释，导致易读性略降低。——梁雅新</w:t>
      </w:r>
    </w:p>
  </w:comment>
  <w:comment w:id="34" w:author="微信用户" w:date="2025-10-18T14:09:00Z" w:initials="">
    <w:p w14:paraId="1289833D">
      <w:pPr>
        <w:pStyle w:val="6"/>
        <w:ind w:firstLine="420"/>
      </w:pPr>
      <w:r>
        <w:rPr>
          <w:rFonts w:hint="eastAsia"/>
        </w:rPr>
        <w:t>总结成表格，更加直观。——梁雅新</w:t>
      </w:r>
    </w:p>
  </w:comment>
  <w:comment w:id="35" w:author="微信用户" w:date="2025-10-18T14:17:00Z" w:initials="">
    <w:p w14:paraId="44A5FA8D">
      <w:pPr>
        <w:pStyle w:val="6"/>
        <w:ind w:firstLine="420"/>
      </w:pPr>
      <w:r>
        <w:rPr>
          <w:rFonts w:hint="eastAsia"/>
        </w:rPr>
        <w:t>组织合理，由浅入深，循序渐进。——梁雅新</w:t>
      </w:r>
    </w:p>
  </w:comment>
  <w:comment w:id="36" w:author="微信用户" w:date="2025-10-18T14:20:00Z" w:initials="">
    <w:p w14:paraId="2378A763">
      <w:pPr>
        <w:pStyle w:val="6"/>
        <w:ind w:firstLine="420"/>
      </w:pPr>
      <w:r>
        <w:rPr>
          <w:rFonts w:hint="eastAsia"/>
        </w:rPr>
        <w:t>内容无法让读者明确看出强化学习在ai中的应用，虽然介绍了各种ai，但对强化学习对ai的影响描写不够详细。——梁雅新</w:t>
      </w:r>
    </w:p>
    <w:p w14:paraId="295B1C46">
      <w:pPr>
        <w:pStyle w:val="6"/>
        <w:ind w:firstLine="420"/>
      </w:pPr>
    </w:p>
  </w:comment>
  <w:comment w:id="37" w:author="微信用户" w:date="2025-10-18T14:14:00Z" w:initials="">
    <w:p w14:paraId="440D3D90">
      <w:pPr>
        <w:pStyle w:val="6"/>
        <w:ind w:firstLine="420"/>
      </w:pPr>
      <w:r>
        <w:rPr>
          <w:rFonts w:hint="eastAsia"/>
        </w:rPr>
        <w:t>读完有一定收获。——梁雅新</w:t>
      </w:r>
    </w:p>
  </w:comment>
  <w:comment w:id="38" w:author="Microsoft users" w:date="2025-10-03T13:55:00Z" w:initials="Mu">
    <w:p w14:paraId="625CDCEB">
      <w:pPr>
        <w:pStyle w:val="6"/>
        <w:ind w:firstLine="420"/>
      </w:pPr>
      <w:r>
        <w:rPr>
          <w:rFonts w:hint="eastAsia"/>
        </w:rPr>
        <w:t>这个</w:t>
      </w:r>
      <w:r>
        <w:t>表</w:t>
      </w:r>
      <w:r>
        <w:rPr>
          <w:rFonts w:hint="eastAsia"/>
        </w:rPr>
        <w:t>比较</w:t>
      </w:r>
      <w:r>
        <w:t>好。不同研究领域的</w:t>
      </w:r>
      <w:r>
        <w:rPr>
          <w:rFonts w:hint="eastAsia"/>
        </w:rPr>
        <w:t>比较评述</w:t>
      </w:r>
      <w:r>
        <w:t>，能够更深入一点才更好。</w:t>
      </w:r>
    </w:p>
  </w:comment>
  <w:comment w:id="39" w:author="WPS_1691574206" w:date="2025-10-18T17:12:00Z" w:initials="">
    <w:p w14:paraId="2149D4AE">
      <w:pPr>
        <w:pStyle w:val="6"/>
        <w:ind w:firstLine="420"/>
      </w:pPr>
      <w:r>
        <w:rPr>
          <w:rFonts w:hint="eastAsia"/>
        </w:rPr>
        <w:t>可以修改字体格式表的格式，让表格更加美观。——宋明阳</w:t>
      </w:r>
    </w:p>
  </w:comment>
  <w:comment w:id="40" w:author="WPS_1691574206" w:date="2025-10-18T17:16:00Z" w:initials="">
    <w:p w14:paraId="226E227F">
      <w:pPr>
        <w:pStyle w:val="6"/>
        <w:ind w:firstLine="420"/>
      </w:pPr>
      <w:r>
        <w:rPr>
          <w:rFonts w:hint="eastAsia"/>
        </w:rPr>
        <w:t>现状→成果→挑战→展望” 的主线清晰，转折自然，符合读者认知规律。</w:t>
      </w:r>
      <w:r>
        <w:t>​</w:t>
      </w:r>
    </w:p>
    <w:p w14:paraId="1C26E3C9">
      <w:pPr>
        <w:pStyle w:val="6"/>
        <w:ind w:firstLine="420"/>
      </w:pPr>
      <w:r>
        <w:t>问题：①表格与文字的衔接缺乏 “过渡句”，直接从表格跳转至 “本文系统梳理了...”，</w:t>
      </w:r>
      <w:r>
        <w:rPr>
          <w:rFonts w:hint="eastAsia"/>
        </w:rPr>
        <w:t>为对表格进行说明。——宋明阳</w:t>
      </w:r>
    </w:p>
  </w:comment>
  <w:comment w:id="41" w:author="WPS_1691574206" w:date="2025-10-18T17:14:00Z" w:initials="">
    <w:p w14:paraId="6433D99E">
      <w:pPr>
        <w:pStyle w:val="6"/>
        <w:ind w:firstLine="420"/>
      </w:pPr>
      <w:r>
        <w:rPr>
          <w:rFonts w:hint="eastAsia"/>
        </w:rPr>
        <w:t>未引用，应标明引用文献——宋明阳</w:t>
      </w:r>
    </w:p>
    <w:p w14:paraId="0B1BD316">
      <w:pPr>
        <w:pStyle w:val="6"/>
        <w:ind w:firstLine="0" w:firstLineChars="0"/>
      </w:pPr>
    </w:p>
  </w:comment>
  <w:comment w:id="42" w:author="Microsoft users" w:date="2025-10-03T13:56:00Z" w:initials="Mu">
    <w:p w14:paraId="6527494A">
      <w:pPr>
        <w:pStyle w:val="6"/>
        <w:ind w:firstLine="420"/>
      </w:pPr>
      <w:r>
        <w:rPr>
          <w:rFonts w:hint="eastAsia"/>
        </w:rPr>
        <w:t>每个</w:t>
      </w:r>
      <w:r>
        <w:t>参考文献应该在正文中，按照顺序被引用。</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27DCD19D" w15:done="0"/>
  <w15:commentEx w15:paraId="089389B2" w15:done="0"/>
  <w15:commentEx w15:paraId="612239C3" w15:done="0"/>
  <w15:commentEx w15:paraId="40CF86D8" w15:done="0"/>
  <w15:commentEx w15:paraId="3E227374" w15:done="0"/>
  <w15:commentEx w15:paraId="17DB409F" w15:done="0"/>
  <w15:commentEx w15:paraId="0E033B46" w15:done="0"/>
  <w15:commentEx w15:paraId="579F3D5B" w15:done="0"/>
  <w15:commentEx w15:paraId="01E25D22" w15:done="0"/>
  <w15:commentEx w15:paraId="3CB74CF8" w15:done="0"/>
  <w15:commentEx w15:paraId="0CD1394E" w15:done="0"/>
  <w15:commentEx w15:paraId="014C028E" w15:done="0"/>
  <w15:commentEx w15:paraId="54643F64" w15:done="0"/>
  <w15:commentEx w15:paraId="0A6C1656" w15:done="0"/>
  <w15:commentEx w15:paraId="05503FAC" w15:done="0"/>
  <w15:commentEx w15:paraId="17F193EB" w15:done="0"/>
  <w15:commentEx w15:paraId="24B72D1A" w15:done="0"/>
  <w15:commentEx w15:paraId="4AFD2CD6" w15:done="0"/>
  <w15:commentEx w15:paraId="4102880B" w15:done="0"/>
  <w15:commentEx w15:paraId="450B20F5" w15:done="0"/>
  <w15:commentEx w15:paraId="38FBCBF9" w15:done="0"/>
  <w15:commentEx w15:paraId="71462076" w15:done="0"/>
  <w15:commentEx w15:paraId="6B38F08A" w15:done="0"/>
  <w15:commentEx w15:paraId="5AA2DD69" w15:done="0"/>
  <w15:commentEx w15:paraId="1A152543" w15:done="0"/>
  <w15:commentEx w15:paraId="292F2A71" w15:done="0"/>
  <w15:commentEx w15:paraId="3D7009BF" w15:done="0"/>
  <w15:commentEx w15:paraId="32C5C142" w15:done="0"/>
  <w15:commentEx w15:paraId="1C57472A" w15:done="0"/>
  <w15:commentEx w15:paraId="3BD74562" w15:done="0"/>
  <w15:commentEx w15:paraId="74869B43" w15:done="0"/>
  <w15:commentEx w15:paraId="77EED698" w15:done="0"/>
  <w15:commentEx w15:paraId="31D288DA" w15:done="0"/>
  <w15:commentEx w15:paraId="4C99E566" w15:done="0"/>
  <w15:commentEx w15:paraId="1289833D" w15:done="0"/>
  <w15:commentEx w15:paraId="44A5FA8D" w15:done="0"/>
  <w15:commentEx w15:paraId="295B1C46" w15:done="0"/>
  <w15:commentEx w15:paraId="440D3D90" w15:done="0"/>
  <w15:commentEx w15:paraId="625CDCEB" w15:done="0"/>
  <w15:commentEx w15:paraId="2149D4AE" w15:done="0"/>
  <w15:commentEx w15:paraId="1C26E3C9" w15:done="0"/>
  <w15:commentEx w15:paraId="0B1BD316" w15:done="0"/>
  <w15:commentEx w15:paraId="6527494A"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ind w:firstLine="420"/>
      </w:pPr>
      <w:r>
        <w:separator/>
      </w:r>
    </w:p>
  </w:endnote>
  <w:endnote w:type="continuationSeparator" w:id="1">
    <w:p>
      <w:pPr>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楷体_GB2312">
    <w:altName w:val="楷体"/>
    <w:panose1 w:val="00000000000000000000"/>
    <w:charset w:val="86"/>
    <w:family w:val="modern"/>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 w:name="Microsoft Sans Serif">
    <w:panose1 w:val="020B0604020202020204"/>
    <w:charset w:val="00"/>
    <w:family w:val="swiss"/>
    <w:pitch w:val="default"/>
    <w:sig w:usb0="E5002EFF" w:usb1="C000605B" w:usb2="00000029" w:usb3="00000000" w:csb0="200101FF" w:csb1="20280000"/>
  </w:font>
  <w:font w:name="Segoe UI">
    <w:panose1 w:val="020B0502040204020203"/>
    <w:charset w:val="00"/>
    <w:family w:val="swiss"/>
    <w:pitch w:val="default"/>
    <w:sig w:usb0="E4002EFF" w:usb1="C000E47F" w:usb2="00000009" w:usb3="00000000" w:csb0="200001FF" w:csb1="00000000"/>
  </w:font>
  <w:font w:name="Segoe UI Emoji">
    <w:panose1 w:val="020B0502040204020203"/>
    <w:charset w:val="00"/>
    <w:family w:val="swiss"/>
    <w:pitch w:val="default"/>
    <w:sig w:usb0="00000001" w:usb1="02000000" w:usb2="08000000" w:usb3="00000000" w:csb0="00000001" w:csb1="00000000"/>
  </w:font>
  <w:font w:name="Cambria Math">
    <w:panose1 w:val="02040503050406030204"/>
    <w:charset w:val="00"/>
    <w:family w:val="roman"/>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303471434"/>
    </w:sdtPr>
    <w:sdtContent>
      <w:p w14:paraId="7105DA9B">
        <w:pPr>
          <w:pStyle w:val="9"/>
          <w:ind w:firstLine="360"/>
          <w:jc w:val="center"/>
        </w:pPr>
        <w:r>
          <w:fldChar w:fldCharType="begin"/>
        </w:r>
        <w:r>
          <w:instrText xml:space="preserve">PAGE   \* MERGEFORMAT</w:instrText>
        </w:r>
        <w:r>
          <w:fldChar w:fldCharType="separate"/>
        </w:r>
        <w:r>
          <w:rPr>
            <w:lang w:val="zh-CN"/>
          </w:rPr>
          <w:t>13</w:t>
        </w:r>
        <w:r>
          <w:fldChar w:fldCharType="end"/>
        </w:r>
      </w:p>
    </w:sdtContent>
  </w:sdt>
  <w:p w14:paraId="08A05CA1">
    <w:pPr>
      <w:pStyle w:val="9"/>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ECFD79">
    <w:pPr>
      <w:pStyle w:val="9"/>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CAE57C">
    <w:pPr>
      <w:pStyle w:val="9"/>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ind w:firstLine="420"/>
      </w:pPr>
      <w:r>
        <w:separator/>
      </w:r>
    </w:p>
  </w:footnote>
  <w:footnote w:type="continuationSeparator" w:id="1">
    <w:p>
      <w:pPr>
        <w:ind w:firstLine="42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8D8203">
    <w:pPr>
      <w:pStyle w:val="10"/>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8E792F">
    <w:pPr>
      <w:pStyle w:val="10"/>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306DC0">
    <w:pPr>
      <w:pStyle w:val="10"/>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B061F03"/>
    <w:multiLevelType w:val="multilevel"/>
    <w:tmpl w:val="0B061F0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4AC34E4A"/>
    <w:multiLevelType w:val="multilevel"/>
    <w:tmpl w:val="4AC34E4A"/>
    <w:lvl w:ilvl="0" w:tentative="0">
      <w:start w:val="1"/>
      <w:numFmt w:val="decimal"/>
      <w:lvlText w:val="%1."/>
      <w:lvlJc w:val="left"/>
      <w:pPr>
        <w:ind w:left="560" w:hanging="360"/>
      </w:pPr>
      <w:rPr>
        <w:rFonts w:hint="default"/>
        <w:b/>
      </w:rPr>
    </w:lvl>
    <w:lvl w:ilvl="1" w:tentative="0">
      <w:start w:val="1"/>
      <w:numFmt w:val="lowerLetter"/>
      <w:lvlText w:val="%2)"/>
      <w:lvlJc w:val="left"/>
      <w:pPr>
        <w:ind w:left="1080" w:hanging="440"/>
      </w:pPr>
    </w:lvl>
    <w:lvl w:ilvl="2" w:tentative="0">
      <w:start w:val="1"/>
      <w:numFmt w:val="lowerRoman"/>
      <w:lvlText w:val="%3."/>
      <w:lvlJc w:val="right"/>
      <w:pPr>
        <w:ind w:left="1520" w:hanging="440"/>
      </w:pPr>
    </w:lvl>
    <w:lvl w:ilvl="3" w:tentative="0">
      <w:start w:val="1"/>
      <w:numFmt w:val="decimal"/>
      <w:lvlText w:val="%4."/>
      <w:lvlJc w:val="left"/>
      <w:pPr>
        <w:ind w:left="1960" w:hanging="440"/>
      </w:pPr>
    </w:lvl>
    <w:lvl w:ilvl="4" w:tentative="0">
      <w:start w:val="1"/>
      <w:numFmt w:val="lowerLetter"/>
      <w:lvlText w:val="%5)"/>
      <w:lvlJc w:val="left"/>
      <w:pPr>
        <w:ind w:left="2400" w:hanging="440"/>
      </w:pPr>
    </w:lvl>
    <w:lvl w:ilvl="5" w:tentative="0">
      <w:start w:val="1"/>
      <w:numFmt w:val="lowerRoman"/>
      <w:lvlText w:val="%6."/>
      <w:lvlJc w:val="right"/>
      <w:pPr>
        <w:ind w:left="2840" w:hanging="440"/>
      </w:pPr>
    </w:lvl>
    <w:lvl w:ilvl="6" w:tentative="0">
      <w:start w:val="1"/>
      <w:numFmt w:val="decimal"/>
      <w:lvlText w:val="%7."/>
      <w:lvlJc w:val="left"/>
      <w:pPr>
        <w:ind w:left="3280" w:hanging="440"/>
      </w:pPr>
    </w:lvl>
    <w:lvl w:ilvl="7" w:tentative="0">
      <w:start w:val="1"/>
      <w:numFmt w:val="lowerLetter"/>
      <w:lvlText w:val="%8)"/>
      <w:lvlJc w:val="left"/>
      <w:pPr>
        <w:ind w:left="3720" w:hanging="440"/>
      </w:pPr>
    </w:lvl>
    <w:lvl w:ilvl="8" w:tentative="0">
      <w:start w:val="1"/>
      <w:numFmt w:val="lowerRoman"/>
      <w:lvlText w:val="%9."/>
      <w:lvlJc w:val="right"/>
      <w:pPr>
        <w:ind w:left="4160" w:hanging="440"/>
      </w:pPr>
    </w:lvl>
  </w:abstractNum>
  <w:abstractNum w:abstractNumId="2">
    <w:nsid w:val="6202D2CF"/>
    <w:multiLevelType w:val="singleLevel"/>
    <w:tmpl w:val="6202D2CF"/>
    <w:lvl w:ilvl="0" w:tentative="0">
      <w:start w:val="1"/>
      <w:numFmt w:val="decimal"/>
      <w:suff w:val="nothing"/>
      <w:lvlText w:val="%1、"/>
      <w:lvlJc w:val="left"/>
    </w:lvl>
  </w:abstractNum>
  <w:num w:numId="1">
    <w:abstractNumId w:val="2"/>
  </w:num>
  <w:num w:numId="2">
    <w:abstractNumId w:val="0"/>
  </w:num>
  <w:num w:numId="3">
    <w:abstractNumId w:val="1"/>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Lenovo">
    <w15:presenceInfo w15:providerId="None" w15:userId="Lenovo"/>
  </w15:person>
  <w15:person w15:author="Microsoft users">
    <w15:presenceInfo w15:providerId="None" w15:userId="Microsoft users"/>
  </w15:person>
  <w15:person w15:author="WPS_1691574206">
    <w15:presenceInfo w15:providerId="None" w15:userId="WPS_1691574206"/>
  </w15:person>
  <w15:person w15:author="WPS_1688228856">
    <w15:presenceInfo w15:providerId="WPS Office" w15:userId="5559727089"/>
  </w15:person>
  <w15:person w15:author="微信用户">
    <w15:presenceInfo w15:providerId="None" w15:userId="微信用户"/>
  </w15:person>
  <w15:person w15:author="WPS_1691574206 [2]">
    <w15:presenceInfo w15:providerId="WPS Office" w15:userId="1250002320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jFmZWIzNDg2MmIzZjExOTIzMmViNTBmYTMwYTk0ZWYifQ=="/>
  </w:docVars>
  <w:rsids>
    <w:rsidRoot w:val="00144DF6"/>
    <w:rsid w:val="00020CF5"/>
    <w:rsid w:val="00046481"/>
    <w:rsid w:val="00075A6C"/>
    <w:rsid w:val="000B155D"/>
    <w:rsid w:val="000E00E5"/>
    <w:rsid w:val="00102018"/>
    <w:rsid w:val="00104505"/>
    <w:rsid w:val="00135983"/>
    <w:rsid w:val="00141FF1"/>
    <w:rsid w:val="00144DF6"/>
    <w:rsid w:val="0015039D"/>
    <w:rsid w:val="00166C21"/>
    <w:rsid w:val="001804D7"/>
    <w:rsid w:val="00186873"/>
    <w:rsid w:val="00196B1C"/>
    <w:rsid w:val="001F2FF1"/>
    <w:rsid w:val="002147CB"/>
    <w:rsid w:val="00227656"/>
    <w:rsid w:val="00287479"/>
    <w:rsid w:val="002A5FB9"/>
    <w:rsid w:val="00310264"/>
    <w:rsid w:val="0034204B"/>
    <w:rsid w:val="003432E7"/>
    <w:rsid w:val="00376C8D"/>
    <w:rsid w:val="003821B8"/>
    <w:rsid w:val="00392D45"/>
    <w:rsid w:val="003B2726"/>
    <w:rsid w:val="003C53BB"/>
    <w:rsid w:val="003D3824"/>
    <w:rsid w:val="003D4EE1"/>
    <w:rsid w:val="003E743C"/>
    <w:rsid w:val="004204D6"/>
    <w:rsid w:val="004348A7"/>
    <w:rsid w:val="004562DB"/>
    <w:rsid w:val="004573EF"/>
    <w:rsid w:val="00510A9C"/>
    <w:rsid w:val="005270E7"/>
    <w:rsid w:val="00527154"/>
    <w:rsid w:val="0055149C"/>
    <w:rsid w:val="00553B0E"/>
    <w:rsid w:val="00585F2A"/>
    <w:rsid w:val="005A3B01"/>
    <w:rsid w:val="005C26C0"/>
    <w:rsid w:val="005C40BE"/>
    <w:rsid w:val="005D1BFF"/>
    <w:rsid w:val="005E0FEE"/>
    <w:rsid w:val="005F000A"/>
    <w:rsid w:val="00651A07"/>
    <w:rsid w:val="00662857"/>
    <w:rsid w:val="0066432C"/>
    <w:rsid w:val="00677761"/>
    <w:rsid w:val="006A39C3"/>
    <w:rsid w:val="006C28E6"/>
    <w:rsid w:val="006D584F"/>
    <w:rsid w:val="00701645"/>
    <w:rsid w:val="00706B65"/>
    <w:rsid w:val="007372A8"/>
    <w:rsid w:val="007727E0"/>
    <w:rsid w:val="0078125A"/>
    <w:rsid w:val="00821B2A"/>
    <w:rsid w:val="008530DD"/>
    <w:rsid w:val="00883AC5"/>
    <w:rsid w:val="008B47F8"/>
    <w:rsid w:val="008D147D"/>
    <w:rsid w:val="008D2E9D"/>
    <w:rsid w:val="0096583D"/>
    <w:rsid w:val="00970ECD"/>
    <w:rsid w:val="00982FA6"/>
    <w:rsid w:val="009835D5"/>
    <w:rsid w:val="009A6C86"/>
    <w:rsid w:val="009C749A"/>
    <w:rsid w:val="009E18CA"/>
    <w:rsid w:val="009E3C73"/>
    <w:rsid w:val="009F4A71"/>
    <w:rsid w:val="00A14BF4"/>
    <w:rsid w:val="00A15C7A"/>
    <w:rsid w:val="00A719E0"/>
    <w:rsid w:val="00AB067C"/>
    <w:rsid w:val="00AE201C"/>
    <w:rsid w:val="00AE7C92"/>
    <w:rsid w:val="00B03890"/>
    <w:rsid w:val="00B074D5"/>
    <w:rsid w:val="00B2701E"/>
    <w:rsid w:val="00B36BE3"/>
    <w:rsid w:val="00B5760D"/>
    <w:rsid w:val="00B617F7"/>
    <w:rsid w:val="00B72A21"/>
    <w:rsid w:val="00B775FA"/>
    <w:rsid w:val="00BA404F"/>
    <w:rsid w:val="00C25AA9"/>
    <w:rsid w:val="00C61E11"/>
    <w:rsid w:val="00C85F95"/>
    <w:rsid w:val="00C914F3"/>
    <w:rsid w:val="00CA1487"/>
    <w:rsid w:val="00CA7FEE"/>
    <w:rsid w:val="00CB2878"/>
    <w:rsid w:val="00CD5F1D"/>
    <w:rsid w:val="00CE59A2"/>
    <w:rsid w:val="00CF0042"/>
    <w:rsid w:val="00D13B9F"/>
    <w:rsid w:val="00D712A8"/>
    <w:rsid w:val="00D803EE"/>
    <w:rsid w:val="00D809F7"/>
    <w:rsid w:val="00D91F77"/>
    <w:rsid w:val="00DB6897"/>
    <w:rsid w:val="00DC3793"/>
    <w:rsid w:val="00DD2AF2"/>
    <w:rsid w:val="00E26229"/>
    <w:rsid w:val="00E467B5"/>
    <w:rsid w:val="00E6275A"/>
    <w:rsid w:val="00E73BBA"/>
    <w:rsid w:val="00E7480E"/>
    <w:rsid w:val="00EA5890"/>
    <w:rsid w:val="00EC39FF"/>
    <w:rsid w:val="00ED6ACE"/>
    <w:rsid w:val="00EF646C"/>
    <w:rsid w:val="00F05976"/>
    <w:rsid w:val="00F84B02"/>
    <w:rsid w:val="14445652"/>
    <w:rsid w:val="3C37062A"/>
    <w:rsid w:val="56925F29"/>
    <w:rsid w:val="5E1F6237"/>
    <w:rsid w:val="62DB5128"/>
    <w:rsid w:val="633A001D"/>
    <w:rsid w:val="66EA2665"/>
    <w:rsid w:val="76E8259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ind w:firstLine="200" w:firstLineChars="20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23"/>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24"/>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4">
    <w:name w:val="heading 4"/>
    <w:basedOn w:val="1"/>
    <w:next w:val="1"/>
    <w:link w:val="34"/>
    <w:semiHidden/>
    <w:unhideWhenUsed/>
    <w:qFormat/>
    <w:uiPriority w:val="9"/>
    <w:pPr>
      <w:keepNext/>
      <w:keepLines/>
      <w:spacing w:before="280" w:after="290" w:line="376" w:lineRule="auto"/>
      <w:outlineLvl w:val="3"/>
    </w:pPr>
    <w:rPr>
      <w:rFonts w:asciiTheme="majorHAnsi" w:hAnsiTheme="majorHAnsi" w:eastAsiaTheme="majorEastAsia" w:cstheme="majorBidi"/>
      <w:b/>
      <w:bCs/>
      <w:sz w:val="28"/>
      <w:szCs w:val="28"/>
    </w:rPr>
  </w:style>
  <w:style w:type="character" w:default="1" w:styleId="16">
    <w:name w:val="Default Paragraph Font"/>
    <w:semiHidden/>
    <w:unhideWhenUsed/>
    <w:qFormat/>
    <w:uiPriority w:val="1"/>
  </w:style>
  <w:style w:type="table" w:default="1" w:styleId="14">
    <w:name w:val="Normal Table"/>
    <w:semiHidden/>
    <w:unhideWhenUsed/>
    <w:qFormat/>
    <w:uiPriority w:val="99"/>
    <w:tblPr>
      <w:tblCellMar>
        <w:top w:w="0" w:type="dxa"/>
        <w:left w:w="108" w:type="dxa"/>
        <w:bottom w:w="0" w:type="dxa"/>
        <w:right w:w="108" w:type="dxa"/>
      </w:tblCellMar>
    </w:tblPr>
  </w:style>
  <w:style w:type="paragraph" w:styleId="5">
    <w:name w:val="caption"/>
    <w:basedOn w:val="1"/>
    <w:next w:val="1"/>
    <w:unhideWhenUsed/>
    <w:qFormat/>
    <w:uiPriority w:val="35"/>
    <w:rPr>
      <w:rFonts w:eastAsia="黑体" w:asciiTheme="majorHAnsi" w:hAnsiTheme="majorHAnsi" w:cstheme="majorBidi"/>
      <w:sz w:val="20"/>
      <w:szCs w:val="20"/>
    </w:rPr>
  </w:style>
  <w:style w:type="paragraph" w:styleId="6">
    <w:name w:val="annotation text"/>
    <w:basedOn w:val="1"/>
    <w:link w:val="35"/>
    <w:unhideWhenUsed/>
    <w:qFormat/>
    <w:uiPriority w:val="99"/>
    <w:pPr>
      <w:jc w:val="left"/>
    </w:pPr>
  </w:style>
  <w:style w:type="paragraph" w:styleId="7">
    <w:name w:val="Plain Text"/>
    <w:basedOn w:val="1"/>
    <w:link w:val="21"/>
    <w:qFormat/>
    <w:uiPriority w:val="0"/>
    <w:rPr>
      <w:rFonts w:ascii="宋体" w:hAnsi="Courier New"/>
      <w:szCs w:val="21"/>
    </w:rPr>
  </w:style>
  <w:style w:type="paragraph" w:styleId="8">
    <w:name w:val="Balloon Text"/>
    <w:basedOn w:val="1"/>
    <w:link w:val="37"/>
    <w:semiHidden/>
    <w:unhideWhenUsed/>
    <w:qFormat/>
    <w:uiPriority w:val="99"/>
    <w:rPr>
      <w:sz w:val="18"/>
      <w:szCs w:val="18"/>
    </w:rPr>
  </w:style>
  <w:style w:type="paragraph" w:styleId="9">
    <w:name w:val="footer"/>
    <w:basedOn w:val="1"/>
    <w:link w:val="26"/>
    <w:unhideWhenUsed/>
    <w:qFormat/>
    <w:uiPriority w:val="99"/>
    <w:pPr>
      <w:tabs>
        <w:tab w:val="center" w:pos="4153"/>
        <w:tab w:val="right" w:pos="8306"/>
      </w:tabs>
      <w:snapToGrid w:val="0"/>
      <w:jc w:val="left"/>
    </w:pPr>
    <w:rPr>
      <w:sz w:val="18"/>
      <w:szCs w:val="18"/>
    </w:rPr>
  </w:style>
  <w:style w:type="paragraph" w:styleId="10">
    <w:name w:val="header"/>
    <w:basedOn w:val="1"/>
    <w:link w:val="25"/>
    <w:unhideWhenUsed/>
    <w:qFormat/>
    <w:uiPriority w:val="99"/>
    <w:pPr>
      <w:pBdr>
        <w:bottom w:val="single" w:color="auto" w:sz="6" w:space="1"/>
      </w:pBdr>
      <w:tabs>
        <w:tab w:val="center" w:pos="4153"/>
        <w:tab w:val="right" w:pos="8306"/>
      </w:tabs>
      <w:snapToGrid w:val="0"/>
      <w:jc w:val="center"/>
    </w:pPr>
    <w:rPr>
      <w:sz w:val="18"/>
      <w:szCs w:val="18"/>
    </w:rPr>
  </w:style>
  <w:style w:type="paragraph" w:styleId="11">
    <w:name w:val="Normal (Web)"/>
    <w:basedOn w:val="1"/>
    <w:qFormat/>
    <w:uiPriority w:val="0"/>
    <w:pPr>
      <w:widowControl/>
      <w:spacing w:before="100" w:beforeAutospacing="1" w:after="100" w:afterAutospacing="1"/>
      <w:jc w:val="left"/>
    </w:pPr>
    <w:rPr>
      <w:rFonts w:ascii="宋体" w:hAnsi="宋体"/>
      <w:kern w:val="0"/>
      <w:sz w:val="24"/>
    </w:rPr>
  </w:style>
  <w:style w:type="paragraph" w:styleId="12">
    <w:name w:val="Title"/>
    <w:next w:val="1"/>
    <w:link w:val="29"/>
    <w:qFormat/>
    <w:uiPriority w:val="0"/>
    <w:pPr>
      <w:spacing w:after="156" w:afterLines="50"/>
      <w:jc w:val="center"/>
      <w:outlineLvl w:val="0"/>
    </w:pPr>
    <w:rPr>
      <w:rFonts w:ascii="Arial" w:hAnsi="Arial" w:eastAsia="黑体" w:cs="Arial"/>
      <w:bCs/>
      <w:kern w:val="2"/>
      <w:sz w:val="36"/>
      <w:szCs w:val="36"/>
      <w:lang w:val="en-US" w:eastAsia="zh-CN" w:bidi="ar-SA"/>
    </w:rPr>
  </w:style>
  <w:style w:type="paragraph" w:styleId="13">
    <w:name w:val="annotation subject"/>
    <w:basedOn w:val="6"/>
    <w:next w:val="6"/>
    <w:link w:val="36"/>
    <w:semiHidden/>
    <w:unhideWhenUsed/>
    <w:qFormat/>
    <w:uiPriority w:val="99"/>
    <w:rPr>
      <w:b/>
      <w:bCs/>
    </w:rPr>
  </w:style>
  <w:style w:type="table" w:styleId="15">
    <w:name w:val="Table Grid"/>
    <w:basedOn w:val="1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Strong"/>
    <w:basedOn w:val="16"/>
    <w:qFormat/>
    <w:uiPriority w:val="22"/>
    <w:rPr>
      <w:b/>
      <w:bCs/>
    </w:rPr>
  </w:style>
  <w:style w:type="character" w:styleId="18">
    <w:name w:val="Emphasis"/>
    <w:basedOn w:val="16"/>
    <w:qFormat/>
    <w:uiPriority w:val="20"/>
    <w:rPr>
      <w:i/>
      <w:iCs/>
    </w:rPr>
  </w:style>
  <w:style w:type="character" w:styleId="19">
    <w:name w:val="Hyperlink"/>
    <w:basedOn w:val="16"/>
    <w:unhideWhenUsed/>
    <w:qFormat/>
    <w:uiPriority w:val="99"/>
    <w:rPr>
      <w:color w:val="0000FF" w:themeColor="hyperlink"/>
      <w:u w:val="single"/>
      <w14:textFill>
        <w14:solidFill>
          <w14:schemeClr w14:val="hlink"/>
        </w14:solidFill>
      </w14:textFill>
    </w:rPr>
  </w:style>
  <w:style w:type="character" w:styleId="20">
    <w:name w:val="annotation reference"/>
    <w:basedOn w:val="16"/>
    <w:semiHidden/>
    <w:unhideWhenUsed/>
    <w:qFormat/>
    <w:uiPriority w:val="99"/>
    <w:rPr>
      <w:sz w:val="21"/>
      <w:szCs w:val="21"/>
    </w:rPr>
  </w:style>
  <w:style w:type="character" w:customStyle="1" w:styleId="21">
    <w:name w:val="纯文本 字符"/>
    <w:basedOn w:val="16"/>
    <w:link w:val="7"/>
    <w:qFormat/>
    <w:uiPriority w:val="0"/>
    <w:rPr>
      <w:rFonts w:ascii="宋体" w:hAnsi="Courier New" w:eastAsia="宋体" w:cs="Times New Roman"/>
      <w:szCs w:val="21"/>
    </w:rPr>
  </w:style>
  <w:style w:type="paragraph" w:styleId="22">
    <w:name w:val="List Paragraph"/>
    <w:basedOn w:val="1"/>
    <w:qFormat/>
    <w:uiPriority w:val="34"/>
    <w:pPr>
      <w:ind w:firstLine="420"/>
    </w:pPr>
  </w:style>
  <w:style w:type="character" w:customStyle="1" w:styleId="23">
    <w:name w:val="标题 1 字符"/>
    <w:basedOn w:val="16"/>
    <w:link w:val="2"/>
    <w:qFormat/>
    <w:uiPriority w:val="9"/>
    <w:rPr>
      <w:rFonts w:ascii="Times New Roman" w:hAnsi="Times New Roman" w:eastAsia="宋体" w:cs="Times New Roman"/>
      <w:b/>
      <w:bCs/>
      <w:kern w:val="44"/>
      <w:sz w:val="44"/>
      <w:szCs w:val="44"/>
    </w:rPr>
  </w:style>
  <w:style w:type="character" w:customStyle="1" w:styleId="24">
    <w:name w:val="标题 2 字符"/>
    <w:basedOn w:val="16"/>
    <w:link w:val="3"/>
    <w:qFormat/>
    <w:uiPriority w:val="9"/>
    <w:rPr>
      <w:rFonts w:asciiTheme="majorHAnsi" w:hAnsiTheme="majorHAnsi" w:eastAsiaTheme="majorEastAsia" w:cstheme="majorBidi"/>
      <w:b/>
      <w:bCs/>
      <w:sz w:val="32"/>
      <w:szCs w:val="32"/>
    </w:rPr>
  </w:style>
  <w:style w:type="character" w:customStyle="1" w:styleId="25">
    <w:name w:val="页眉 字符"/>
    <w:basedOn w:val="16"/>
    <w:link w:val="10"/>
    <w:qFormat/>
    <w:uiPriority w:val="99"/>
    <w:rPr>
      <w:rFonts w:ascii="Times New Roman" w:hAnsi="Times New Roman" w:eastAsia="宋体" w:cs="Times New Roman"/>
      <w:sz w:val="18"/>
      <w:szCs w:val="18"/>
    </w:rPr>
  </w:style>
  <w:style w:type="character" w:customStyle="1" w:styleId="26">
    <w:name w:val="页脚 字符"/>
    <w:basedOn w:val="16"/>
    <w:link w:val="9"/>
    <w:qFormat/>
    <w:uiPriority w:val="99"/>
    <w:rPr>
      <w:rFonts w:ascii="Times New Roman" w:hAnsi="Times New Roman" w:eastAsia="宋体" w:cs="Times New Roman"/>
      <w:sz w:val="18"/>
      <w:szCs w:val="18"/>
    </w:rPr>
  </w:style>
  <w:style w:type="paragraph" w:customStyle="1" w:styleId="27">
    <w:name w:val="作者"/>
    <w:next w:val="1"/>
    <w:qFormat/>
    <w:uiPriority w:val="0"/>
    <w:pPr>
      <w:jc w:val="center"/>
    </w:pPr>
    <w:rPr>
      <w:rFonts w:ascii="Times New Roman" w:hAnsi="Times New Roman" w:eastAsia="楷体_GB2312" w:cs="Times New Roman"/>
      <w:kern w:val="2"/>
      <w:sz w:val="24"/>
      <w:lang w:val="en-US" w:eastAsia="zh-CN" w:bidi="ar-SA"/>
    </w:rPr>
  </w:style>
  <w:style w:type="paragraph" w:customStyle="1" w:styleId="28">
    <w:name w:val="作者单位"/>
    <w:next w:val="1"/>
    <w:qFormat/>
    <w:uiPriority w:val="0"/>
    <w:pPr>
      <w:adjustRightInd w:val="0"/>
      <w:snapToGrid w:val="0"/>
      <w:spacing w:before="50" w:beforeLines="50" w:after="50" w:afterLines="50"/>
      <w:jc w:val="center"/>
    </w:pPr>
    <w:rPr>
      <w:rFonts w:ascii="Times New Roman" w:hAnsi="Times New Roman" w:eastAsia="楷体_GB2312" w:cs="Times New Roman"/>
      <w:kern w:val="2"/>
      <w:sz w:val="18"/>
      <w:lang w:val="en-US" w:eastAsia="zh-CN" w:bidi="ar-SA"/>
    </w:rPr>
  </w:style>
  <w:style w:type="character" w:customStyle="1" w:styleId="29">
    <w:name w:val="标题 字符"/>
    <w:basedOn w:val="16"/>
    <w:link w:val="12"/>
    <w:qFormat/>
    <w:uiPriority w:val="0"/>
    <w:rPr>
      <w:rFonts w:ascii="Arial" w:hAnsi="Arial" w:eastAsia="黑体" w:cs="Arial"/>
      <w:bCs/>
      <w:sz w:val="36"/>
      <w:szCs w:val="36"/>
    </w:rPr>
  </w:style>
  <w:style w:type="paragraph" w:customStyle="1" w:styleId="30">
    <w:name w:val="摘要，关键词"/>
    <w:next w:val="1"/>
    <w:qFormat/>
    <w:uiPriority w:val="0"/>
    <w:pPr>
      <w:spacing w:before="25" w:beforeLines="25"/>
      <w:jc w:val="both"/>
    </w:pPr>
    <w:rPr>
      <w:rFonts w:ascii="Times New Roman" w:hAnsi="Times New Roman" w:eastAsia="宋体" w:cs="Times New Roman"/>
      <w:kern w:val="2"/>
      <w:sz w:val="18"/>
      <w:szCs w:val="21"/>
      <w:lang w:val="en-US" w:eastAsia="zh-CN" w:bidi="ar-SA"/>
    </w:rPr>
  </w:style>
  <w:style w:type="paragraph" w:customStyle="1" w:styleId="31">
    <w:name w:val="参考文献标题"/>
    <w:next w:val="1"/>
    <w:qFormat/>
    <w:uiPriority w:val="0"/>
    <w:pPr>
      <w:spacing w:before="200" w:beforeLines="200" w:after="100" w:afterLines="100"/>
      <w:jc w:val="center"/>
    </w:pPr>
    <w:rPr>
      <w:rFonts w:ascii="Times New Roman" w:hAnsi="Times New Roman" w:eastAsia="黑体" w:cs="Times New Roman"/>
      <w:kern w:val="2"/>
      <w:sz w:val="21"/>
      <w:szCs w:val="21"/>
      <w:lang w:val="en-US" w:eastAsia="zh-CN" w:bidi="ar-SA"/>
    </w:rPr>
  </w:style>
  <w:style w:type="paragraph" w:customStyle="1" w:styleId="32">
    <w:name w:val="英文标题"/>
    <w:next w:val="1"/>
    <w:qFormat/>
    <w:uiPriority w:val="0"/>
    <w:pPr>
      <w:spacing w:before="50" w:beforeLines="50" w:after="50" w:afterLines="50"/>
      <w:jc w:val="center"/>
    </w:pPr>
    <w:rPr>
      <w:rFonts w:ascii="Microsoft Sans Serif" w:hAnsi="Microsoft Sans Serif" w:eastAsia="黑体" w:cs="Arial"/>
      <w:bCs/>
      <w:kern w:val="28"/>
      <w:sz w:val="36"/>
      <w:szCs w:val="36"/>
      <w:lang w:val="en-US" w:eastAsia="zh-CN" w:bidi="ar-SA"/>
    </w:rPr>
  </w:style>
  <w:style w:type="paragraph" w:customStyle="1" w:styleId="33">
    <w:name w:val="正文（首行缩进）"/>
    <w:qFormat/>
    <w:uiPriority w:val="0"/>
    <w:pPr>
      <w:spacing w:before="50" w:beforeLines="50"/>
      <w:ind w:firstLine="200" w:firstLineChars="200"/>
      <w:jc w:val="both"/>
    </w:pPr>
    <w:rPr>
      <w:rFonts w:ascii="Times New Roman" w:hAnsi="Times New Roman" w:eastAsia="宋体" w:cs="Times New Roman"/>
      <w:kern w:val="2"/>
      <w:sz w:val="21"/>
      <w:szCs w:val="21"/>
      <w:lang w:val="en-US" w:eastAsia="zh-CN" w:bidi="ar-SA"/>
    </w:rPr>
  </w:style>
  <w:style w:type="character" w:customStyle="1" w:styleId="34">
    <w:name w:val="标题 4 字符"/>
    <w:basedOn w:val="16"/>
    <w:link w:val="4"/>
    <w:semiHidden/>
    <w:qFormat/>
    <w:uiPriority w:val="9"/>
    <w:rPr>
      <w:rFonts w:asciiTheme="majorHAnsi" w:hAnsiTheme="majorHAnsi" w:eastAsiaTheme="majorEastAsia" w:cstheme="majorBidi"/>
      <w:b/>
      <w:bCs/>
      <w:kern w:val="2"/>
      <w:sz w:val="28"/>
      <w:szCs w:val="28"/>
    </w:rPr>
  </w:style>
  <w:style w:type="character" w:customStyle="1" w:styleId="35">
    <w:name w:val="批注文字 字符"/>
    <w:basedOn w:val="16"/>
    <w:link w:val="6"/>
    <w:qFormat/>
    <w:uiPriority w:val="99"/>
    <w:rPr>
      <w:rFonts w:ascii="Times New Roman" w:hAnsi="Times New Roman" w:eastAsia="宋体" w:cs="Times New Roman"/>
      <w:kern w:val="2"/>
      <w:sz w:val="21"/>
      <w:szCs w:val="24"/>
    </w:rPr>
  </w:style>
  <w:style w:type="character" w:customStyle="1" w:styleId="36">
    <w:name w:val="批注主题 字符"/>
    <w:basedOn w:val="35"/>
    <w:link w:val="13"/>
    <w:semiHidden/>
    <w:qFormat/>
    <w:uiPriority w:val="99"/>
    <w:rPr>
      <w:rFonts w:ascii="Times New Roman" w:hAnsi="Times New Roman" w:eastAsia="宋体" w:cs="Times New Roman"/>
      <w:b/>
      <w:bCs/>
      <w:kern w:val="2"/>
      <w:sz w:val="21"/>
      <w:szCs w:val="24"/>
    </w:rPr>
  </w:style>
  <w:style w:type="character" w:customStyle="1" w:styleId="37">
    <w:name w:val="批注框文本 字符"/>
    <w:basedOn w:val="16"/>
    <w:link w:val="8"/>
    <w:semiHidden/>
    <w:qFormat/>
    <w:uiPriority w:val="99"/>
    <w:rPr>
      <w:rFonts w:ascii="Times New Roman" w:hAnsi="Times New Roman" w:eastAsia="宋体" w:cs="Times New Roman"/>
      <w:kern w:val="2"/>
      <w:sz w:val="18"/>
      <w:szCs w:val="18"/>
    </w:rPr>
  </w:style>
  <w:style w:type="character" w:customStyle="1" w:styleId="38">
    <w:name w:val="AMEquationSection"/>
    <w:basedOn w:val="16"/>
    <w:qFormat/>
    <w:uiPriority w:val="0"/>
    <w:rPr>
      <w:rFonts w:ascii="Arial" w:hAnsi="Arial" w:eastAsia="黑体" w:cs="Arial"/>
      <w:bCs/>
      <w:vanish/>
      <w:color w:val="FF0000"/>
      <w:sz w:val="36"/>
      <w:szCs w:val="36"/>
    </w:rPr>
  </w:style>
  <w:style w:type="paragraph" w:customStyle="1" w:styleId="39">
    <w:name w:val="Revision"/>
    <w:hidden/>
    <w:unhideWhenUsed/>
    <w:qFormat/>
    <w:uiPriority w:val="99"/>
    <w:rPr>
      <w:rFonts w:ascii="Times New Roman" w:hAnsi="Times New Roman" w:eastAsia="宋体" w:cs="Times New Roman"/>
      <w:kern w:val="2"/>
      <w:sz w:val="21"/>
      <w:szCs w:val="24"/>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header" Target="header2.xml"/><Relationship Id="rId7" Type="http://schemas.openxmlformats.org/officeDocument/2006/relationships/header" Target="header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8" Type="http://schemas.microsoft.com/office/2011/relationships/people" Target="people.xml"/><Relationship Id="rId27" Type="http://schemas.openxmlformats.org/officeDocument/2006/relationships/fontTable" Target="fontTable.xml"/><Relationship Id="rId26" Type="http://schemas.openxmlformats.org/officeDocument/2006/relationships/customXml" Target="../customXml/item1.xml"/><Relationship Id="rId25" Type="http://schemas.openxmlformats.org/officeDocument/2006/relationships/numbering" Target="numbering.xml"/><Relationship Id="rId24" Type="http://schemas.openxmlformats.org/officeDocument/2006/relationships/image" Target="media/image11.png"/><Relationship Id="rId23" Type="http://schemas.openxmlformats.org/officeDocument/2006/relationships/image" Target="media/image10.png"/><Relationship Id="rId22" Type="http://schemas.openxmlformats.org/officeDocument/2006/relationships/image" Target="media/image9.png"/><Relationship Id="rId21" Type="http://schemas.openxmlformats.org/officeDocument/2006/relationships/image" Target="media/image8.png"/><Relationship Id="rId20" Type="http://schemas.openxmlformats.org/officeDocument/2006/relationships/image" Target="media/image7.png"/><Relationship Id="rId2" Type="http://schemas.openxmlformats.org/officeDocument/2006/relationships/settings" Target="settings.xml"/><Relationship Id="rId19" Type="http://schemas.openxmlformats.org/officeDocument/2006/relationships/image" Target="media/image6.png"/><Relationship Id="rId18" Type="http://schemas.openxmlformats.org/officeDocument/2006/relationships/image" Target="media/image5.png"/><Relationship Id="rId17" Type="http://schemas.openxmlformats.org/officeDocument/2006/relationships/image" Target="media/image4.png"/><Relationship Id="rId16" Type="http://schemas.openxmlformats.org/officeDocument/2006/relationships/image" Target="media/image3.png"/><Relationship Id="rId15" Type="http://schemas.openxmlformats.org/officeDocument/2006/relationships/image" Target="media/image2.png"/><Relationship Id="rId14" Type="http://schemas.openxmlformats.org/officeDocument/2006/relationships/image" Target="media/image1.png"/><Relationship Id="rId13" Type="http://schemas.openxmlformats.org/officeDocument/2006/relationships/theme" Target="theme/theme1.xml"/><Relationship Id="rId12" Type="http://schemas.openxmlformats.org/officeDocument/2006/relationships/footer" Target="footer3.xml"/><Relationship Id="rId11" Type="http://schemas.openxmlformats.org/officeDocument/2006/relationships/footer" Target="footer2.xml"/><Relationship Id="rId10" Type="http://schemas.openxmlformats.org/officeDocument/2006/relationships/footer" Target="footer1.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2E600A-E6F1-4F97-86E9-831688B486CE}">
  <ds:schemaRefs/>
</ds:datastoreItem>
</file>

<file path=docProps/app.xml><?xml version="1.0" encoding="utf-8"?>
<Properties xmlns="http://schemas.openxmlformats.org/officeDocument/2006/extended-properties" xmlns:vt="http://schemas.openxmlformats.org/officeDocument/2006/docPropsVTypes">
  <Template>Normal.dotm</Template>
  <Pages>19</Pages>
  <Words>16625</Words>
  <Characters>22362</Characters>
  <Lines>246</Lines>
  <Paragraphs>292</Paragraphs>
  <TotalTime>4</TotalTime>
  <ScaleCrop>false</ScaleCrop>
  <LinksUpToDate>false</LinksUpToDate>
  <CharactersWithSpaces>23472</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2025-10-12T16:12:00Z</dcterms:created>
  <dc:creator>HQZ</dc:creator>
  <cp:lastModifiedBy>WPS_1691574206</cp:lastModifiedBy>
  <dcterms:modified xsi:type="dcterms:W3CDTF">2025-10-18T12:06:20Z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B60B7C7281B04E7E92D124C6071C4FAD_13</vt:lpwstr>
  </property>
  <property fmtid="{D5CDD505-2E9C-101B-9397-08002B2CF9AE}" pid="4" name="AMEquationNumber2">
    <vt:lpwstr>(#S1.#E1)</vt:lpwstr>
  </property>
  <property fmtid="{D5CDD505-2E9C-101B-9397-08002B2CF9AE}" pid="5" name="AMEquationSection">
    <vt:lpwstr>1</vt:lpwstr>
  </property>
  <property fmtid="{D5CDD505-2E9C-101B-9397-08002B2CF9AE}" pid="6" name="KSOTemplateDocerSaveRecord">
    <vt:lpwstr>eyJoZGlkIjoiNjNlMzcyMDllNjc0ZjEyYWRkNDk5MmM4MDM3NmUyMWMiLCJ1c2VySWQiOiIxNTE5NTQ3Mjc5In0=</vt:lpwstr>
  </property>
</Properties>
</file>