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490C" w14:textId="77777777" w:rsidR="001D6137" w:rsidRDefault="00000000">
      <w:pPr>
        <w:pStyle w:val="1"/>
        <w:spacing w:before="214"/>
      </w:pPr>
      <w:bookmarkStart w:id="0" w:name="四、控制策略设计"/>
      <w:bookmarkEnd w:id="0"/>
      <w:r>
        <w:rPr>
          <w:spacing w:val="-2"/>
        </w:rPr>
        <w:t>四、控制策略设计</w:t>
      </w:r>
    </w:p>
    <w:p w14:paraId="742A01AD" w14:textId="1CB12D37" w:rsidR="00FE4B0D" w:rsidRDefault="003621D2" w:rsidP="002B1E30">
      <w:pPr>
        <w:pStyle w:val="a3"/>
        <w:tabs>
          <w:tab w:val="left" w:pos="939"/>
        </w:tabs>
        <w:spacing w:before="174" w:line="177" w:lineRule="auto"/>
        <w:ind w:right="205" w:firstLineChars="200" w:firstLine="420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680D4E">
        <w:rPr>
          <w:rFonts w:asciiTheme="minorEastAsia" w:eastAsiaTheme="minorEastAsia" w:hAnsiTheme="minorEastAsia"/>
          <w:sz w:val="21"/>
          <w:szCs w:val="21"/>
        </w:rPr>
        <w:t>控制策略是决定降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压斩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波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电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路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输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出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稳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定性和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动态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响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应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的核心，其核心目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标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是通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过调节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开关器件的占空比，使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输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出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电压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精准跟踪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设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定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值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。本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设计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采用</w:t>
      </w:r>
      <w:r w:rsidR="00FE4B0D" w:rsidRPr="00FE4B0D">
        <w:rPr>
          <w:rFonts w:asciiTheme="minorEastAsia" w:eastAsiaTheme="minorEastAsia" w:hAnsiTheme="minorEastAsia"/>
          <w:sz w:val="21"/>
          <w:szCs w:val="21"/>
        </w:rPr>
        <w:t>电压外环设计</w:t>
      </w:r>
      <w:r w:rsidR="00FE4B0D" w:rsidRPr="002B1E30">
        <w:rPr>
          <w:rFonts w:asciiTheme="minorEastAsia" w:eastAsiaTheme="minorEastAsia" w:hAnsiTheme="minorEastAsia" w:hint="eastAsia"/>
          <w:sz w:val="21"/>
          <w:szCs w:val="21"/>
        </w:rPr>
        <w:t>、</w:t>
      </w:r>
      <w:r w:rsidR="00FE4B0D" w:rsidRPr="00FE4B0D">
        <w:rPr>
          <w:rFonts w:asciiTheme="minorEastAsia" w:eastAsiaTheme="minorEastAsia" w:hAnsiTheme="minorEastAsia"/>
          <w:sz w:val="21"/>
          <w:szCs w:val="21"/>
        </w:rPr>
        <w:t>电流内环设计</w:t>
      </w:r>
      <w:r w:rsidR="00FE4B0D">
        <w:rPr>
          <w:rFonts w:asciiTheme="minorEastAsia" w:eastAsiaTheme="minorEastAsia" w:hAnsiTheme="minorEastAsia" w:cs="Yu Gothic" w:hint="eastAsia"/>
          <w:sz w:val="21"/>
          <w:szCs w:val="21"/>
        </w:rPr>
        <w:t>和抗干扰设计，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提升</w:t>
      </w:r>
      <w:r w:rsidRPr="00680D4E">
        <w:rPr>
          <w:rFonts w:asciiTheme="minorEastAsia" w:eastAsiaTheme="minorEastAsia" w:hAnsiTheme="minorEastAsia" w:cs="宋体" w:hint="eastAsia"/>
          <w:sz w:val="21"/>
          <w:szCs w:val="21"/>
        </w:rPr>
        <w:t>调节</w:t>
      </w:r>
      <w:r w:rsidRPr="00680D4E">
        <w:rPr>
          <w:rFonts w:asciiTheme="minorEastAsia" w:eastAsiaTheme="minorEastAsia" w:hAnsiTheme="minorEastAsia" w:cs="Yu Gothic" w:hint="eastAsia"/>
          <w:sz w:val="21"/>
          <w:szCs w:val="21"/>
        </w:rPr>
        <w:t>精度</w:t>
      </w:r>
      <w:r w:rsidRPr="00680D4E">
        <w:rPr>
          <w:rFonts w:asciiTheme="minorEastAsia" w:eastAsiaTheme="minorEastAsia" w:hAnsiTheme="minorEastAsia"/>
          <w:sz w:val="21"/>
          <w:szCs w:val="21"/>
        </w:rPr>
        <w:t>。</w:t>
      </w:r>
    </w:p>
    <w:p w14:paraId="7C5339F2" w14:textId="7AC64A80" w:rsidR="002B1E30" w:rsidRDefault="002B1E30" w:rsidP="00FE4B0D">
      <w:pPr>
        <w:pStyle w:val="a3"/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noProof/>
        </w:rPr>
        <w:drawing>
          <wp:inline distT="0" distB="0" distL="0" distR="0" wp14:anchorId="24251952" wp14:editId="468D865C">
            <wp:extent cx="5721350" cy="2282190"/>
            <wp:effectExtent l="0" t="0" r="0" b="3810"/>
            <wp:docPr id="94061099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0995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31C2" w14:textId="00847285" w:rsidR="00FE4B0D" w:rsidRPr="00FE4B0D" w:rsidRDefault="00FE4B0D" w:rsidP="00FE4B0D">
      <w:pPr>
        <w:pStyle w:val="a3"/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1. 双闭环控制理论分析</w:t>
      </w:r>
    </w:p>
    <w:p w14:paraId="3259B68B" w14:textId="77777777" w:rsidR="00FE4B0D" w:rsidRPr="00FE4B0D" w:rsidRDefault="00FE4B0D" w:rsidP="00FE4B0D">
      <w:pPr>
        <w:pStyle w:val="a3"/>
        <w:numPr>
          <w:ilvl w:val="0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电压外环设计</w:t>
      </w:r>
      <w:r w:rsidRPr="00FE4B0D">
        <w:rPr>
          <w:rFonts w:asciiTheme="minorEastAsia" w:eastAsiaTheme="minorEastAsia" w:hAnsiTheme="minorEastAsia"/>
          <w:sz w:val="21"/>
          <w:szCs w:val="21"/>
        </w:rPr>
        <w:t>：</w:t>
      </w:r>
    </w:p>
    <w:p w14:paraId="36BCCEE2" w14:textId="6349C2AA" w:rsidR="00FE4B0D" w:rsidRPr="00FE4B0D" w:rsidRDefault="00FE4B0D" w:rsidP="00FE4B0D">
      <w:pPr>
        <w:pStyle w:val="a3"/>
        <w:numPr>
          <w:ilvl w:val="1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sz w:val="21"/>
          <w:szCs w:val="21"/>
        </w:rPr>
        <w:t>采用 PI 调节器，传递函数为</w:t>
      </w:r>
      <w:r>
        <w:rPr>
          <w:noProof/>
        </w:rPr>
        <w:drawing>
          <wp:inline distT="0" distB="0" distL="0" distR="0" wp14:anchorId="1FBDEA12" wp14:editId="30ABD537">
            <wp:extent cx="1238673" cy="266700"/>
            <wp:effectExtent l="0" t="0" r="0" b="0"/>
            <wp:docPr id="192854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3696" cy="2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0D">
        <w:rPr>
          <w:rFonts w:asciiTheme="minorEastAsia" w:eastAsiaTheme="minorEastAsia" w:hAnsiTheme="minorEastAsia"/>
          <w:sz w:val="21"/>
          <w:szCs w:val="21"/>
        </w:rPr>
        <w:t>，作用是消除稳态误差，提升输出电压精度。</w:t>
      </w:r>
    </w:p>
    <w:p w14:paraId="04598C85" w14:textId="5903FCC2" w:rsidR="00FE4B0D" w:rsidRPr="00FE4B0D" w:rsidRDefault="00FE4B0D" w:rsidP="00FE4B0D">
      <w:pPr>
        <w:pStyle w:val="a3"/>
        <w:numPr>
          <w:ilvl w:val="1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sz w:val="21"/>
          <w:szCs w:val="21"/>
        </w:rPr>
        <w:t>参数整定：通过根轨迹法或极点配置法设计，目标使闭环系统阻尼比</w:t>
      </w:r>
      <w:r>
        <w:rPr>
          <w:rFonts w:asciiTheme="minorEastAsia" w:eastAsiaTheme="minorEastAsia" w:hAnsiTheme="minorEastAsia" w:hint="eastAsia"/>
          <w:sz w:val="21"/>
          <w:szCs w:val="21"/>
        </w:rPr>
        <w:t>为</w:t>
      </w:r>
      <w:r w:rsidRPr="00FE4B0D">
        <w:rPr>
          <w:rFonts w:asciiTheme="minorEastAsia" w:eastAsiaTheme="minorEastAsia" w:hAnsiTheme="minorEastAsia"/>
          <w:sz w:val="21"/>
          <w:szCs w:val="21"/>
        </w:rPr>
        <w:t>0.707（临界阻尼），自然频率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wn</w:t>
      </w:r>
      <w:proofErr w:type="spellEnd"/>
      <w:r w:rsidRPr="00FE4B0D">
        <w:rPr>
          <w:rFonts w:asciiTheme="minorEastAsia" w:eastAsiaTheme="minorEastAsia" w:hAnsiTheme="minorEastAsia"/>
          <w:sz w:val="21"/>
          <w:szCs w:val="21"/>
        </w:rPr>
        <w:t>= 100rad/s，确保动态响应速度与稳定性平衡。</w:t>
      </w:r>
    </w:p>
    <w:p w14:paraId="7A708AAD" w14:textId="77777777" w:rsidR="00FE4B0D" w:rsidRPr="00FE4B0D" w:rsidRDefault="00FE4B0D" w:rsidP="00FE4B0D">
      <w:pPr>
        <w:pStyle w:val="a3"/>
        <w:numPr>
          <w:ilvl w:val="0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电流内环设计</w:t>
      </w:r>
      <w:r w:rsidRPr="00FE4B0D">
        <w:rPr>
          <w:rFonts w:asciiTheme="minorEastAsia" w:eastAsiaTheme="minorEastAsia" w:hAnsiTheme="minorEastAsia"/>
          <w:sz w:val="21"/>
          <w:szCs w:val="21"/>
        </w:rPr>
        <w:t>：</w:t>
      </w:r>
    </w:p>
    <w:p w14:paraId="4A85102C" w14:textId="09048AAD" w:rsidR="00FE4B0D" w:rsidRPr="00FE4B0D" w:rsidRDefault="00FE4B0D" w:rsidP="00FE4B0D">
      <w:pPr>
        <w:pStyle w:val="a3"/>
        <w:numPr>
          <w:ilvl w:val="1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sz w:val="21"/>
          <w:szCs w:val="21"/>
        </w:rPr>
        <w:t>采用</w:t>
      </w:r>
      <w:proofErr w:type="gramStart"/>
      <w:r w:rsidRPr="00FE4B0D">
        <w:rPr>
          <w:rFonts w:asciiTheme="minorEastAsia" w:eastAsiaTheme="minorEastAsia" w:hAnsiTheme="minorEastAsia"/>
          <w:sz w:val="21"/>
          <w:szCs w:val="21"/>
        </w:rPr>
        <w:t>滞</w:t>
      </w:r>
      <w:proofErr w:type="gramEnd"/>
      <w:r w:rsidRPr="00FE4B0D">
        <w:rPr>
          <w:rFonts w:asciiTheme="minorEastAsia" w:eastAsiaTheme="minorEastAsia" w:hAnsiTheme="minorEastAsia"/>
          <w:sz w:val="21"/>
          <w:szCs w:val="21"/>
        </w:rPr>
        <w:t>环电流控制，</w:t>
      </w:r>
      <w:proofErr w:type="gramStart"/>
      <w:r w:rsidRPr="00FE4B0D">
        <w:rPr>
          <w:rFonts w:asciiTheme="minorEastAsia" w:eastAsiaTheme="minorEastAsia" w:hAnsiTheme="minorEastAsia"/>
          <w:sz w:val="21"/>
          <w:szCs w:val="21"/>
        </w:rPr>
        <w:t>滞环宽度</w:t>
      </w:r>
      <w:proofErr w:type="gramEnd"/>
      <w:r w:rsidRPr="00FE4B0D">
        <w:rPr>
          <w:rFonts w:asciiTheme="minorEastAsia" w:eastAsiaTheme="minorEastAsia" w:hAnsiTheme="minorEastAsia"/>
          <w:sz w:val="21"/>
          <w:szCs w:val="21"/>
        </w:rPr>
        <w:t>设定为 2A，实时跟踪电压外环输出的电流指令。</w:t>
      </w:r>
    </w:p>
    <w:p w14:paraId="6DCA559A" w14:textId="0E48CD6B" w:rsidR="00FE4B0D" w:rsidRPr="00FE4B0D" w:rsidRDefault="00FE4B0D" w:rsidP="00FE4B0D">
      <w:pPr>
        <w:pStyle w:val="a3"/>
        <w:numPr>
          <w:ilvl w:val="1"/>
          <w:numId w:val="20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sz w:val="21"/>
          <w:szCs w:val="21"/>
        </w:rPr>
        <w:t>优势：响应速度快（</w:t>
      </w:r>
      <w:proofErr w:type="spellStart"/>
      <w:r w:rsidRPr="00FE4B0D">
        <w:rPr>
          <w:rFonts w:asciiTheme="minorEastAsia" w:eastAsiaTheme="minorEastAsia" w:hAnsiTheme="minorEastAsia"/>
          <w:sz w:val="21"/>
          <w:szCs w:val="21"/>
        </w:rPr>
        <w:t>μs</w:t>
      </w:r>
      <w:proofErr w:type="spellEnd"/>
      <w:r w:rsidRPr="00FE4B0D">
        <w:rPr>
          <w:rFonts w:asciiTheme="minorEastAsia" w:eastAsiaTheme="minorEastAsia" w:hAnsiTheme="minorEastAsia"/>
          <w:sz w:val="21"/>
          <w:szCs w:val="21"/>
        </w:rPr>
        <w:t>级），可有效抑制电感电流尖峰，防止 IGBT 过流。</w:t>
      </w:r>
    </w:p>
    <w:p w14:paraId="0A2ED1FF" w14:textId="77777777" w:rsidR="00FE4B0D" w:rsidRPr="00FE4B0D" w:rsidRDefault="00FE4B0D" w:rsidP="00FE4B0D">
      <w:pPr>
        <w:pStyle w:val="a3"/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2. 抗干扰设计</w:t>
      </w:r>
    </w:p>
    <w:p w14:paraId="413ADE28" w14:textId="77777777" w:rsidR="00FE4B0D" w:rsidRPr="00FE4B0D" w:rsidRDefault="00FE4B0D" w:rsidP="00FE4B0D">
      <w:pPr>
        <w:pStyle w:val="a3"/>
        <w:numPr>
          <w:ilvl w:val="0"/>
          <w:numId w:val="21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电源滤波</w:t>
      </w:r>
      <w:r w:rsidRPr="00FE4B0D">
        <w:rPr>
          <w:rFonts w:asciiTheme="minorEastAsia" w:eastAsiaTheme="minorEastAsia" w:hAnsiTheme="minorEastAsia"/>
          <w:sz w:val="21"/>
          <w:szCs w:val="21"/>
        </w:rPr>
        <w:t>：在输入侧并联 100μF 电解电容 + 10nF 陶瓷电容，抑制输入电压纹波对控制电路的干扰。</w:t>
      </w:r>
    </w:p>
    <w:p w14:paraId="0A69790E" w14:textId="78507F97" w:rsidR="00FE4B0D" w:rsidRPr="00FE4B0D" w:rsidRDefault="00FE4B0D" w:rsidP="00FE4B0D">
      <w:pPr>
        <w:pStyle w:val="a3"/>
        <w:numPr>
          <w:ilvl w:val="0"/>
          <w:numId w:val="21"/>
        </w:numPr>
        <w:tabs>
          <w:tab w:val="left" w:pos="939"/>
        </w:tabs>
        <w:spacing w:before="174" w:line="177" w:lineRule="auto"/>
        <w:ind w:right="205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FE4B0D">
        <w:rPr>
          <w:rFonts w:asciiTheme="minorEastAsia" w:eastAsiaTheme="minorEastAsia" w:hAnsiTheme="minorEastAsia"/>
          <w:b/>
          <w:bCs/>
          <w:sz w:val="21"/>
          <w:szCs w:val="21"/>
        </w:rPr>
        <w:t>信号隔离</w:t>
      </w:r>
      <w:r w:rsidRPr="00FE4B0D">
        <w:rPr>
          <w:rFonts w:asciiTheme="minorEastAsia" w:eastAsiaTheme="minorEastAsia" w:hAnsiTheme="minorEastAsia"/>
          <w:sz w:val="21"/>
          <w:szCs w:val="21"/>
        </w:rPr>
        <w:t>：采用光</w:t>
      </w:r>
      <w:proofErr w:type="gramStart"/>
      <w:r w:rsidRPr="00FE4B0D">
        <w:rPr>
          <w:rFonts w:asciiTheme="minorEastAsia" w:eastAsiaTheme="minorEastAsia" w:hAnsiTheme="minorEastAsia"/>
          <w:sz w:val="21"/>
          <w:szCs w:val="21"/>
        </w:rPr>
        <w:t>耦</w:t>
      </w:r>
      <w:proofErr w:type="gramEnd"/>
      <w:r w:rsidRPr="00FE4B0D">
        <w:rPr>
          <w:rFonts w:asciiTheme="minorEastAsia" w:eastAsiaTheme="minorEastAsia" w:hAnsiTheme="minorEastAsia"/>
          <w:sz w:val="21"/>
          <w:szCs w:val="21"/>
        </w:rPr>
        <w:t>隔离器（TLP250）实现控制信号与主电路的电气隔离，防止高压侧噪声耦合至控制器。</w:t>
      </w:r>
    </w:p>
    <w:p w14:paraId="6ACEF539" w14:textId="77777777" w:rsidR="001D6137" w:rsidRDefault="002B1E30">
      <w:pPr>
        <w:spacing w:line="180" w:lineRule="auto"/>
        <w:rPr>
          <w:rFonts w:eastAsiaTheme="minorEastAsia" w:hint="eastAsia"/>
        </w:rPr>
      </w:pPr>
      <w:r>
        <w:rPr>
          <w:noProof/>
        </w:rPr>
        <w:drawing>
          <wp:inline distT="0" distB="0" distL="114300" distR="114300" wp14:anchorId="1D33CEB4" wp14:editId="1A9E33B6">
            <wp:extent cx="5632745" cy="1809750"/>
            <wp:effectExtent l="0" t="0" r="6350" b="0"/>
            <wp:docPr id="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800" cy="181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D61C" w14:textId="0E458CB6" w:rsidR="002B1E30" w:rsidRPr="00FE4B0D" w:rsidRDefault="002B1E30">
      <w:pPr>
        <w:spacing w:line="180" w:lineRule="auto"/>
        <w:rPr>
          <w:rFonts w:eastAsiaTheme="minorEastAsia" w:hint="eastAsia"/>
        </w:rPr>
        <w:sectPr w:rsidR="002B1E30" w:rsidRPr="00FE4B0D">
          <w:footerReference w:type="default" r:id="rId10"/>
          <w:type w:val="continuous"/>
          <w:pgSz w:w="11910" w:h="16840"/>
          <w:pgMar w:top="1540" w:right="1440" w:bottom="840" w:left="1460" w:header="0" w:footer="643" w:gutter="0"/>
          <w:cols w:space="720"/>
        </w:sectPr>
      </w:pPr>
    </w:p>
    <w:p w14:paraId="2D5BB050" w14:textId="77777777" w:rsidR="001D6137" w:rsidRDefault="00000000">
      <w:pPr>
        <w:pStyle w:val="1"/>
      </w:pPr>
      <w:bookmarkStart w:id="1" w:name="五、保护电路设计"/>
      <w:bookmarkEnd w:id="1"/>
      <w:r>
        <w:rPr>
          <w:spacing w:val="-2"/>
        </w:rPr>
        <w:lastRenderedPageBreak/>
        <w:t>五、保护电路设计</w:t>
      </w:r>
    </w:p>
    <w:p w14:paraId="3DEF7FBB" w14:textId="26BFD14E" w:rsidR="001D6137" w:rsidRPr="00345E05" w:rsidRDefault="00000000" w:rsidP="00345E05">
      <w:pPr>
        <w:pStyle w:val="a3"/>
        <w:spacing w:before="106"/>
        <w:rPr>
          <w:rFonts w:asciiTheme="minorEastAsia" w:eastAsiaTheme="minorEastAsia" w:hAnsiTheme="minorEastAsia" w:hint="eastAsia"/>
          <w:sz w:val="21"/>
          <w:szCs w:val="21"/>
        </w:rPr>
      </w:pPr>
      <w:r w:rsidRPr="00345E05">
        <w:rPr>
          <w:rFonts w:asciiTheme="minorEastAsia" w:eastAsiaTheme="minorEastAsia" w:hAnsiTheme="minorEastAsia"/>
          <w:spacing w:val="-1"/>
          <w:sz w:val="21"/>
          <w:szCs w:val="21"/>
        </w:rPr>
        <w:t>在高功率电路设计中，完备的保护措施非常重要。本设计主要考虑过流、过压和过热保护。</w:t>
      </w:r>
    </w:p>
    <w:p w14:paraId="072B5BEE" w14:textId="27CD6844" w:rsidR="006B5991" w:rsidRPr="00345E05" w:rsidRDefault="00000000" w:rsidP="00345E05">
      <w:pPr>
        <w:tabs>
          <w:tab w:val="left" w:pos="700"/>
          <w:tab w:val="left" w:pos="4300"/>
        </w:tabs>
        <w:spacing w:before="114" w:line="180" w:lineRule="auto"/>
        <w:ind w:right="171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hint="eastAsia"/>
        </w:rPr>
        <w:pict w14:anchorId="488D1648">
          <v:group id="docshapegroup117" o:spid="_x0000_s2226" style="position:absolute;left:0;text-align:left;margin-left:228pt;margin-top:32.9pt;width:12pt;height:11.25pt;z-index:-16248320;mso-position-horizontal-relative:page" coordorigin="4560,658" coordsize="240,2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18" o:spid="_x0000_s2228" type="#_x0000_t75" href="https://www.renesas.com/en/document/whp/how-protect-buck-regulators-overcurrent-damage?srsltid=AfmBOooA4JiTw5QD8zJ4DwDR1jo7rIgUQxv3TYWL6as3laUVwNYZP2jg&amp;%3A~%3Atext=Overcurrent%20Protection%20with%20Cycle%2Ca%20peak%20CMC%20buck%20converter" style="position:absolute;left:4560;top:658;width:240;height:225" o:button="t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9" o:spid="_x0000_s2227" type="#_x0000_t202" style="position:absolute;left:4560;top:658;width:240;height:225" filled="f" stroked="f">
              <v:textbox style="mso-next-textbox:#docshape119" inset="0,0,0,0">
                <w:txbxContent>
                  <w:p w14:paraId="5E0855C3" w14:textId="77777777" w:rsidR="001D6137" w:rsidRDefault="001D6137">
                    <w:pPr>
                      <w:spacing w:line="225" w:lineRule="exact"/>
                      <w:ind w:left="53"/>
                      <w:rPr>
                        <w:sz w:val="12"/>
                      </w:rPr>
                    </w:pPr>
                    <w:hyperlink r:id="rId12">
                      <w:r>
                        <w:rPr>
                          <w:color w:val="333333"/>
                          <w:spacing w:val="-5"/>
                          <w:sz w:val="12"/>
                        </w:rPr>
                        <w:t>17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hint="eastAsia"/>
        </w:rPr>
        <w:pict w14:anchorId="679CAA3C">
          <v:group id="docshapegroup120" o:spid="_x0000_s2223" style="position:absolute;left:0;text-align:left;margin-left:291pt;margin-top:46.75pt;width:12pt;height:11.25pt;z-index:-16247808;mso-position-horizontal-relative:page" coordorigin="5820,935" coordsize="240,225">
            <v:shape id="docshape121" o:spid="_x0000_s2225" type="#_x0000_t75" href="https://www.renesas.com/en/document/whp/how-protect-buck-regulators-overcurrent-damage?srsltid=AfmBOooA4JiTw5QD8zJ4DwDR1jo7rIgUQxv3TYWL6as3laUVwNYZP2jg&amp;%3A~%3Atext=Overcurrent%20protection%20%2Cimprove%20mean%20time%20between%20failures" style="position:absolute;left:5820;top:935;width:240;height:225" o:button="t">
              <v:imagedata r:id="rId11" o:title=""/>
            </v:shape>
            <v:shape id="docshape122" o:spid="_x0000_s2224" type="#_x0000_t202" style="position:absolute;left:5820;top:935;width:240;height:225" filled="f" stroked="f">
              <v:textbox style="mso-next-textbox:#docshape122" inset="0,0,0,0">
                <w:txbxContent>
                  <w:p w14:paraId="219A6707" w14:textId="77777777" w:rsidR="001D6137" w:rsidRDefault="001D6137">
                    <w:pPr>
                      <w:spacing w:line="225" w:lineRule="exact"/>
                      <w:ind w:left="53"/>
                      <w:rPr>
                        <w:sz w:val="12"/>
                      </w:rPr>
                    </w:pPr>
                    <w:hyperlink r:id="rId13">
                      <w:r>
                        <w:rPr>
                          <w:color w:val="333333"/>
                          <w:spacing w:val="-5"/>
                          <w:sz w:val="12"/>
                        </w:rPr>
                        <w:t>18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hint="eastAsia"/>
        </w:rPr>
        <w:pict w14:anchorId="003BB716">
          <v:group id="docshapegroup123" o:spid="_x0000_s2220" style="position:absolute;left:0;text-align:left;margin-left:307.5pt;margin-top:46.75pt;width:12pt;height:11.25pt;z-index:-16247296;mso-position-horizontal-relative:page" coordorigin="6150,935" coordsize="240,225">
            <v:shape id="docshape124" o:spid="_x0000_s2222" type="#_x0000_t75" href="https://www.renesas.com/en/document/whp/how-protect-buck-regulators-overcurrent-damage?srsltid=AfmBOooA4JiTw5QD8zJ4DwDR1jo7rIgUQxv3TYWL6as3laUVwNYZP2jg&amp;%3A~%3Atext=Overcurrent%20Protection%20with%20Cycle%2Ca%20peak%20CMC%20buck%20converter" style="position:absolute;left:6150;top:935;width:240;height:225" o:button="t">
              <v:imagedata r:id="rId11" o:title=""/>
            </v:shape>
            <v:shape id="docshape125" o:spid="_x0000_s2221" type="#_x0000_t202" style="position:absolute;left:6150;top:935;width:240;height:225" filled="f" stroked="f">
              <v:textbox style="mso-next-textbox:#docshape125" inset="0,0,0,0">
                <w:txbxContent>
                  <w:p w14:paraId="34F7434A" w14:textId="77777777" w:rsidR="001D6137" w:rsidRDefault="001D6137">
                    <w:pPr>
                      <w:spacing w:line="225" w:lineRule="exact"/>
                      <w:ind w:left="53"/>
                      <w:rPr>
                        <w:sz w:val="12"/>
                      </w:rPr>
                    </w:pPr>
                    <w:hyperlink r:id="rId14">
                      <w:r>
                        <w:rPr>
                          <w:color w:val="333333"/>
                          <w:spacing w:val="-5"/>
                          <w:sz w:val="12"/>
                        </w:rPr>
                        <w:t>17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6B5991"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1．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过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流保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（</w:t>
      </w:r>
      <w:r w:rsidRPr="00345E05">
        <w:rPr>
          <w:rFonts w:asciiTheme="minorEastAsia" w:eastAsiaTheme="minorEastAsia" w:hAnsiTheme="minorEastAsia"/>
          <w:b/>
          <w:spacing w:val="-2"/>
          <w:sz w:val="21"/>
          <w:szCs w:val="21"/>
        </w:rPr>
        <w:t>OCP）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：</w:t>
      </w:r>
    </w:p>
    <w:p w14:paraId="514F332E" w14:textId="0D184C3B" w:rsidR="00345E05" w:rsidRPr="00345E05" w:rsidRDefault="00000000" w:rsidP="00345E05">
      <w:pPr>
        <w:tabs>
          <w:tab w:val="left" w:pos="700"/>
          <w:tab w:val="left" w:pos="4300"/>
        </w:tabs>
        <w:spacing w:before="114" w:line="180" w:lineRule="auto"/>
        <w:ind w:right="171" w:firstLineChars="200" w:firstLine="416"/>
        <w:jc w:val="both"/>
        <w:rPr>
          <w:rFonts w:asciiTheme="minorEastAsia" w:eastAsiaTheme="minorEastAsia" w:hAnsiTheme="minorEastAsia" w:cs="Yu Gothic" w:hint="eastAsia"/>
          <w:sz w:val="21"/>
          <w:szCs w:val="21"/>
        </w:rPr>
      </w:pP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常用的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办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法是在功率开关回路中串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联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小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阻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进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行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流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检测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，一旦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感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流超出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设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定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阈值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立即限制开关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导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通。典型方案是峰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值电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流模式控制，当感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应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到的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流波形达到保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护阈值时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当周期立</w:t>
      </w:r>
      <w:r w:rsidRPr="00345E05">
        <w:rPr>
          <w:rFonts w:asciiTheme="minorEastAsia" w:eastAsiaTheme="minorEastAsia" w:hAnsiTheme="minorEastAsia"/>
          <w:sz w:val="21"/>
          <w:szCs w:val="21"/>
        </w:rPr>
        <w:t>即关断开关，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实现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周</w:t>
      </w:r>
      <w:r w:rsidRPr="00345E05">
        <w:rPr>
          <w:rFonts w:asciiTheme="minorEastAsia" w:eastAsiaTheme="minorEastAsia" w:hAnsiTheme="minorEastAsia"/>
          <w:sz w:val="21"/>
          <w:szCs w:val="21"/>
        </w:rPr>
        <w:t>期内限流。</w:t>
      </w:r>
      <w:r w:rsidR="00345E05" w:rsidRPr="00345E05">
        <w:rPr>
          <w:rFonts w:asciiTheme="minorEastAsia" w:eastAsiaTheme="minorEastAsia" w:hAnsiTheme="minorEastAsia" w:hint="eastAsia"/>
          <w:sz w:val="21"/>
          <w:szCs w:val="21"/>
        </w:rPr>
        <w:t>本</w:t>
      </w:r>
      <w:r w:rsidR="00345E05" w:rsidRPr="00345E05">
        <w:rPr>
          <w:rFonts w:asciiTheme="minorEastAsia" w:eastAsiaTheme="minorEastAsia" w:hAnsiTheme="minorEastAsia" w:cs="宋体" w:hint="eastAsia"/>
          <w:sz w:val="21"/>
          <w:szCs w:val="21"/>
        </w:rPr>
        <w:t>实验</w:t>
      </w:r>
      <w:r w:rsidR="00345E05" w:rsidRPr="00345E05">
        <w:rPr>
          <w:rFonts w:asciiTheme="minorEastAsia" w:eastAsiaTheme="minorEastAsia" w:hAnsiTheme="minorEastAsia"/>
          <w:sz w:val="21"/>
          <w:szCs w:val="21"/>
        </w:rPr>
        <w:t>采用峰</w:t>
      </w:r>
      <w:r w:rsidR="00345E05" w:rsidRPr="00345E05">
        <w:rPr>
          <w:rFonts w:asciiTheme="minorEastAsia" w:eastAsiaTheme="minorEastAsia" w:hAnsiTheme="minorEastAsia" w:cs="宋体" w:hint="eastAsia"/>
          <w:sz w:val="21"/>
          <w:szCs w:val="21"/>
        </w:rPr>
        <w:t>值电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流</w:t>
      </w:r>
      <w:r w:rsidR="00345E05" w:rsidRPr="00345E05">
        <w:rPr>
          <w:rFonts w:asciiTheme="minorEastAsia" w:eastAsiaTheme="minorEastAsia" w:hAnsiTheme="minorEastAsia" w:cs="宋体" w:hint="eastAsia"/>
          <w:sz w:val="21"/>
          <w:szCs w:val="21"/>
        </w:rPr>
        <w:t>检测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保</w:t>
      </w:r>
      <w:r w:rsidR="00345E05" w:rsidRPr="00345E05">
        <w:rPr>
          <w:rFonts w:asciiTheme="minorEastAsia" w:eastAsiaTheme="minorEastAsia" w:hAnsiTheme="minorEastAsia" w:cs="宋体" w:hint="eastAsia"/>
          <w:sz w:val="21"/>
          <w:szCs w:val="21"/>
        </w:rPr>
        <w:t>护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，</w:t>
      </w:r>
      <w:r w:rsidR="00345E05" w:rsidRPr="00345E05">
        <w:rPr>
          <w:rFonts w:asciiTheme="minorEastAsia" w:eastAsiaTheme="minorEastAsia" w:hAnsiTheme="minorEastAsia" w:cs="Yu Gothic"/>
          <w:sz w:val="21"/>
          <w:szCs w:val="21"/>
        </w:rPr>
        <w:t>在开关管源极串联0.1Ω采样电阻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，</w:t>
      </w:r>
      <w:r w:rsidR="00345E05" w:rsidRPr="00345E05">
        <w:rPr>
          <w:rFonts w:asciiTheme="minorEastAsia" w:eastAsiaTheme="minorEastAsia" w:hAnsiTheme="minorEastAsia" w:cs="Yu Gothic"/>
          <w:sz w:val="21"/>
          <w:szCs w:val="21"/>
        </w:rPr>
        <w:t>检测电压送入SG3525的电流检测引脚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，</w:t>
      </w:r>
      <w:r w:rsidR="00345E05" w:rsidRPr="00345E05">
        <w:rPr>
          <w:rFonts w:asciiTheme="minorEastAsia" w:eastAsiaTheme="minorEastAsia" w:hAnsiTheme="minorEastAsia" w:cs="Yu Gothic"/>
          <w:sz w:val="21"/>
          <w:szCs w:val="21"/>
        </w:rPr>
        <w:t>阈值设定为5A</w:t>
      </w:r>
      <w:r w:rsidR="00345E05" w:rsidRPr="00345E05">
        <w:rPr>
          <w:rFonts w:asciiTheme="minorEastAsia" w:eastAsiaTheme="minorEastAsia" w:hAnsiTheme="minorEastAsia" w:cs="Yu Gothic" w:hint="eastAsia"/>
          <w:sz w:val="21"/>
          <w:szCs w:val="21"/>
        </w:rPr>
        <w:t>。</w:t>
      </w:r>
    </w:p>
    <w:p w14:paraId="370F4BE0" w14:textId="69C0A29A" w:rsidR="00345E05" w:rsidRDefault="00000000" w:rsidP="00345E05">
      <w:pPr>
        <w:tabs>
          <w:tab w:val="left" w:pos="700"/>
        </w:tabs>
        <w:spacing w:before="114" w:line="180" w:lineRule="auto"/>
        <w:ind w:right="145"/>
        <w:jc w:val="both"/>
        <w:rPr>
          <w:rFonts w:asciiTheme="minorEastAsia" w:eastAsiaTheme="minorEastAsia" w:hAnsiTheme="minorEastAsia" w:hint="eastAsia"/>
          <w:spacing w:val="-2"/>
          <w:sz w:val="21"/>
          <w:szCs w:val="21"/>
        </w:rPr>
      </w:pPr>
      <w:r>
        <w:rPr>
          <w:rFonts w:hint="eastAsia"/>
        </w:rPr>
        <w:pict w14:anchorId="1EC313E4">
          <v:group id="docshapegroup129" o:spid="_x0000_s2214" style="position:absolute;left:0;text-align:left;margin-left:201pt;margin-top:32.9pt;width:12pt;height:11.25pt;z-index:-16246272;mso-position-horizontal-relative:page" coordorigin="4020,658" coordsize="240,225">
            <v:shape id="docshape130" o:spid="_x0000_s2216" type="#_x0000_t75" href="https://en.wikipedia.org/wiki/Crowbar_(circuit)#%3A~%3Atext%3DA%20crowbar%20circuit%20is%20an%2Ctripping%20the%20%2070%20circuit" style="position:absolute;left:4020;top:658;width:240;height:225" o:button="t">
              <v:imagedata r:id="rId11" o:title=""/>
            </v:shape>
            <v:shape id="docshape131" o:spid="_x0000_s2215" type="#_x0000_t202" style="position:absolute;left:4020;top:658;width:240;height:225" filled="f" stroked="f">
              <v:textbox style="mso-next-textbox:#docshape131" inset="0,0,0,0">
                <w:txbxContent>
                  <w:p w14:paraId="48A7AB01" w14:textId="77777777" w:rsidR="001D6137" w:rsidRDefault="001D6137">
                    <w:pPr>
                      <w:spacing w:line="225" w:lineRule="exact"/>
                      <w:ind w:left="53"/>
                      <w:rPr>
                        <w:sz w:val="12"/>
                      </w:rPr>
                    </w:pPr>
                    <w:hyperlink r:id="rId15" w:anchor="%3A~%3Atext%3DA%20crowbar%20circuit%20is%20an%2Ctripping%20the%20%2070%20circuit">
                      <w:r>
                        <w:rPr>
                          <w:color w:val="333333"/>
                          <w:spacing w:val="-5"/>
                          <w:sz w:val="12"/>
                        </w:rPr>
                        <w:t>19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6B5991" w:rsidRPr="00345E05">
        <w:rPr>
          <w:rFonts w:asciiTheme="minorEastAsia" w:eastAsiaTheme="minorEastAsia" w:hAnsiTheme="minorEastAsia" w:hint="eastAsia"/>
          <w:b/>
          <w:spacing w:val="-2"/>
          <w:sz w:val="21"/>
          <w:szCs w:val="21"/>
        </w:rPr>
        <w:t>2．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过压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保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（</w:t>
      </w:r>
      <w:r w:rsidRPr="00345E05">
        <w:rPr>
          <w:rFonts w:asciiTheme="minorEastAsia" w:eastAsiaTheme="minorEastAsia" w:hAnsiTheme="minorEastAsia"/>
          <w:b/>
          <w:spacing w:val="-2"/>
          <w:sz w:val="21"/>
          <w:szCs w:val="21"/>
        </w:rPr>
        <w:t>OVP）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：</w:t>
      </w:r>
    </w:p>
    <w:p w14:paraId="512D3E88" w14:textId="27BDCA86" w:rsidR="006B5991" w:rsidRPr="00345E05" w:rsidRDefault="00000000" w:rsidP="00345E05">
      <w:pPr>
        <w:tabs>
          <w:tab w:val="left" w:pos="700"/>
        </w:tabs>
        <w:spacing w:before="114" w:line="180" w:lineRule="auto"/>
        <w:ind w:right="145" w:firstLineChars="200" w:firstLine="416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可以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监测输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出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电压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，一旦超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过</w:t>
      </w:r>
      <w:r w:rsidR="006B5991"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输</w:t>
      </w:r>
      <w:r w:rsidR="006B5991"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出</w:t>
      </w:r>
      <w:r w:rsidR="006B5991"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电压</w:t>
      </w:r>
      <w:r w:rsidR="006B5991"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超</w:t>
      </w:r>
      <w:r w:rsidR="006B5991"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过设</w:t>
      </w:r>
      <w:r w:rsidR="006B5991"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定</w:t>
      </w:r>
      <w:r w:rsidR="006B5991"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值</w:t>
      </w:r>
      <w:r w:rsidR="006B5991" w:rsidRPr="00345E05">
        <w:rPr>
          <w:rFonts w:asciiTheme="minorEastAsia" w:eastAsiaTheme="minorEastAsia" w:hAnsiTheme="minorEastAsia"/>
          <w:spacing w:val="-2"/>
          <w:sz w:val="21"/>
          <w:szCs w:val="21"/>
        </w:rPr>
        <w:t>10%</w:t>
      </w:r>
      <w:r w:rsidR="006B5991"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时</w:t>
      </w:r>
      <w:r w:rsidR="006B5991"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触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，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则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通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过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比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较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器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驱动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开关管关断</w:t>
      </w:r>
      <w:r w:rsidRPr="00345E05">
        <w:rPr>
          <w:rFonts w:asciiTheme="minorEastAsia" w:eastAsiaTheme="minorEastAsia" w:hAnsiTheme="minorEastAsia"/>
          <w:sz w:val="21"/>
          <w:szCs w:val="21"/>
        </w:rPr>
        <w:t>保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护负载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。</w:t>
      </w:r>
      <w:r w:rsidRPr="00345E05">
        <w:rPr>
          <w:rFonts w:asciiTheme="minorEastAsia" w:eastAsiaTheme="minorEastAsia" w:hAnsiTheme="minorEastAsia"/>
          <w:sz w:val="21"/>
          <w:szCs w:val="21"/>
        </w:rPr>
        <w:t>Crowbar</w:t>
      </w:r>
      <w:r w:rsidRPr="00345E05">
        <w:rPr>
          <w:rFonts w:asciiTheme="minorEastAsia" w:eastAsiaTheme="minorEastAsia" w:hAnsiTheme="minorEastAsia"/>
          <w:spacing w:val="-3"/>
          <w:sz w:val="21"/>
          <w:szCs w:val="21"/>
        </w:rPr>
        <w:t xml:space="preserve"> 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路是一种将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输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出短接到地的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过压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保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方式，</w:t>
      </w:r>
      <w:r w:rsidRPr="00345E05">
        <w:rPr>
          <w:rFonts w:asciiTheme="minorEastAsia" w:eastAsiaTheme="minorEastAsia" w:hAnsiTheme="minorEastAsia"/>
          <w:spacing w:val="-3"/>
          <w:sz w:val="21"/>
          <w:szCs w:val="21"/>
        </w:rPr>
        <w:t>通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过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晶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闸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管或双向可控硅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实现</w:t>
      </w:r>
      <w:r w:rsidRPr="00345E05">
        <w:rPr>
          <w:rFonts w:asciiTheme="minorEastAsia" w:eastAsiaTheme="minorEastAsia" w:hAnsiTheme="minorEastAsia"/>
          <w:sz w:val="21"/>
          <w:szCs w:val="21"/>
        </w:rPr>
        <w:t xml:space="preserve"> 。如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检测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到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过压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，可瞬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时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触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发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晶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闸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管使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输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出端短路，配合系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统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熔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丝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或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电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源限流保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，从而迅速吸收</w:t>
      </w:r>
      <w:r w:rsidRPr="00345E05">
        <w:rPr>
          <w:rFonts w:asciiTheme="minorEastAsia" w:eastAsiaTheme="minorEastAsia" w:hAnsiTheme="minorEastAsia" w:cs="宋体" w:hint="eastAsia"/>
          <w:sz w:val="21"/>
          <w:szCs w:val="21"/>
        </w:rPr>
        <w:t>过压</w:t>
      </w:r>
      <w:r w:rsidRPr="00345E05">
        <w:rPr>
          <w:rFonts w:asciiTheme="minorEastAsia" w:eastAsiaTheme="minorEastAsia" w:hAnsiTheme="minorEastAsia" w:cs="Yu Gothic" w:hint="eastAsia"/>
          <w:sz w:val="21"/>
          <w:szCs w:val="21"/>
        </w:rPr>
        <w:t>能量</w:t>
      </w:r>
      <w:r w:rsidRPr="00345E05">
        <w:rPr>
          <w:rFonts w:asciiTheme="minorEastAsia" w:eastAsiaTheme="minorEastAsia" w:hAnsiTheme="minorEastAsia"/>
          <w:sz w:val="21"/>
          <w:szCs w:val="21"/>
        </w:rPr>
        <w:t xml:space="preserve"> </w:t>
      </w:r>
    </w:p>
    <w:p w14:paraId="2D59F8C1" w14:textId="77777777" w:rsidR="00345E05" w:rsidRDefault="006B5991" w:rsidP="00345E05">
      <w:pPr>
        <w:tabs>
          <w:tab w:val="left" w:pos="700"/>
        </w:tabs>
        <w:spacing w:before="114" w:line="180" w:lineRule="auto"/>
        <w:ind w:right="145"/>
        <w:jc w:val="both"/>
        <w:rPr>
          <w:rFonts w:asciiTheme="minorEastAsia" w:eastAsiaTheme="minorEastAsia" w:hAnsiTheme="minorEastAsia" w:hint="eastAsia"/>
          <w:spacing w:val="-2"/>
          <w:sz w:val="21"/>
          <w:szCs w:val="21"/>
        </w:rPr>
      </w:pPr>
      <w:r w:rsidRPr="00345E05">
        <w:rPr>
          <w:rFonts w:asciiTheme="minorEastAsia" w:eastAsiaTheme="minorEastAsia" w:hAnsiTheme="minorEastAsia" w:hint="eastAsia"/>
          <w:b/>
          <w:spacing w:val="-2"/>
          <w:sz w:val="21"/>
          <w:szCs w:val="21"/>
        </w:rPr>
        <w:t>3．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过热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保</w:t>
      </w:r>
      <w:r w:rsidRPr="00345E05">
        <w:rPr>
          <w:rFonts w:asciiTheme="minorEastAsia" w:eastAsiaTheme="minorEastAsia" w:hAnsiTheme="minorEastAsia" w:cs="宋体" w:hint="eastAsia"/>
          <w:b/>
          <w:spacing w:val="-2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b/>
          <w:spacing w:val="-2"/>
          <w:sz w:val="21"/>
          <w:szCs w:val="21"/>
        </w:rPr>
        <w:t>（</w:t>
      </w:r>
      <w:r w:rsidRPr="00345E05">
        <w:rPr>
          <w:rFonts w:asciiTheme="minorEastAsia" w:eastAsiaTheme="minorEastAsia" w:hAnsiTheme="minorEastAsia"/>
          <w:b/>
          <w:spacing w:val="-2"/>
          <w:sz w:val="21"/>
          <w:szCs w:val="21"/>
        </w:rPr>
        <w:t>OTP）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：</w:t>
      </w:r>
    </w:p>
    <w:p w14:paraId="23C3C914" w14:textId="79BEF215" w:rsidR="001D6137" w:rsidRPr="00345E05" w:rsidRDefault="00000000" w:rsidP="00345E05">
      <w:pPr>
        <w:tabs>
          <w:tab w:val="left" w:pos="700"/>
        </w:tabs>
        <w:spacing w:before="114" w:line="180" w:lineRule="auto"/>
        <w:ind w:right="145" w:firstLineChars="200" w:firstLine="416"/>
        <w:jc w:val="both"/>
        <w:rPr>
          <w:rFonts w:asciiTheme="minorEastAsia" w:eastAsiaTheme="minorEastAsia" w:hAnsiTheme="minorEastAsia" w:hint="eastAsia"/>
          <w:sz w:val="21"/>
          <w:szCs w:val="21"/>
        </w:rPr>
      </w:pP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由于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斩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波器在高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负载时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MOSFET</w:t>
      </w:r>
      <w:r w:rsidRPr="00345E05">
        <w:rPr>
          <w:rFonts w:asciiTheme="minorEastAsia" w:eastAsiaTheme="minorEastAsia" w:hAnsiTheme="minorEastAsia"/>
          <w:spacing w:val="-3"/>
          <w:sz w:val="21"/>
          <w:szCs w:val="21"/>
        </w:rPr>
        <w:t>和二极管会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产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生大量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热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量，需要考</w:t>
      </w:r>
      <w:r w:rsidRPr="00345E05">
        <w:rPr>
          <w:rFonts w:asciiTheme="minorEastAsia" w:eastAsiaTheme="minorEastAsia" w:hAnsiTheme="minorEastAsia" w:cs="宋体" w:hint="eastAsia"/>
          <w:spacing w:val="-3"/>
          <w:sz w:val="21"/>
          <w:szCs w:val="21"/>
        </w:rPr>
        <w:t>虑</w:t>
      </w:r>
      <w:r w:rsidRPr="00345E05">
        <w:rPr>
          <w:rFonts w:asciiTheme="minorEastAsia" w:eastAsiaTheme="minorEastAsia" w:hAnsiTheme="minorEastAsia" w:cs="Yu Gothic" w:hint="eastAsia"/>
          <w:spacing w:val="-3"/>
          <w:sz w:val="21"/>
          <w:szCs w:val="21"/>
        </w:rPr>
        <w:t>器件温度保</w:t>
      </w:r>
      <w:r w:rsidRPr="00345E05">
        <w:rPr>
          <w:rFonts w:asciiTheme="minorEastAsia" w:eastAsiaTheme="minorEastAsia" w:hAnsiTheme="minorEastAsia" w:cs="宋体" w:hint="eastAsia"/>
          <w:spacing w:val="-2"/>
          <w:sz w:val="21"/>
          <w:szCs w:val="21"/>
        </w:rPr>
        <w:t>护</w:t>
      </w:r>
      <w:r w:rsidRPr="00345E05">
        <w:rPr>
          <w:rFonts w:asciiTheme="minorEastAsia" w:eastAsiaTheme="minorEastAsia" w:hAnsiTheme="minorEastAsia" w:cs="Yu Gothic" w:hint="eastAsia"/>
          <w:spacing w:val="-2"/>
          <w:sz w:val="21"/>
          <w:szCs w:val="21"/>
        </w:rPr>
        <w:t>。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在PCB热源附近设计散热</w:t>
      </w:r>
      <w:r w:rsidR="00345E05" w:rsidRPr="00345E05">
        <w:rPr>
          <w:rFonts w:asciiTheme="minorEastAsia" w:eastAsiaTheme="minorEastAsia" w:hAnsiTheme="minorEastAsia" w:hint="eastAsia"/>
          <w:spacing w:val="-2"/>
          <w:sz w:val="21"/>
          <w:szCs w:val="21"/>
        </w:rPr>
        <w:t>器，散热器的温度设置为50℃</w:t>
      </w:r>
      <w:r w:rsidRPr="00345E05">
        <w:rPr>
          <w:rFonts w:asciiTheme="minorEastAsia" w:eastAsiaTheme="minorEastAsia" w:hAnsiTheme="minorEastAsia"/>
          <w:spacing w:val="-2"/>
          <w:sz w:val="21"/>
          <w:szCs w:val="21"/>
        </w:rPr>
        <w:t>，确保器件温度在安全范围内。</w:t>
      </w:r>
    </w:p>
    <w:p w14:paraId="754C18C9" w14:textId="6E71CC84" w:rsidR="00345E05" w:rsidRPr="00345E05" w:rsidRDefault="00345E05" w:rsidP="006B5991">
      <w:pPr>
        <w:pStyle w:val="a3"/>
        <w:spacing w:before="21" w:line="177" w:lineRule="auto"/>
        <w:ind w:left="720" w:right="145"/>
        <w:jc w:val="both"/>
        <w:rPr>
          <w:rFonts w:asciiTheme="minorEastAsia" w:eastAsiaTheme="minorEastAsia" w:hAnsiTheme="minorEastAsia" w:hint="eastAsia"/>
          <w:spacing w:val="-2"/>
          <w:sz w:val="21"/>
          <w:szCs w:val="21"/>
        </w:rPr>
      </w:pPr>
      <w:r>
        <w:rPr>
          <w:noProof/>
        </w:rPr>
        <w:drawing>
          <wp:inline distT="0" distB="0" distL="114300" distR="114300" wp14:anchorId="1EBFC510" wp14:editId="61A80DB1">
            <wp:extent cx="5264150" cy="1090295"/>
            <wp:effectExtent l="0" t="0" r="12700" b="14605"/>
            <wp:docPr id="4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5AF6" w14:textId="613A0498" w:rsidR="001D6137" w:rsidRPr="002B1E30" w:rsidRDefault="00000000" w:rsidP="002B1E30">
      <w:pPr>
        <w:pStyle w:val="a3"/>
        <w:spacing w:before="233" w:line="321" w:lineRule="exact"/>
        <w:ind w:firstLineChars="200" w:firstLine="420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pict w14:anchorId="48BF2102">
          <v:group id="docshapegroup135" o:spid="_x0000_s2208" style="position:absolute;left:0;text-align:left;margin-left:486pt;margin-top:15.1pt;width:12pt;height:11.25pt;z-index:15752192;mso-position-horizontal-relative:page" coordorigin="9720,302" coordsize="240,225">
            <v:shape id="docshape136" o:spid="_x0000_s2210" type="#_x0000_t75" href="https://www.renesas.com/en/document/whp/how-protect-buck-regulators-overcurrent-damage?srsltid=AfmBOooA4JiTw5QD8zJ4DwDR1jo7rIgUQxv3TYWL6as3laUVwNYZP2jg&amp;%3A~%3Atext=Overcurrent%20protection%20%2Cimprove%20mean%20time%20between%20failures" style="position:absolute;left:9720;top:302;width:240;height:225" o:button="t">
              <v:imagedata r:id="rId11" o:title=""/>
            </v:shape>
            <v:shape id="docshape137" o:spid="_x0000_s2209" type="#_x0000_t202" style="position:absolute;left:9720;top:302;width:240;height:225" filled="f" stroked="f">
              <v:textbox inset="0,0,0,0">
                <w:txbxContent>
                  <w:p w14:paraId="31217D5A" w14:textId="77777777" w:rsidR="001D6137" w:rsidRDefault="001D6137">
                    <w:pPr>
                      <w:spacing w:line="225" w:lineRule="exact"/>
                      <w:ind w:left="53"/>
                      <w:rPr>
                        <w:sz w:val="12"/>
                      </w:rPr>
                    </w:pPr>
                    <w:hyperlink r:id="rId17">
                      <w:r>
                        <w:rPr>
                          <w:color w:val="333333"/>
                          <w:spacing w:val="-5"/>
                          <w:sz w:val="12"/>
                        </w:rPr>
                        <w:t>18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Pr="00345E05">
        <w:rPr>
          <w:rFonts w:asciiTheme="minorEastAsia" w:eastAsiaTheme="minorEastAsia" w:hAnsiTheme="minorEastAsia"/>
          <w:spacing w:val="-1"/>
          <w:sz w:val="21"/>
          <w:szCs w:val="21"/>
        </w:rPr>
        <w:t>综上，通过多种保护电路配合设计，可以在异常工作时及时切断或抑制输出，从而保障系统和负载安全</w:t>
      </w:r>
      <w:r>
        <w:t>。</w:t>
      </w:r>
    </w:p>
    <w:p w14:paraId="518F6BFA" w14:textId="77777777" w:rsidR="001D6137" w:rsidRDefault="00000000">
      <w:pPr>
        <w:pStyle w:val="1"/>
        <w:spacing w:before="189"/>
        <w:rPr>
          <w:rFonts w:eastAsiaTheme="minorEastAsia" w:hint="eastAsia"/>
          <w:spacing w:val="-1"/>
        </w:rPr>
      </w:pPr>
      <w:bookmarkStart w:id="2" w:name="六、方案选择与斩波方式对比"/>
      <w:bookmarkEnd w:id="2"/>
      <w:r>
        <w:rPr>
          <w:spacing w:val="-1"/>
        </w:rPr>
        <w:t>六、方案选择与斩</w:t>
      </w:r>
      <w:proofErr w:type="gramStart"/>
      <w:r>
        <w:rPr>
          <w:spacing w:val="-1"/>
        </w:rPr>
        <w:t>波方式</w:t>
      </w:r>
      <w:proofErr w:type="gramEnd"/>
      <w:r>
        <w:rPr>
          <w:spacing w:val="-1"/>
        </w:rPr>
        <w:t>对比</w:t>
      </w:r>
    </w:p>
    <w:p w14:paraId="3005F71C" w14:textId="77777777" w:rsidR="00250496" w:rsidRPr="00250496" w:rsidRDefault="00250496" w:rsidP="00250496">
      <w:pPr>
        <w:pStyle w:val="1"/>
        <w:spacing w:before="189"/>
        <w:rPr>
          <w:rFonts w:asciiTheme="minorEastAsia" w:eastAsiaTheme="minorEastAsia" w:hAnsiTheme="minorEastAsia" w:hint="eastAsia"/>
          <w:sz w:val="21"/>
          <w:szCs w:val="21"/>
        </w:rPr>
      </w:pPr>
      <w:r w:rsidRPr="00250496">
        <w:rPr>
          <w:rFonts w:asciiTheme="minorEastAsia" w:eastAsiaTheme="minorEastAsia" w:hAnsiTheme="minorEastAsia"/>
          <w:sz w:val="21"/>
          <w:szCs w:val="21"/>
        </w:rPr>
        <w:t>1. 方案选择</w:t>
      </w:r>
    </w:p>
    <w:p w14:paraId="6FE5A7D7" w14:textId="77777777" w:rsidR="00250496" w:rsidRPr="00250496" w:rsidRDefault="00250496" w:rsidP="00250496">
      <w:pPr>
        <w:pStyle w:val="1"/>
        <w:numPr>
          <w:ilvl w:val="0"/>
          <w:numId w:val="16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拓扑结构论证： 降压斩波电路作为直流变换的基础拓扑，其核心优势在于通过单一开关</w:t>
      </w:r>
      <w:proofErr w:type="gramStart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管实现</w:t>
      </w:r>
      <w:proofErr w:type="gramEnd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能量的单向传递，适用于需要稳定低压直流输出的场景（如电力电子设备供电、电机调速等）。相较于 Boost（升压）或 Buck-Boost（升降压）拓扑，本设计因明确降压需求（输入 800V→输出 80V），选择 Buck 拓扑可避免冗余结构，降低成本与损耗。</w:t>
      </w:r>
    </w:p>
    <w:p w14:paraId="5864C58F" w14:textId="77777777" w:rsidR="00250496" w:rsidRPr="00250496" w:rsidRDefault="00250496" w:rsidP="00250496">
      <w:pPr>
        <w:pStyle w:val="1"/>
        <w:numPr>
          <w:ilvl w:val="0"/>
          <w:numId w:val="16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关键器件选型依据：</w:t>
      </w:r>
    </w:p>
    <w:p w14:paraId="2CFBF2DD" w14:textId="77777777" w:rsidR="00250496" w:rsidRPr="00250496" w:rsidRDefault="00250496" w:rsidP="00250496">
      <w:pPr>
        <w:pStyle w:val="1"/>
        <w:numPr>
          <w:ilvl w:val="1"/>
          <w:numId w:val="16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IGBT 模块（FF150R17KE4）：</w:t>
      </w:r>
    </w:p>
    <w:p w14:paraId="58A0E20C" w14:textId="77777777" w:rsidR="00250496" w:rsidRPr="00250496" w:rsidRDefault="00250496" w:rsidP="00250496">
      <w:pPr>
        <w:pStyle w:val="1"/>
        <w:numPr>
          <w:ilvl w:val="2"/>
          <w:numId w:val="17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 xml:space="preserve">耐压 1700V：预留 2 </w:t>
      </w:r>
      <w:proofErr w:type="gramStart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倍</w:t>
      </w:r>
      <w:proofErr w:type="gramEnd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以上安全裕量（输入电压 800V），应对开关过程中的电压尖峰（如关断时的 L*</w:t>
      </w:r>
      <w:proofErr w:type="spellStart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dI</w:t>
      </w:r>
      <w:proofErr w:type="spellEnd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/dt）。</w:t>
      </w:r>
    </w:p>
    <w:p w14:paraId="2F0CD76D" w14:textId="2368853F" w:rsidR="00250496" w:rsidRPr="00250496" w:rsidRDefault="00250496" w:rsidP="00250496">
      <w:pPr>
        <w:pStyle w:val="1"/>
        <w:numPr>
          <w:ilvl w:val="2"/>
          <w:numId w:val="18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额定电流 150A：满足仿真中最大负载电流 80A</w:t>
      </w:r>
      <w:r w:rsidRPr="002B1E30"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  <w:t>（</w:t>
      </w:r>
      <w:proofErr w:type="spellStart"/>
      <w:r w:rsidRPr="002B1E30">
        <w:rPr>
          <w:rFonts w:asciiTheme="minorEastAsia" w:eastAsiaTheme="minorEastAsia" w:hAnsiTheme="minorEastAsia" w:hint="eastAsia"/>
          <w:b w:val="0"/>
          <w:bCs w:val="0"/>
          <w:noProof/>
          <w:sz w:val="21"/>
          <w:szCs w:val="21"/>
        </w:rPr>
        <w:t>R</w:t>
      </w:r>
      <w:r w:rsidRPr="002B1E30"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  <w:t>load</w:t>
      </w:r>
      <w:proofErr w:type="spellEnd"/>
      <w:r w:rsidRPr="002B1E30"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  <w:t>=1Ω）</w:t>
      </w: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并考虑过载能力。</w:t>
      </w:r>
    </w:p>
    <w:p w14:paraId="1AB14E1C" w14:textId="77777777" w:rsidR="00250496" w:rsidRPr="00250496" w:rsidRDefault="00250496" w:rsidP="00250496">
      <w:pPr>
        <w:pStyle w:val="1"/>
        <w:numPr>
          <w:ilvl w:val="2"/>
          <w:numId w:val="19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导通压降 2.35V（</w:t>
      </w:r>
      <w:proofErr w:type="spellStart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VcEsat</w:t>
      </w:r>
      <w:proofErr w:type="spellEnd"/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）：降低导通损耗，提升效率（仿真中理想条件下效率接近 100%，实际需计入器件损耗）。</w:t>
      </w:r>
    </w:p>
    <w:p w14:paraId="1F0E5606" w14:textId="77777777" w:rsidR="00250496" w:rsidRPr="00250496" w:rsidRDefault="00250496" w:rsidP="00250496">
      <w:pPr>
        <w:pStyle w:val="1"/>
        <w:numPr>
          <w:ilvl w:val="1"/>
          <w:numId w:val="16"/>
        </w:numPr>
        <w:spacing w:before="189"/>
        <w:rPr>
          <w:rFonts w:asciiTheme="minorEastAsia" w:eastAsiaTheme="minorEastAsia" w:hAnsiTheme="minorEastAsia" w:hint="eastAsia"/>
          <w:b w:val="0"/>
          <w:bCs w:val="0"/>
          <w:sz w:val="21"/>
          <w:szCs w:val="21"/>
        </w:rPr>
      </w:pPr>
      <w:r w:rsidRPr="00250496">
        <w:rPr>
          <w:rFonts w:asciiTheme="minorEastAsia" w:eastAsiaTheme="minorEastAsia" w:hAnsiTheme="minorEastAsia"/>
          <w:b w:val="0"/>
          <w:bCs w:val="0"/>
          <w:sz w:val="21"/>
          <w:szCs w:val="21"/>
        </w:rPr>
        <w:t>续流二极管： 选择反向恢复时间＜500ns 的快恢复二极管，避免因反向恢复电流导致的开关管过流，同时降低 EMI 噪声。</w:t>
      </w:r>
    </w:p>
    <w:p w14:paraId="1949C3B2" w14:textId="2D35377F" w:rsidR="00250496" w:rsidRDefault="002B1E30">
      <w:pPr>
        <w:pStyle w:val="1"/>
        <w:spacing w:before="189"/>
        <w:rPr>
          <w:rFonts w:eastAsiaTheme="minorEastAsia" w:hint="eastAsia"/>
          <w:b w:val="0"/>
          <w:bCs w:val="0"/>
          <w:sz w:val="21"/>
          <w:szCs w:val="21"/>
        </w:rPr>
      </w:pPr>
      <w:r w:rsidRPr="002B1E30">
        <w:rPr>
          <w:b w:val="0"/>
          <w:bCs w:val="0"/>
          <w:noProof/>
          <w:sz w:val="21"/>
          <w:szCs w:val="21"/>
        </w:rPr>
        <w:lastRenderedPageBreak/>
        <w:drawing>
          <wp:inline distT="0" distB="0" distL="114300" distR="114300" wp14:anchorId="6D9EE13F" wp14:editId="5FD1ECF5">
            <wp:extent cx="5268595" cy="1308735"/>
            <wp:effectExtent l="0" t="0" r="8255" b="5715"/>
            <wp:docPr id="3" name="图片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9E5F" w14:textId="1B9A0122" w:rsidR="008A4815" w:rsidRPr="002B1E30" w:rsidRDefault="008A4815">
      <w:pPr>
        <w:pStyle w:val="1"/>
        <w:spacing w:before="189"/>
        <w:rPr>
          <w:rFonts w:eastAsiaTheme="minorEastAsia" w:hint="eastAsia"/>
          <w:b w:val="0"/>
          <w:bCs w:val="0"/>
          <w:sz w:val="21"/>
          <w:szCs w:val="21"/>
        </w:rPr>
      </w:pPr>
      <w:r>
        <w:rPr>
          <w:noProof/>
        </w:rPr>
        <w:drawing>
          <wp:inline distT="0" distB="0" distL="0" distR="0" wp14:anchorId="7E2A2F0B" wp14:editId="34710D5B">
            <wp:extent cx="2495550" cy="1600407"/>
            <wp:effectExtent l="0" t="0" r="0" b="0"/>
            <wp:docPr id="158343357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3571" name="图片 1" descr="图示, 示意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0146" cy="160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CB5D" w14:textId="202D110F" w:rsidR="00FE4B0D" w:rsidRPr="002B1E30" w:rsidRDefault="00FE4B0D">
      <w:pPr>
        <w:spacing w:line="180" w:lineRule="auto"/>
        <w:jc w:val="both"/>
        <w:rPr>
          <w:rFonts w:eastAsiaTheme="minorEastAsia" w:hint="eastAsia"/>
          <w:b/>
          <w:bCs/>
          <w:sz w:val="21"/>
          <w:szCs w:val="21"/>
        </w:rPr>
      </w:pPr>
      <w:r w:rsidRPr="00FE4B0D">
        <w:rPr>
          <w:b/>
          <w:bCs/>
          <w:sz w:val="21"/>
          <w:szCs w:val="21"/>
        </w:rPr>
        <w:t xml:space="preserve">2. </w:t>
      </w:r>
      <w:r w:rsidRPr="00FE4B0D">
        <w:rPr>
          <w:rFonts w:ascii="宋体" w:eastAsia="宋体" w:hAnsi="宋体" w:cs="宋体" w:hint="eastAsia"/>
          <w:b/>
          <w:bCs/>
          <w:sz w:val="21"/>
          <w:szCs w:val="21"/>
        </w:rPr>
        <w:t>斩</w:t>
      </w:r>
      <w:proofErr w:type="gramStart"/>
      <w:r w:rsidRPr="00FE4B0D">
        <w:rPr>
          <w:rFonts w:ascii="Yu Gothic" w:eastAsia="Yu Gothic" w:hAnsi="Yu Gothic" w:cs="Yu Gothic" w:hint="eastAsia"/>
          <w:b/>
          <w:bCs/>
          <w:sz w:val="21"/>
          <w:szCs w:val="21"/>
        </w:rPr>
        <w:t>波方式</w:t>
      </w:r>
      <w:proofErr w:type="gramEnd"/>
      <w:r w:rsidRPr="00FE4B0D">
        <w:rPr>
          <w:rFonts w:ascii="宋体" w:eastAsia="宋体" w:hAnsi="宋体" w:cs="宋体" w:hint="eastAsia"/>
          <w:b/>
          <w:bCs/>
          <w:sz w:val="21"/>
          <w:szCs w:val="21"/>
        </w:rPr>
        <w:t>对</w:t>
      </w:r>
      <w:r w:rsidRPr="00FE4B0D">
        <w:rPr>
          <w:rFonts w:ascii="Yu Gothic" w:eastAsia="Yu Gothic" w:hAnsi="Yu Gothic" w:cs="Yu Gothic" w:hint="eastAsia"/>
          <w:b/>
          <w:bCs/>
          <w:sz w:val="21"/>
          <w:szCs w:val="21"/>
        </w:rPr>
        <w:t>比与</w:t>
      </w:r>
      <w:r w:rsidRPr="00FE4B0D">
        <w:rPr>
          <w:rFonts w:ascii="宋体" w:eastAsia="宋体" w:hAnsi="宋体" w:cs="宋体" w:hint="eastAsia"/>
          <w:b/>
          <w:bCs/>
          <w:sz w:val="21"/>
          <w:szCs w:val="21"/>
        </w:rPr>
        <w:t>优</w:t>
      </w:r>
      <w:r w:rsidRPr="00FE4B0D">
        <w:rPr>
          <w:b/>
          <w:bCs/>
          <w:sz w:val="21"/>
          <w:szCs w:val="21"/>
        </w:rPr>
        <w:t>化</w:t>
      </w:r>
      <w:r w:rsidR="002B1E30">
        <w:rPr>
          <w:rFonts w:asciiTheme="minorEastAsia" w:eastAsiaTheme="minorEastAsia" w:hAnsiTheme="minorEastAsia" w:hint="eastAsia"/>
          <w:b/>
          <w:bCs/>
          <w:sz w:val="21"/>
          <w:szCs w:val="21"/>
        </w:rPr>
        <w:t>：</w:t>
      </w:r>
    </w:p>
    <w:p w14:paraId="43C05E84" w14:textId="77777777" w:rsidR="00FE4B0D" w:rsidRPr="002B1E30" w:rsidRDefault="00FE4B0D">
      <w:pPr>
        <w:spacing w:line="180" w:lineRule="auto"/>
        <w:jc w:val="both"/>
        <w:rPr>
          <w:rFonts w:eastAsiaTheme="minorEastAsia" w:hint="eastAsia"/>
          <w:sz w:val="21"/>
          <w:szCs w:val="21"/>
        </w:rPr>
      </w:pPr>
    </w:p>
    <w:tbl>
      <w:tblPr>
        <w:tblStyle w:val="a7"/>
        <w:tblpPr w:leftFromText="180" w:rightFromText="180" w:vertAnchor="text" w:horzAnchor="margin" w:tblpY="-38"/>
        <w:tblW w:w="0" w:type="auto"/>
        <w:tblLook w:val="04A0" w:firstRow="1" w:lastRow="0" w:firstColumn="1" w:lastColumn="0" w:noHBand="0" w:noVBand="1"/>
      </w:tblPr>
      <w:tblGrid>
        <w:gridCol w:w="1951"/>
        <w:gridCol w:w="2410"/>
        <w:gridCol w:w="1984"/>
        <w:gridCol w:w="2881"/>
      </w:tblGrid>
      <w:tr w:rsidR="00FE4B0D" w:rsidRPr="002B1E30" w14:paraId="6815BBD9" w14:textId="77777777" w:rsidTr="002B1E30">
        <w:trPr>
          <w:trHeight w:val="416"/>
        </w:trPr>
        <w:tc>
          <w:tcPr>
            <w:tcW w:w="1951" w:type="dxa"/>
            <w:vAlign w:val="center"/>
          </w:tcPr>
          <w:p w14:paraId="2C017BA5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斩</w:t>
            </w:r>
            <w:proofErr w:type="gramStart"/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波方式</w:t>
            </w:r>
            <w:proofErr w:type="gramEnd"/>
          </w:p>
        </w:tc>
        <w:tc>
          <w:tcPr>
            <w:tcW w:w="2410" w:type="dxa"/>
            <w:vAlign w:val="center"/>
          </w:tcPr>
          <w:p w14:paraId="4FF137C4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>控制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逻辑</w:t>
            </w:r>
          </w:p>
        </w:tc>
        <w:tc>
          <w:tcPr>
            <w:tcW w:w="1984" w:type="dxa"/>
            <w:vAlign w:val="center"/>
          </w:tcPr>
          <w:p w14:paraId="73F53756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>适用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场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景</w:t>
            </w:r>
          </w:p>
        </w:tc>
        <w:tc>
          <w:tcPr>
            <w:tcW w:w="2881" w:type="dxa"/>
            <w:vAlign w:val="center"/>
          </w:tcPr>
          <w:p w14:paraId="2158D5FB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>本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设计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适配性分析</w:t>
            </w:r>
          </w:p>
        </w:tc>
      </w:tr>
      <w:tr w:rsidR="00FE4B0D" w:rsidRPr="002B1E30" w14:paraId="481B2CBE" w14:textId="77777777" w:rsidTr="002B1E30">
        <w:tc>
          <w:tcPr>
            <w:tcW w:w="1951" w:type="dxa"/>
            <w:vAlign w:val="center"/>
          </w:tcPr>
          <w:p w14:paraId="24D4607B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 xml:space="preserve">PWM 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调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制</w:t>
            </w:r>
          </w:p>
        </w:tc>
        <w:tc>
          <w:tcPr>
            <w:tcW w:w="2410" w:type="dxa"/>
            <w:vAlign w:val="center"/>
          </w:tcPr>
          <w:p w14:paraId="49CFF8CB" w14:textId="77777777" w:rsidR="002B1E30" w:rsidRDefault="00FE4B0D" w:rsidP="002B1E30">
            <w:pPr>
              <w:spacing w:line="180" w:lineRule="auto"/>
              <w:jc w:val="center"/>
              <w:rPr>
                <w:rFonts w:ascii="Segoe UI" w:eastAsiaTheme="minorEastAsia" w:hAnsi="Segoe UI" w:cs="Segoe UI"/>
                <w:color w:val="000000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固定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频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率（</w:t>
            </w: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500Hz</w:t>
            </w: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），</w:t>
            </w:r>
          </w:p>
          <w:p w14:paraId="028610B3" w14:textId="63B8F65B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调节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占空比</w:t>
            </w:r>
          </w:p>
        </w:tc>
        <w:tc>
          <w:tcPr>
            <w:tcW w:w="1984" w:type="dxa"/>
            <w:vAlign w:val="center"/>
          </w:tcPr>
          <w:p w14:paraId="6C3B577A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中高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频电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源、需要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稳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定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谐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波特性的系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统</w:t>
            </w:r>
          </w:p>
        </w:tc>
        <w:tc>
          <w:tcPr>
            <w:tcW w:w="2881" w:type="dxa"/>
            <w:vAlign w:val="center"/>
          </w:tcPr>
          <w:p w14:paraId="3B97C2DB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控制算法成熟，易于通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过</w:t>
            </w: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FPGA/MCU 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实现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数字化控制</w:t>
            </w:r>
          </w:p>
        </w:tc>
      </w:tr>
      <w:tr w:rsidR="00FE4B0D" w:rsidRPr="002B1E30" w14:paraId="166E1945" w14:textId="77777777" w:rsidTr="002B1E30">
        <w:trPr>
          <w:trHeight w:val="661"/>
        </w:trPr>
        <w:tc>
          <w:tcPr>
            <w:tcW w:w="1951" w:type="dxa"/>
            <w:vAlign w:val="center"/>
          </w:tcPr>
          <w:p w14:paraId="55903F0D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频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率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调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制</w:t>
            </w:r>
          </w:p>
        </w:tc>
        <w:tc>
          <w:tcPr>
            <w:tcW w:w="2410" w:type="dxa"/>
            <w:vAlign w:val="center"/>
          </w:tcPr>
          <w:p w14:paraId="6A32D50D" w14:textId="77777777" w:rsidR="002B1E30" w:rsidRDefault="00FE4B0D" w:rsidP="002B1E30">
            <w:pPr>
              <w:spacing w:line="180" w:lineRule="auto"/>
              <w:jc w:val="center"/>
              <w:rPr>
                <w:rFonts w:ascii="Segoe UI" w:eastAsiaTheme="minorEastAsia" w:hAnsi="Segoe UI" w:cs="Segoe UI"/>
                <w:color w:val="000000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固定占空比，</w:t>
            </w:r>
          </w:p>
          <w:p w14:paraId="19CFC13F" w14:textId="6B8BB886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调节频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率</w:t>
            </w:r>
          </w:p>
        </w:tc>
        <w:tc>
          <w:tcPr>
            <w:tcW w:w="1984" w:type="dxa"/>
            <w:vAlign w:val="center"/>
          </w:tcPr>
          <w:p w14:paraId="52355A76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对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效率敏感的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轻载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系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统</w:t>
            </w:r>
          </w:p>
        </w:tc>
        <w:tc>
          <w:tcPr>
            <w:tcW w:w="2881" w:type="dxa"/>
            <w:vAlign w:val="center"/>
          </w:tcPr>
          <w:p w14:paraId="63DC5322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需重新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设计滤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波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电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路，增加</w:t>
            </w: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EMI </w:t>
            </w: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抑制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难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度，与本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设计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中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载场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景不匹配</w:t>
            </w:r>
          </w:p>
        </w:tc>
      </w:tr>
      <w:tr w:rsidR="00FE4B0D" w:rsidRPr="002B1E30" w14:paraId="547D8646" w14:textId="77777777" w:rsidTr="002B1E30">
        <w:tc>
          <w:tcPr>
            <w:tcW w:w="1951" w:type="dxa"/>
            <w:vAlign w:val="center"/>
          </w:tcPr>
          <w:p w14:paraId="18CC1E59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>混合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调</w:t>
            </w:r>
            <w:r w:rsidRPr="002B1E30">
              <w:rPr>
                <w:rStyle w:val="a6"/>
                <w:rFonts w:ascii="Yu Gothic" w:eastAsia="Yu Gothic" w:hAnsi="Yu Gothic" w:cs="Yu Gothic" w:hint="eastAsia"/>
                <w:b w:val="0"/>
                <w:bCs w:val="0"/>
                <w:color w:val="000000"/>
                <w:sz w:val="21"/>
                <w:szCs w:val="21"/>
              </w:rPr>
              <w:t>制（如</w:t>
            </w:r>
            <w:r w:rsidRPr="002B1E30">
              <w:rPr>
                <w:rStyle w:val="a6"/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变频</w:t>
            </w: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 xml:space="preserve"> PWM</w:t>
            </w:r>
            <w:r w:rsidRPr="002B1E30">
              <w:rPr>
                <w:rStyle w:val="a6"/>
                <w:rFonts w:ascii="Segoe UI" w:hAnsi="Segoe UI" w:cs="Segoe UI"/>
                <w:b w:val="0"/>
                <w:bCs w:val="0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410" w:type="dxa"/>
            <w:vAlign w:val="center"/>
          </w:tcPr>
          <w:p w14:paraId="69B4EB3C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proofErr w:type="gramStart"/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宽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范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围</w:t>
            </w:r>
            <w:proofErr w:type="gramEnd"/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动态调节频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率与占空比</w:t>
            </w:r>
          </w:p>
        </w:tc>
        <w:tc>
          <w:tcPr>
            <w:tcW w:w="1984" w:type="dxa"/>
            <w:vAlign w:val="center"/>
          </w:tcPr>
          <w:p w14:paraId="5CB151C2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宽输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入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输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出范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围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的复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杂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系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统</w:t>
            </w:r>
          </w:p>
        </w:tc>
        <w:tc>
          <w:tcPr>
            <w:tcW w:w="2881" w:type="dxa"/>
            <w:vAlign w:val="center"/>
          </w:tcPr>
          <w:p w14:paraId="199A6E13" w14:textId="77777777" w:rsidR="00FE4B0D" w:rsidRPr="002B1E30" w:rsidRDefault="00FE4B0D" w:rsidP="002B1E30">
            <w:pPr>
              <w:spacing w:line="180" w:lineRule="auto"/>
              <w:jc w:val="center"/>
              <w:rPr>
                <w:rFonts w:eastAsiaTheme="minorEastAsia" w:hint="eastAsia"/>
                <w:sz w:val="21"/>
                <w:szCs w:val="21"/>
              </w:rPr>
            </w:pPr>
            <w:r w:rsidRPr="002B1E30">
              <w:rPr>
                <w:rFonts w:ascii="Segoe UI" w:hAnsi="Segoe UI" w:cs="Segoe UI"/>
                <w:color w:val="000000"/>
                <w:sz w:val="21"/>
                <w:szCs w:val="21"/>
              </w:rPr>
              <w:t>增加控制复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杂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度，本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设计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固定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输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入</w:t>
            </w:r>
            <w:r w:rsidRPr="002B1E30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输</w:t>
            </w:r>
            <w:r w:rsidRPr="002B1E30">
              <w:rPr>
                <w:rFonts w:ascii="Yu Gothic" w:eastAsia="Yu Gothic" w:hAnsi="Yu Gothic" w:cs="Yu Gothic" w:hint="eastAsia"/>
                <w:color w:val="000000"/>
                <w:sz w:val="21"/>
                <w:szCs w:val="21"/>
              </w:rPr>
              <w:t>出条件下无需引入</w:t>
            </w:r>
          </w:p>
        </w:tc>
      </w:tr>
    </w:tbl>
    <w:p w14:paraId="28EB1672" w14:textId="39DED46B" w:rsidR="00FE4B0D" w:rsidRPr="002B1E30" w:rsidRDefault="00FE4B0D" w:rsidP="00FE4B0D">
      <w:pPr>
        <w:spacing w:line="180" w:lineRule="auto"/>
        <w:jc w:val="both"/>
        <w:rPr>
          <w:rFonts w:eastAsiaTheme="minorEastAsia" w:hint="eastAsia"/>
          <w:sz w:val="21"/>
          <w:szCs w:val="21"/>
        </w:rPr>
      </w:pPr>
      <w:r w:rsidRPr="002B1E30">
        <w:rPr>
          <w:rFonts w:eastAsiaTheme="minorEastAsia"/>
          <w:sz w:val="21"/>
          <w:szCs w:val="21"/>
        </w:rPr>
        <w:t xml:space="preserve">PWM </w:t>
      </w:r>
      <w:r w:rsidRPr="002B1E30">
        <w:rPr>
          <w:rFonts w:eastAsiaTheme="minorEastAsia"/>
          <w:sz w:val="21"/>
          <w:szCs w:val="21"/>
        </w:rPr>
        <w:t>调制深度分析：</w:t>
      </w:r>
    </w:p>
    <w:p w14:paraId="627D85A8" w14:textId="77777777" w:rsidR="00FE4B0D" w:rsidRPr="002B1E30" w:rsidRDefault="00FE4B0D" w:rsidP="00FE4B0D">
      <w:pPr>
        <w:spacing w:line="180" w:lineRule="auto"/>
        <w:ind w:firstLineChars="200" w:firstLine="420"/>
        <w:jc w:val="both"/>
        <w:rPr>
          <w:rFonts w:eastAsiaTheme="minorEastAsia" w:hint="eastAsia"/>
          <w:sz w:val="21"/>
          <w:szCs w:val="21"/>
        </w:rPr>
      </w:pPr>
      <w:r w:rsidRPr="00FE4B0D">
        <w:rPr>
          <w:rFonts w:eastAsiaTheme="minorEastAsia"/>
          <w:sz w:val="21"/>
          <w:szCs w:val="21"/>
        </w:rPr>
        <w:t>占空比公式推导：</w:t>
      </w:r>
      <w:r w:rsidRPr="002B1E30">
        <w:rPr>
          <w:noProof/>
          <w:sz w:val="21"/>
          <w:szCs w:val="21"/>
        </w:rPr>
        <w:drawing>
          <wp:inline distT="0" distB="0" distL="0" distR="0" wp14:anchorId="1F4F4E77" wp14:editId="35F28229">
            <wp:extent cx="1714500" cy="273519"/>
            <wp:effectExtent l="0" t="0" r="0" b="0"/>
            <wp:docPr id="41538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8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6163" cy="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E30">
        <w:rPr>
          <w:rFonts w:eastAsiaTheme="minorEastAsia" w:hint="eastAsia"/>
          <w:sz w:val="21"/>
          <w:szCs w:val="21"/>
        </w:rPr>
        <w:t>，</w:t>
      </w:r>
    </w:p>
    <w:p w14:paraId="2DEDD022" w14:textId="5007C807" w:rsidR="00FE4B0D" w:rsidRPr="002B1E30" w:rsidRDefault="00FE4B0D" w:rsidP="00FE4B0D">
      <w:pPr>
        <w:spacing w:line="180" w:lineRule="auto"/>
        <w:ind w:firstLineChars="200" w:firstLine="420"/>
        <w:jc w:val="both"/>
        <w:rPr>
          <w:rFonts w:eastAsiaTheme="minorEastAsia" w:hint="eastAsia"/>
          <w:sz w:val="21"/>
          <w:szCs w:val="21"/>
        </w:rPr>
      </w:pPr>
      <w:r w:rsidRPr="002B1E30">
        <w:rPr>
          <w:rFonts w:eastAsiaTheme="minorEastAsia"/>
          <w:sz w:val="21"/>
          <w:szCs w:val="21"/>
        </w:rPr>
        <w:t>对应开关管导通时间</w:t>
      </w:r>
      <w:r w:rsidRPr="002B1E30">
        <w:rPr>
          <w:rFonts w:eastAsiaTheme="minorEastAsia" w:hint="eastAsia"/>
          <w:sz w:val="21"/>
          <w:szCs w:val="21"/>
        </w:rPr>
        <w:t>：</w:t>
      </w:r>
      <w:r w:rsidRPr="002B1E30">
        <w:rPr>
          <w:noProof/>
          <w:sz w:val="21"/>
          <w:szCs w:val="21"/>
        </w:rPr>
        <w:drawing>
          <wp:inline distT="0" distB="0" distL="0" distR="0" wp14:anchorId="4ED199C9" wp14:editId="5A058FE1">
            <wp:extent cx="2033270" cy="336550"/>
            <wp:effectExtent l="0" t="0" r="5080" b="6350"/>
            <wp:docPr id="195518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8292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79F8" w14:textId="4C485AD3" w:rsidR="008A4815" w:rsidRDefault="00FE4B0D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  <w:r w:rsidRPr="002B1E30">
        <w:rPr>
          <w:rFonts w:eastAsiaTheme="minorEastAsia"/>
          <w:sz w:val="21"/>
          <w:szCs w:val="21"/>
        </w:rPr>
        <w:t>谐波特性：基频为</w:t>
      </w:r>
      <w:r w:rsidRPr="002B1E30">
        <w:rPr>
          <w:rFonts w:eastAsiaTheme="minorEastAsia"/>
          <w:sz w:val="21"/>
          <w:szCs w:val="21"/>
        </w:rPr>
        <w:t xml:space="preserve"> 500Hz</w:t>
      </w:r>
      <w:r w:rsidRPr="002B1E30">
        <w:rPr>
          <w:rFonts w:eastAsiaTheme="minorEastAsia"/>
          <w:sz w:val="21"/>
          <w:szCs w:val="21"/>
        </w:rPr>
        <w:t>，主要谐波分量位于</w:t>
      </w:r>
      <w:r w:rsidRPr="002B1E30">
        <w:rPr>
          <w:rFonts w:eastAsiaTheme="minorEastAsia"/>
          <w:sz w:val="21"/>
          <w:szCs w:val="21"/>
        </w:rPr>
        <w:t xml:space="preserve"> 500Hz </w:t>
      </w:r>
      <w:r w:rsidRPr="002B1E30">
        <w:rPr>
          <w:rFonts w:eastAsiaTheme="minorEastAsia"/>
          <w:sz w:val="21"/>
          <w:szCs w:val="21"/>
        </w:rPr>
        <w:t>整数</w:t>
      </w:r>
      <w:proofErr w:type="gramStart"/>
      <w:r w:rsidRPr="002B1E30">
        <w:rPr>
          <w:rFonts w:eastAsiaTheme="minorEastAsia"/>
          <w:sz w:val="21"/>
          <w:szCs w:val="21"/>
        </w:rPr>
        <w:t>倍</w:t>
      </w:r>
      <w:proofErr w:type="gramEnd"/>
      <w:r w:rsidRPr="002B1E30">
        <w:rPr>
          <w:rFonts w:eastAsiaTheme="minorEastAsia"/>
          <w:sz w:val="21"/>
          <w:szCs w:val="21"/>
        </w:rPr>
        <w:t>处，可通过输出滤波电感</w:t>
      </w:r>
    </w:p>
    <w:p w14:paraId="599DA62F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 w:hint="eastAsia"/>
          <w:sz w:val="21"/>
          <w:szCs w:val="21"/>
        </w:rPr>
      </w:pPr>
    </w:p>
    <w:p w14:paraId="62AEA8F4" w14:textId="71A838F8" w:rsidR="00833D91" w:rsidRDefault="00833D91" w:rsidP="00833D91">
      <w:pPr>
        <w:spacing w:line="180" w:lineRule="auto"/>
        <w:jc w:val="both"/>
        <w:rPr>
          <w:rFonts w:eastAsiaTheme="minorEastAsia"/>
          <w:sz w:val="21"/>
          <w:szCs w:val="21"/>
        </w:rPr>
      </w:pPr>
      <w:r>
        <w:rPr>
          <w:noProof/>
        </w:rPr>
        <w:drawing>
          <wp:inline distT="0" distB="0" distL="0" distR="0" wp14:anchorId="6B6DC914" wp14:editId="5AE78631">
            <wp:extent cx="2876550" cy="2358068"/>
            <wp:effectExtent l="0" t="0" r="0" b="4445"/>
            <wp:docPr id="414299889" name="图片 1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9889" name="图片 1" descr="图表, 条形图, 直方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14" cy="23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E84C4" wp14:editId="0D4A162C">
            <wp:extent cx="2819400" cy="2293383"/>
            <wp:effectExtent l="0" t="0" r="0" b="0"/>
            <wp:docPr id="945100292" name="图片 1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0292" name="图片 1" descr="图表, 条形图, 直方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958" cy="23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048A" w14:textId="77777777" w:rsidR="00833D91" w:rsidRDefault="00833D91" w:rsidP="00833D91">
      <w:pPr>
        <w:spacing w:line="180" w:lineRule="auto"/>
        <w:jc w:val="both"/>
        <w:rPr>
          <w:rFonts w:eastAsiaTheme="minorEastAsia"/>
          <w:sz w:val="21"/>
          <w:szCs w:val="21"/>
        </w:rPr>
      </w:pPr>
    </w:p>
    <w:p w14:paraId="6B4EA920" w14:textId="77777777" w:rsidR="00833D91" w:rsidRDefault="00833D91" w:rsidP="00833D91">
      <w:pPr>
        <w:spacing w:line="180" w:lineRule="auto"/>
        <w:jc w:val="both"/>
        <w:rPr>
          <w:rFonts w:eastAsiaTheme="minorEastAsia"/>
          <w:sz w:val="21"/>
          <w:szCs w:val="21"/>
        </w:rPr>
      </w:pPr>
    </w:p>
    <w:p w14:paraId="7C7007AA" w14:textId="77777777" w:rsidR="00833D91" w:rsidRDefault="00833D91" w:rsidP="00833D91">
      <w:pPr>
        <w:spacing w:line="180" w:lineRule="auto"/>
        <w:jc w:val="both"/>
        <w:rPr>
          <w:rFonts w:eastAsiaTheme="minorEastAsia" w:hint="eastAsia"/>
          <w:sz w:val="21"/>
          <w:szCs w:val="21"/>
        </w:rPr>
      </w:pPr>
    </w:p>
    <w:p w14:paraId="0F08AF1C" w14:textId="087066F9" w:rsidR="00833D91" w:rsidRDefault="00833D91" w:rsidP="00833D91">
      <w:pPr>
        <w:spacing w:line="180" w:lineRule="auto"/>
        <w:ind w:firstLineChars="200" w:firstLine="420"/>
        <w:jc w:val="both"/>
        <w:rPr>
          <w:rFonts w:eastAsiaTheme="minorEastAsia" w:hint="eastAsia"/>
          <w:sz w:val="21"/>
          <w:szCs w:val="21"/>
        </w:rPr>
      </w:pPr>
    </w:p>
    <w:p w14:paraId="3E02BF2C" w14:textId="4FF181EC" w:rsidR="00833D91" w:rsidRDefault="00833D91" w:rsidP="008A4815">
      <w:pPr>
        <w:spacing w:line="180" w:lineRule="auto"/>
        <w:ind w:firstLineChars="200" w:firstLine="440"/>
        <w:jc w:val="both"/>
        <w:rPr>
          <w:rFonts w:eastAsiaTheme="minor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F121060" wp14:editId="15DF7711">
            <wp:extent cx="3028950" cy="2360296"/>
            <wp:effectExtent l="0" t="0" r="0" b="1905"/>
            <wp:docPr id="77595249" name="图片 1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249" name="图片 1" descr="图表, 条形图, 直方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7630" cy="23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F9F6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1EBC10B8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5E96C270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2F857F4C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277D5C44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0F9D8C73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6CB61756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3B560DC0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7966FA9E" w14:textId="77777777" w:rsidR="00833D91" w:rsidRDefault="00833D91" w:rsidP="008A4815">
      <w:pPr>
        <w:spacing w:line="180" w:lineRule="auto"/>
        <w:ind w:firstLineChars="200" w:firstLine="420"/>
        <w:jc w:val="both"/>
        <w:rPr>
          <w:rFonts w:eastAsiaTheme="minorEastAsia" w:hint="eastAsia"/>
          <w:sz w:val="21"/>
          <w:szCs w:val="21"/>
        </w:rPr>
      </w:pPr>
    </w:p>
    <w:p w14:paraId="14AD9D4E" w14:textId="77777777" w:rsidR="00737DBC" w:rsidRDefault="00737DBC" w:rsidP="008A4815">
      <w:pPr>
        <w:spacing w:line="180" w:lineRule="auto"/>
        <w:ind w:firstLineChars="200" w:firstLine="420"/>
        <w:jc w:val="both"/>
        <w:rPr>
          <w:rFonts w:eastAsiaTheme="minorEastAsia"/>
          <w:sz w:val="21"/>
          <w:szCs w:val="21"/>
        </w:rPr>
      </w:pPr>
    </w:p>
    <w:p w14:paraId="207FBBE1" w14:textId="77777777" w:rsidR="00737DBC" w:rsidRDefault="00737DBC" w:rsidP="008A4815">
      <w:pPr>
        <w:spacing w:line="180" w:lineRule="auto"/>
        <w:ind w:firstLineChars="200" w:firstLine="300"/>
        <w:jc w:val="both"/>
        <w:rPr>
          <w:rFonts w:hint="eastAsia"/>
          <w:sz w:val="15"/>
        </w:rPr>
      </w:pPr>
    </w:p>
    <w:p w14:paraId="1C4455DC" w14:textId="7EA9770E" w:rsidR="001D6137" w:rsidRDefault="001D6137">
      <w:pPr>
        <w:spacing w:line="276" w:lineRule="exact"/>
        <w:ind w:left="100"/>
        <w:rPr>
          <w:sz w:val="15"/>
        </w:rPr>
      </w:pPr>
    </w:p>
    <w:sectPr w:rsidR="001D6137">
      <w:pgSz w:w="11910" w:h="16840"/>
      <w:pgMar w:top="1340" w:right="1440" w:bottom="840" w:left="146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FD18" w14:textId="77777777" w:rsidR="00730BF0" w:rsidRDefault="00730BF0">
      <w:r>
        <w:separator/>
      </w:r>
    </w:p>
  </w:endnote>
  <w:endnote w:type="continuationSeparator" w:id="0">
    <w:p w14:paraId="35D51E76" w14:textId="77777777" w:rsidR="00730BF0" w:rsidRDefault="0073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">
    <w:altName w:val="Yu Gothic"/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1C67" w14:textId="77777777" w:rsidR="001D6137" w:rsidRDefault="00000000">
    <w:pPr>
      <w:pStyle w:val="a3"/>
      <w:spacing w:line="14" w:lineRule="auto"/>
      <w:ind w:left="0"/>
      <w:rPr>
        <w:sz w:val="20"/>
      </w:rPr>
    </w:pPr>
    <w:r>
      <w:pict w14:anchorId="4C4E3A8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2.05pt;margin-top:798.75pt;width:12.15pt;height:14.3pt;z-index:-251658752;mso-position-horizontal-relative:page;mso-position-vertical-relative:page" filled="f" stroked="f">
          <v:textbox inset="0,0,0,0">
            <w:txbxContent>
              <w:p w14:paraId="08D24261" w14:textId="77777777" w:rsidR="001D6137" w:rsidRDefault="00000000">
                <w:pPr>
                  <w:pStyle w:val="a3"/>
                  <w:spacing w:before="32"/>
                  <w:ind w:left="60"/>
                  <w:rPr>
                    <w:rFonts w:ascii="Gulim"/>
                  </w:rPr>
                </w:pPr>
                <w:r>
                  <w:rPr>
                    <w:rFonts w:ascii="Gulim"/>
                    <w:color w:val="6E6E6E"/>
                    <w:w w:val="99"/>
                  </w:rPr>
                  <w:fldChar w:fldCharType="begin"/>
                </w:r>
                <w:r>
                  <w:rPr>
                    <w:rFonts w:ascii="Gulim"/>
                    <w:color w:val="6E6E6E"/>
                    <w:w w:val="99"/>
                  </w:rPr>
                  <w:instrText xml:space="preserve"> PAGE </w:instrText>
                </w:r>
                <w:r>
                  <w:rPr>
                    <w:rFonts w:ascii="Gulim"/>
                    <w:color w:val="6E6E6E"/>
                    <w:w w:val="99"/>
                  </w:rPr>
                  <w:fldChar w:fldCharType="separate"/>
                </w:r>
                <w:r>
                  <w:rPr>
                    <w:rFonts w:ascii="Gulim"/>
                    <w:color w:val="6E6E6E"/>
                    <w:w w:val="99"/>
                  </w:rPr>
                  <w:t>1</w:t>
                </w:r>
                <w:r>
                  <w:rPr>
                    <w:rFonts w:ascii="Gulim"/>
                    <w:color w:val="6E6E6E"/>
                    <w:w w:val="99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BE9D" w14:textId="77777777" w:rsidR="00730BF0" w:rsidRDefault="00730BF0">
      <w:r>
        <w:separator/>
      </w:r>
    </w:p>
  </w:footnote>
  <w:footnote w:type="continuationSeparator" w:id="0">
    <w:p w14:paraId="00C79A6F" w14:textId="77777777" w:rsidR="00730BF0" w:rsidRDefault="00730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26D"/>
    <w:multiLevelType w:val="multilevel"/>
    <w:tmpl w:val="060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7246"/>
    <w:multiLevelType w:val="multilevel"/>
    <w:tmpl w:val="49B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622D"/>
    <w:multiLevelType w:val="multilevel"/>
    <w:tmpl w:val="4D2292DA"/>
    <w:lvl w:ilvl="0">
      <w:start w:val="2"/>
      <w:numFmt w:val="decimal"/>
      <w:lvlText w:val="%1"/>
      <w:lvlJc w:val="left"/>
      <w:pPr>
        <w:ind w:left="464" w:hanging="36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64" w:hanging="365"/>
      </w:pPr>
      <w:rPr>
        <w:rFonts w:ascii="思源黑体 CN" w:eastAsia="思源黑体 CN" w:hAnsi="思源黑体 CN" w:cs="思源黑体 CN" w:hint="default"/>
        <w:b/>
        <w:bCs/>
        <w:i w:val="0"/>
        <w:iCs w:val="0"/>
        <w:w w:val="100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169" w:hanging="36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23" w:hanging="36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78" w:hanging="36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32" w:hanging="36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87" w:hanging="36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41" w:hanging="36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96" w:hanging="365"/>
      </w:pPr>
      <w:rPr>
        <w:rFonts w:hint="default"/>
        <w:lang w:val="en-US" w:eastAsia="zh-CN" w:bidi="ar-SA"/>
      </w:rPr>
    </w:lvl>
  </w:abstractNum>
  <w:abstractNum w:abstractNumId="3" w15:restartNumberingAfterBreak="0">
    <w:nsid w:val="1FE54872"/>
    <w:multiLevelType w:val="multilevel"/>
    <w:tmpl w:val="0BFE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E1782"/>
    <w:multiLevelType w:val="multilevel"/>
    <w:tmpl w:val="077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24412"/>
    <w:multiLevelType w:val="multilevel"/>
    <w:tmpl w:val="4C2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A6BBE"/>
    <w:multiLevelType w:val="hybridMultilevel"/>
    <w:tmpl w:val="3C3E85FE"/>
    <w:lvl w:ilvl="0" w:tplc="D8E6A4A2">
      <w:numFmt w:val="bullet"/>
      <w:lvlText w:val="•"/>
      <w:lvlJc w:val="left"/>
      <w:pPr>
        <w:ind w:left="700" w:hanging="221"/>
      </w:pPr>
      <w:rPr>
        <w:rFonts w:ascii="思源黑体 CN" w:eastAsia="思源黑体 CN" w:hAnsi="思源黑体 CN" w:cs="思源黑体 CN" w:hint="default"/>
        <w:b w:val="0"/>
        <w:bCs w:val="0"/>
        <w:i w:val="0"/>
        <w:iCs w:val="0"/>
        <w:w w:val="100"/>
        <w:sz w:val="18"/>
        <w:szCs w:val="18"/>
        <w:lang w:val="en-US" w:eastAsia="zh-CN" w:bidi="ar-SA"/>
      </w:rPr>
    </w:lvl>
    <w:lvl w:ilvl="1" w:tplc="5A804526">
      <w:numFmt w:val="bullet"/>
      <w:lvlText w:val="•"/>
      <w:lvlJc w:val="left"/>
      <w:pPr>
        <w:ind w:left="1530" w:hanging="221"/>
      </w:pPr>
      <w:rPr>
        <w:rFonts w:hint="default"/>
        <w:lang w:val="en-US" w:eastAsia="zh-CN" w:bidi="ar-SA"/>
      </w:rPr>
    </w:lvl>
    <w:lvl w:ilvl="2" w:tplc="35F45EC4">
      <w:numFmt w:val="bullet"/>
      <w:lvlText w:val="•"/>
      <w:lvlJc w:val="left"/>
      <w:pPr>
        <w:ind w:left="2361" w:hanging="221"/>
      </w:pPr>
      <w:rPr>
        <w:rFonts w:hint="default"/>
        <w:lang w:val="en-US" w:eastAsia="zh-CN" w:bidi="ar-SA"/>
      </w:rPr>
    </w:lvl>
    <w:lvl w:ilvl="3" w:tplc="197E66F6">
      <w:numFmt w:val="bullet"/>
      <w:lvlText w:val="•"/>
      <w:lvlJc w:val="left"/>
      <w:pPr>
        <w:ind w:left="3191" w:hanging="221"/>
      </w:pPr>
      <w:rPr>
        <w:rFonts w:hint="default"/>
        <w:lang w:val="en-US" w:eastAsia="zh-CN" w:bidi="ar-SA"/>
      </w:rPr>
    </w:lvl>
    <w:lvl w:ilvl="4" w:tplc="6ADAB4C0">
      <w:numFmt w:val="bullet"/>
      <w:lvlText w:val="•"/>
      <w:lvlJc w:val="left"/>
      <w:pPr>
        <w:ind w:left="4022" w:hanging="221"/>
      </w:pPr>
      <w:rPr>
        <w:rFonts w:hint="default"/>
        <w:lang w:val="en-US" w:eastAsia="zh-CN" w:bidi="ar-SA"/>
      </w:rPr>
    </w:lvl>
    <w:lvl w:ilvl="5" w:tplc="D36A2BDA">
      <w:numFmt w:val="bullet"/>
      <w:lvlText w:val="•"/>
      <w:lvlJc w:val="left"/>
      <w:pPr>
        <w:ind w:left="4852" w:hanging="221"/>
      </w:pPr>
      <w:rPr>
        <w:rFonts w:hint="default"/>
        <w:lang w:val="en-US" w:eastAsia="zh-CN" w:bidi="ar-SA"/>
      </w:rPr>
    </w:lvl>
    <w:lvl w:ilvl="6" w:tplc="CD667200">
      <w:numFmt w:val="bullet"/>
      <w:lvlText w:val="•"/>
      <w:lvlJc w:val="left"/>
      <w:pPr>
        <w:ind w:left="5683" w:hanging="221"/>
      </w:pPr>
      <w:rPr>
        <w:rFonts w:hint="default"/>
        <w:lang w:val="en-US" w:eastAsia="zh-CN" w:bidi="ar-SA"/>
      </w:rPr>
    </w:lvl>
    <w:lvl w:ilvl="7" w:tplc="C84EEB4A">
      <w:numFmt w:val="bullet"/>
      <w:lvlText w:val="•"/>
      <w:lvlJc w:val="left"/>
      <w:pPr>
        <w:ind w:left="6513" w:hanging="221"/>
      </w:pPr>
      <w:rPr>
        <w:rFonts w:hint="default"/>
        <w:lang w:val="en-US" w:eastAsia="zh-CN" w:bidi="ar-SA"/>
      </w:rPr>
    </w:lvl>
    <w:lvl w:ilvl="8" w:tplc="363C18BE">
      <w:numFmt w:val="bullet"/>
      <w:lvlText w:val="•"/>
      <w:lvlJc w:val="left"/>
      <w:pPr>
        <w:ind w:left="7344" w:hanging="221"/>
      </w:pPr>
      <w:rPr>
        <w:rFonts w:hint="default"/>
        <w:lang w:val="en-US" w:eastAsia="zh-CN" w:bidi="ar-SA"/>
      </w:rPr>
    </w:lvl>
  </w:abstractNum>
  <w:abstractNum w:abstractNumId="7" w15:restartNumberingAfterBreak="0">
    <w:nsid w:val="46CC51D3"/>
    <w:multiLevelType w:val="multilevel"/>
    <w:tmpl w:val="A65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A5278"/>
    <w:multiLevelType w:val="multilevel"/>
    <w:tmpl w:val="168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76F44"/>
    <w:multiLevelType w:val="multilevel"/>
    <w:tmpl w:val="A0B0048C"/>
    <w:lvl w:ilvl="0">
      <w:start w:val="7"/>
      <w:numFmt w:val="decimal"/>
      <w:lvlText w:val="%1"/>
      <w:lvlJc w:val="left"/>
      <w:pPr>
        <w:ind w:left="464" w:hanging="36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64" w:hanging="365"/>
      </w:pPr>
      <w:rPr>
        <w:rFonts w:ascii="思源黑体 CN" w:eastAsia="思源黑体 CN" w:hAnsi="思源黑体 CN" w:cs="思源黑体 CN" w:hint="default"/>
        <w:b/>
        <w:bCs/>
        <w:i w:val="0"/>
        <w:iCs w:val="0"/>
        <w:w w:val="100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169" w:hanging="36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23" w:hanging="36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78" w:hanging="36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32" w:hanging="36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87" w:hanging="36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41" w:hanging="36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96" w:hanging="365"/>
      </w:pPr>
      <w:rPr>
        <w:rFonts w:hint="default"/>
        <w:lang w:val="en-US" w:eastAsia="zh-CN" w:bidi="ar-SA"/>
      </w:rPr>
    </w:lvl>
  </w:abstractNum>
  <w:abstractNum w:abstractNumId="10" w15:restartNumberingAfterBreak="0">
    <w:nsid w:val="63FE5CCD"/>
    <w:multiLevelType w:val="multilevel"/>
    <w:tmpl w:val="F3C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75AE8"/>
    <w:multiLevelType w:val="multilevel"/>
    <w:tmpl w:val="74E4E7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2" w15:restartNumberingAfterBreak="0">
    <w:nsid w:val="67656DE2"/>
    <w:multiLevelType w:val="multilevel"/>
    <w:tmpl w:val="7FA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314AD"/>
    <w:multiLevelType w:val="hybridMultilevel"/>
    <w:tmpl w:val="A5EE35BA"/>
    <w:lvl w:ilvl="0" w:tplc="A5FEA7F4">
      <w:start w:val="1"/>
      <w:numFmt w:val="decimal"/>
      <w:lvlText w:val="%1."/>
      <w:lvlJc w:val="left"/>
      <w:pPr>
        <w:ind w:left="100" w:hanging="326"/>
      </w:pPr>
      <w:rPr>
        <w:rFonts w:ascii="思源黑体 CN" w:eastAsia="思源黑体 CN" w:hAnsi="思源黑体 CN" w:cs="思源黑体 CN" w:hint="default"/>
        <w:b w:val="0"/>
        <w:bCs w:val="0"/>
        <w:i w:val="0"/>
        <w:iCs w:val="0"/>
        <w:w w:val="100"/>
        <w:sz w:val="18"/>
        <w:szCs w:val="18"/>
        <w:lang w:val="en-US" w:eastAsia="zh-CN" w:bidi="ar-SA"/>
      </w:rPr>
    </w:lvl>
    <w:lvl w:ilvl="1" w:tplc="AF1AFC68">
      <w:numFmt w:val="bullet"/>
      <w:lvlText w:val="•"/>
      <w:lvlJc w:val="left"/>
      <w:pPr>
        <w:ind w:left="990" w:hanging="326"/>
      </w:pPr>
      <w:rPr>
        <w:rFonts w:hint="default"/>
        <w:lang w:val="en-US" w:eastAsia="zh-CN" w:bidi="ar-SA"/>
      </w:rPr>
    </w:lvl>
    <w:lvl w:ilvl="2" w:tplc="C2D4C6A4">
      <w:numFmt w:val="bullet"/>
      <w:lvlText w:val="•"/>
      <w:lvlJc w:val="left"/>
      <w:pPr>
        <w:ind w:left="1881" w:hanging="326"/>
      </w:pPr>
      <w:rPr>
        <w:rFonts w:hint="default"/>
        <w:lang w:val="en-US" w:eastAsia="zh-CN" w:bidi="ar-SA"/>
      </w:rPr>
    </w:lvl>
    <w:lvl w:ilvl="3" w:tplc="FB22D0A2">
      <w:numFmt w:val="bullet"/>
      <w:lvlText w:val="•"/>
      <w:lvlJc w:val="left"/>
      <w:pPr>
        <w:ind w:left="2771" w:hanging="326"/>
      </w:pPr>
      <w:rPr>
        <w:rFonts w:hint="default"/>
        <w:lang w:val="en-US" w:eastAsia="zh-CN" w:bidi="ar-SA"/>
      </w:rPr>
    </w:lvl>
    <w:lvl w:ilvl="4" w:tplc="4FEEDB3C">
      <w:numFmt w:val="bullet"/>
      <w:lvlText w:val="•"/>
      <w:lvlJc w:val="left"/>
      <w:pPr>
        <w:ind w:left="3662" w:hanging="326"/>
      </w:pPr>
      <w:rPr>
        <w:rFonts w:hint="default"/>
        <w:lang w:val="en-US" w:eastAsia="zh-CN" w:bidi="ar-SA"/>
      </w:rPr>
    </w:lvl>
    <w:lvl w:ilvl="5" w:tplc="12E4F6FE">
      <w:numFmt w:val="bullet"/>
      <w:lvlText w:val="•"/>
      <w:lvlJc w:val="left"/>
      <w:pPr>
        <w:ind w:left="4552" w:hanging="326"/>
      </w:pPr>
      <w:rPr>
        <w:rFonts w:hint="default"/>
        <w:lang w:val="en-US" w:eastAsia="zh-CN" w:bidi="ar-SA"/>
      </w:rPr>
    </w:lvl>
    <w:lvl w:ilvl="6" w:tplc="2116D50E">
      <w:numFmt w:val="bullet"/>
      <w:lvlText w:val="•"/>
      <w:lvlJc w:val="left"/>
      <w:pPr>
        <w:ind w:left="5443" w:hanging="326"/>
      </w:pPr>
      <w:rPr>
        <w:rFonts w:hint="default"/>
        <w:lang w:val="en-US" w:eastAsia="zh-CN" w:bidi="ar-SA"/>
      </w:rPr>
    </w:lvl>
    <w:lvl w:ilvl="7" w:tplc="228E1DC6">
      <w:numFmt w:val="bullet"/>
      <w:lvlText w:val="•"/>
      <w:lvlJc w:val="left"/>
      <w:pPr>
        <w:ind w:left="6333" w:hanging="326"/>
      </w:pPr>
      <w:rPr>
        <w:rFonts w:hint="default"/>
        <w:lang w:val="en-US" w:eastAsia="zh-CN" w:bidi="ar-SA"/>
      </w:rPr>
    </w:lvl>
    <w:lvl w:ilvl="8" w:tplc="A99C4C68">
      <w:numFmt w:val="bullet"/>
      <w:lvlText w:val="•"/>
      <w:lvlJc w:val="left"/>
      <w:pPr>
        <w:ind w:left="7224" w:hanging="326"/>
      </w:pPr>
      <w:rPr>
        <w:rFonts w:hint="default"/>
        <w:lang w:val="en-US" w:eastAsia="zh-CN" w:bidi="ar-SA"/>
      </w:rPr>
    </w:lvl>
  </w:abstractNum>
  <w:abstractNum w:abstractNumId="14" w15:restartNumberingAfterBreak="0">
    <w:nsid w:val="6CF00DB6"/>
    <w:multiLevelType w:val="multilevel"/>
    <w:tmpl w:val="49C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C31DB"/>
    <w:multiLevelType w:val="multilevel"/>
    <w:tmpl w:val="CFE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4100">
    <w:abstractNumId w:val="13"/>
  </w:num>
  <w:num w:numId="2" w16cid:durableId="1935243012">
    <w:abstractNumId w:val="9"/>
  </w:num>
  <w:num w:numId="3" w16cid:durableId="1514608458">
    <w:abstractNumId w:val="6"/>
  </w:num>
  <w:num w:numId="4" w16cid:durableId="2111925568">
    <w:abstractNumId w:val="2"/>
  </w:num>
  <w:num w:numId="5" w16cid:durableId="657223972">
    <w:abstractNumId w:val="8"/>
  </w:num>
  <w:num w:numId="6" w16cid:durableId="1149787961">
    <w:abstractNumId w:val="7"/>
  </w:num>
  <w:num w:numId="7" w16cid:durableId="133522250">
    <w:abstractNumId w:val="11"/>
  </w:num>
  <w:num w:numId="8" w16cid:durableId="37704959">
    <w:abstractNumId w:val="10"/>
  </w:num>
  <w:num w:numId="9" w16cid:durableId="1925645612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184201166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289049111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575356644">
    <w:abstractNumId w:val="15"/>
  </w:num>
  <w:num w:numId="13" w16cid:durableId="1059088267">
    <w:abstractNumId w:val="5"/>
  </w:num>
  <w:num w:numId="14" w16cid:durableId="319626411">
    <w:abstractNumId w:val="0"/>
  </w:num>
  <w:num w:numId="15" w16cid:durableId="2087025470">
    <w:abstractNumId w:val="1"/>
  </w:num>
  <w:num w:numId="16" w16cid:durableId="1430924819">
    <w:abstractNumId w:val="4"/>
  </w:num>
  <w:num w:numId="17" w16cid:durableId="1510635503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1005666884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53504628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0" w16cid:durableId="1539850179">
    <w:abstractNumId w:val="12"/>
  </w:num>
  <w:num w:numId="21" w16cid:durableId="1486817107">
    <w:abstractNumId w:val="14"/>
  </w:num>
  <w:num w:numId="22" w16cid:durableId="86586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2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137"/>
    <w:rsid w:val="00170446"/>
    <w:rsid w:val="001D6137"/>
    <w:rsid w:val="00250496"/>
    <w:rsid w:val="002B1E30"/>
    <w:rsid w:val="0031436A"/>
    <w:rsid w:val="00345E05"/>
    <w:rsid w:val="003621D2"/>
    <w:rsid w:val="004B3385"/>
    <w:rsid w:val="00680D4E"/>
    <w:rsid w:val="006B5991"/>
    <w:rsid w:val="00730BF0"/>
    <w:rsid w:val="00737DBC"/>
    <w:rsid w:val="007D554C"/>
    <w:rsid w:val="00833D91"/>
    <w:rsid w:val="00887BCD"/>
    <w:rsid w:val="008A4815"/>
    <w:rsid w:val="00AB78AC"/>
    <w:rsid w:val="00B2231E"/>
    <w:rsid w:val="00D77B74"/>
    <w:rsid w:val="00E55C1A"/>
    <w:rsid w:val="00FC0316"/>
    <w:rsid w:val="00FE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9"/>
    <o:shapelayout v:ext="edit">
      <o:idmap v:ext="edit" data="2"/>
    </o:shapelayout>
  </w:shapeDefaults>
  <w:decimalSymbol w:val="."/>
  <w:listSeparator w:val=","/>
  <w14:docId w14:val="5B54A599"/>
  <w15:docId w15:val="{3A3DBB0E-8412-4C3C-AF84-A2A87E76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思源黑体 CN" w:eastAsia="思源黑体 CN" w:hAnsi="思源黑体 CN" w:cs="思源黑体 CN"/>
      <w:lang w:eastAsia="zh-CN"/>
    </w:rPr>
  </w:style>
  <w:style w:type="paragraph" w:styleId="1">
    <w:name w:val="heading 1"/>
    <w:basedOn w:val="a"/>
    <w:uiPriority w:val="9"/>
    <w:qFormat/>
    <w:pPr>
      <w:spacing w:before="11"/>
      <w:ind w:left="100"/>
      <w:outlineLvl w:val="0"/>
    </w:pPr>
    <w:rPr>
      <w:b/>
      <w:bCs/>
      <w:sz w:val="27"/>
      <w:szCs w:val="27"/>
    </w:rPr>
  </w:style>
  <w:style w:type="paragraph" w:styleId="2">
    <w:name w:val="heading 2"/>
    <w:basedOn w:val="a"/>
    <w:uiPriority w:val="9"/>
    <w:unhideWhenUsed/>
    <w:qFormat/>
    <w:pPr>
      <w:spacing w:before="99"/>
      <w:ind w:left="464" w:hanging="365"/>
      <w:outlineLvl w:val="1"/>
    </w:pPr>
    <w:rPr>
      <w:b/>
      <w:bCs/>
      <w:sz w:val="21"/>
      <w:szCs w:val="21"/>
    </w:rPr>
  </w:style>
  <w:style w:type="paragraph" w:styleId="3">
    <w:name w:val="heading 3"/>
    <w:basedOn w:val="a"/>
    <w:uiPriority w:val="9"/>
    <w:unhideWhenUsed/>
    <w:qFormat/>
    <w:pPr>
      <w:spacing w:line="194" w:lineRule="exact"/>
      <w:outlineLvl w:val="2"/>
    </w:pPr>
    <w:rPr>
      <w:rFonts w:ascii="Georgia" w:eastAsia="Georgia" w:hAnsi="Georgia" w:cs="Georgia"/>
      <w:i/>
      <w:iCs/>
      <w:sz w:val="2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1D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49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line="725" w:lineRule="exact"/>
      <w:ind w:left="10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700" w:hanging="22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标题 4 字符"/>
    <w:basedOn w:val="a0"/>
    <w:link w:val="4"/>
    <w:uiPriority w:val="9"/>
    <w:semiHidden/>
    <w:rsid w:val="003621D2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styleId="a6">
    <w:name w:val="Strong"/>
    <w:basedOn w:val="a0"/>
    <w:uiPriority w:val="22"/>
    <w:qFormat/>
    <w:rsid w:val="00680D4E"/>
    <w:rPr>
      <w:b/>
      <w:bCs/>
    </w:rPr>
  </w:style>
  <w:style w:type="character" w:customStyle="1" w:styleId="container-pnmyh7">
    <w:name w:val="container-pnmyh7"/>
    <w:basedOn w:val="a0"/>
    <w:rsid w:val="00680D4E"/>
  </w:style>
  <w:style w:type="character" w:customStyle="1" w:styleId="50">
    <w:name w:val="标题 5 字符"/>
    <w:basedOn w:val="a0"/>
    <w:link w:val="5"/>
    <w:uiPriority w:val="9"/>
    <w:semiHidden/>
    <w:rsid w:val="00250496"/>
    <w:rPr>
      <w:rFonts w:ascii="思源黑体 CN" w:eastAsia="思源黑体 CN" w:hAnsi="思源黑体 CN" w:cs="思源黑体 CN"/>
      <w:b/>
      <w:bCs/>
      <w:sz w:val="28"/>
      <w:szCs w:val="28"/>
      <w:lang w:eastAsia="zh-CN"/>
    </w:rPr>
  </w:style>
  <w:style w:type="table" w:styleId="a7">
    <w:name w:val="Table Grid"/>
    <w:basedOn w:val="a1"/>
    <w:uiPriority w:val="39"/>
    <w:rsid w:val="00FE4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nesas.com/en/document/whp/how-protect-buck-regulators-overcurrent-damage?srsltid=AfmBOooA4JiTw5QD8zJ4DwDR1jo7rIgUQxv3TYWL6as3laUVwNYZP2jg&amp;%3A~%3Atext=Overcurrent%20protection%20%2Cimprove%20mean%20time%20between%20failures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s://www.renesas.com/en/document/whp/how-protect-buck-regulators-overcurrent-damage?srsltid=AfmBOooA4JiTw5QD8zJ4DwDR1jo7rIgUQxv3TYWL6as3laUVwNYZP2jg&amp;%3A~%3Atext=Overcurrent%20Protection%20with%20Cycle%2Ca%20peak%20CMC%20buck%20converter" TargetMode="External"/><Relationship Id="rId17" Type="http://schemas.openxmlformats.org/officeDocument/2006/relationships/hyperlink" Target="https://www.renesas.com/en/document/whp/how-protect-buck-regulators-overcurrent-damage?srsltid=AfmBOooA4JiTw5QD8zJ4DwDR1jo7rIgUQxv3TYWL6as3laUVwNYZP2jg&amp;%3A~%3Atext=Overcurrent%20protection%20%2Cimprove%20mean%20time%20between%20failure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Crowbar_(circuit)" TargetMode="External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renesas.com/en/document/whp/how-protect-buck-regulators-overcurrent-damage?srsltid=AfmBOooA4JiTw5QD8zJ4DwDR1jo7rIgUQxv3TYWL6as3laUVwNYZP2jg&amp;%3A~%3Atext=Overcurrent%20Protection%20with%20Cycle%2Ca%20peak%20CMC%20buck%20converter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a37188</cp:lastModifiedBy>
  <cp:revision>4</cp:revision>
  <dcterms:created xsi:type="dcterms:W3CDTF">2025-05-17T11:24:00Z</dcterms:created>
  <dcterms:modified xsi:type="dcterms:W3CDTF">2025-05-18T04:18:00Z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65.1</vt:lpwstr>
  </property>
</Properties>
</file>