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Relationship Id="rId5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ntrolledKicker"/>
      </w:pPr>
      <w:r>
        <w:t>CONTROLLED PROJECT ARTIFACT, VJ-ECL-2026</w:t>
      </w:r>
    </w:p>
    <w:p>
      <w:pPr>
        <w:pStyle w:val="Title"/>
        <w:pBdr>
          <w:bottom w:val="single" w:sz="12" w:space="1" w:color="2F75B5"/>
        </w:pBdr>
      </w:pPr>
      <w:r>
        <w:rPr>
          <w:rFonts w:ascii="맑은 고딕" w:hAnsi="맑은 고딕" w:eastAsia="맑은 고딕"/>
        </w:rPr>
        <w:t>OEM-SWR-001_OEM SW 요구사항 사양서</w:t>
      </w:r>
    </w:p>
    <w:p>
      <w:pPr>
        <w:pStyle w:val="Subtitle"/>
      </w:pPr>
      <w:r>
        <w:rPr>
          <w:rFonts w:ascii="맑은 고딕" w:hAnsi="맑은 고딕" w:eastAsia="맑은 고딕"/>
        </w:rPr>
        <w:t>전자식 차일드락 제어 SW / OEM-A 공급자 입력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587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문서 ID_문서명</w:t>
            </w:r>
          </w:p>
        </w:tc>
        <w:tc>
          <w:tcPr>
            <w:tcW w:type="dxa" w:w="3345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OEM-SWR-001_OEM SW 요구사항 사양서</w:t>
            </w:r>
          </w:p>
        </w:tc>
        <w:tc>
          <w:tcPr>
            <w:tcW w:type="dxa" w:w="1587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Revision</w:t>
            </w:r>
          </w:p>
        </w:tc>
        <w:tc>
          <w:tcPr>
            <w:tcW w:type="dxa" w:w="3345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1.0</w:t>
            </w:r>
          </w:p>
        </w:tc>
      </w:tr>
      <w:tr>
        <w:tc>
          <w:tcPr>
            <w:tcW w:type="dxa" w:w="1587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프로세스</w:t>
            </w:r>
          </w:p>
        </w:tc>
        <w:tc>
          <w:tcPr>
            <w:tcW w:type="dxa" w:w="3345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OEM Input</w:t>
            </w:r>
          </w:p>
        </w:tc>
        <w:tc>
          <w:tcPr>
            <w:tcW w:type="dxa" w:w="1587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시나리오 효력일</w:t>
            </w:r>
          </w:p>
        </w:tc>
        <w:tc>
          <w:tcPr>
            <w:tcW w:type="dxa" w:w="3345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2026-01-16</w:t>
            </w:r>
          </w:p>
        </w:tc>
      </w:tr>
      <w:tr>
        <w:tc>
          <w:tcPr>
            <w:tcW w:type="dxa" w:w="1587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책임 조직</w:t>
            </w:r>
          </w:p>
        </w:tc>
        <w:tc>
          <w:tcPr>
            <w:tcW w:type="dxa" w:w="3345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OEM-A SW Requirements Owner</w:t>
            </w:r>
          </w:p>
        </w:tc>
        <w:tc>
          <w:tcPr>
            <w:tcW w:type="dxa" w:w="1587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베이스라인</w:t>
            </w:r>
          </w:p>
        </w:tc>
        <w:tc>
          <w:tcPr>
            <w:tcW w:type="dxa" w:w="3345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BL-OEM-1.0</w:t>
            </w:r>
          </w:p>
        </w:tc>
      </w:tr>
      <w:tr>
        <w:tc>
          <w:tcPr>
            <w:tcW w:type="dxa" w:w="1587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문서 상태</w:t>
            </w:r>
          </w:p>
        </w:tc>
        <w:tc>
          <w:tcPr>
            <w:tcW w:type="dxa" w:w="3345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교육 시나리오 베이스라인</w:t>
            </w:r>
          </w:p>
        </w:tc>
        <w:tc>
          <w:tcPr>
            <w:tcW w:type="dxa" w:w="1587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실제 승인</w:t>
            </w:r>
          </w:p>
        </w:tc>
        <w:tc>
          <w:tcPr>
            <w:tcW w:type="dxa" w:w="3345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6"/>
              </w:rPr>
              <w:t>미수행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D9EAF7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  <w:insideH w:val="single" w:sz="8" w:color="2F75B5"/>
              <w:insideV w:val="single" w:sz="8" w:color="2F75B5"/>
            </w:tcBorders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2F75B5"/>
                <w:sz w:val="18"/>
              </w:rPr>
              <w:t>교육, 검토 경계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263238"/>
                <w:sz w:val="16"/>
              </w:rPr>
              <w:t>본 문서는 품질평가 실습을 위한 가상 프로젝트 산출물이다. 문서의 2026-01~06 날짜는 시나리오 효력일이며 Git 이력과 다르다. 실제 OEM 승인, Automotive SPICE 능력수준, ISO 26262 준수, 적합성, 인증, ASIL 달성 또는 양산 적합성을 나타내지 않는다.</w:t>
              <w:br/>
              <w:br/>
              <w:t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w:t>
            </w:r>
          </w:p>
        </w:tc>
      </w:tr>
    </w:tbl>
    <w:p>
      <w:pPr>
        <w:spacing w:before="0" w:after="0" w:line="20" w:lineRule="exact"/>
      </w:pPr>
      <w:r>
        <w:rPr>
          <w:rFonts w:ascii="맑은 고딕" w:hAnsi="맑은 고딕" w:eastAsia="맑은 고딕"/>
          <w:sz w:val="2"/>
        </w:rPr>
        <w:t xml:space="preserve"> </w:t>
      </w:r>
    </w:p>
    <w:p/>
    <w:p>
      <w:pPr>
        <w:spacing w:before="240" w:after="60"/>
      </w:pPr>
      <w:r>
        <w:rPr>
          <w:rFonts w:ascii="맑은 고딕" w:hAnsi="맑은 고딕" w:eastAsia="맑은 고딕"/>
          <w:b/>
          <w:color w:val="17365D"/>
          <w:sz w:val="18"/>
        </w:rPr>
        <w:t>배포 등급  Internal Training Fixture</w:t>
      </w:r>
    </w:p>
    <w:p>
      <w:pPr>
        <w:widowControl/>
      </w:pPr>
      <w:r>
        <w:rPr>
          <w:rFonts w:ascii="맑은 고딕" w:hAnsi="맑은 고딕" w:eastAsia="맑은 고딕"/>
        </w:rPr>
        <w:t>문서 소유자: OEM-A SW Requirements Owner  |  저장소: SyneticsCorp/SWQEduExample</w:t>
      </w:r>
    </w:p>
    <w:p>
      <w:r/>
    </w:p>
    <w:p>
      <w:pPr>
        <w:pStyle w:val="Heading1"/>
      </w:pPr>
      <w:r>
        <w:t>문서 통제</w:t>
      </w:r>
    </w:p>
    <w:p>
      <w:pPr>
        <w:widowControl/>
      </w:pPr>
      <w:r>
        <w:rPr>
          <w:rFonts w:ascii="맑은 고딕" w:hAnsi="맑은 고딕" w:eastAsia="맑은 고딕"/>
        </w:rPr>
        <w:t>본 통제면은 시나리오 상태와 실제 승인 상태를 분리한다. 역할명은 책임 정의이며 개인 서명이나 실제 승인 사실을 뜻하지 않는다.</w:t>
      </w:r>
    </w:p>
    <w:p>
      <w:pPr>
        <w:pStyle w:val="Heading2"/>
      </w:pPr>
      <w:r>
        <w:t>변경 이력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rHeight w:hRule="atLeast" w:val="397"/>
          <w:tblHeader w:val="true"/>
        </w:trPr>
        <w:tc>
          <w:tcPr>
            <w:tcW w:type="dxa" w:w="939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Revision</w:t>
            </w:r>
          </w:p>
        </w:tc>
        <w:tc>
          <w:tcPr>
            <w:tcW w:type="dxa" w:w="1409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시나리오 일자</w:t>
            </w:r>
          </w:p>
        </w:tc>
        <w:tc>
          <w:tcPr>
            <w:tcW w:type="dxa" w:w="1691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역할</w:t>
            </w:r>
          </w:p>
        </w:tc>
        <w:tc>
          <w:tcPr>
            <w:tcW w:type="dxa" w:w="375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변경 내용</w:t>
            </w:r>
          </w:p>
        </w:tc>
        <w:tc>
          <w:tcPr>
            <w:tcW w:type="dxa" w:w="2067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통제 상태</w:t>
            </w:r>
          </w:p>
        </w:tc>
      </w:tr>
      <w:tr>
        <w:trPr>
          <w:cantSplit/>
        </w:trPr>
        <w:tc>
          <w:tcPr>
            <w:tcW w:type="dxa" w:w="93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0.1</w:t>
            </w:r>
          </w:p>
        </w:tc>
        <w:tc>
          <w:tcPr>
            <w:tcW w:type="dxa" w:w="140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2026-01-16</w:t>
            </w:r>
          </w:p>
        </w:tc>
        <w:tc>
          <w:tcPr>
            <w:tcW w:type="dxa" w:w="16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문서 작성 담당</w:t>
            </w:r>
          </w:p>
        </w:tc>
        <w:tc>
          <w:tcPr>
            <w:tcW w:type="dxa" w:w="375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시나리오 초안 작성</w:t>
            </w:r>
          </w:p>
        </w:tc>
        <w:tc>
          <w:tcPr>
            <w:tcW w:type="dxa" w:w="206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교육 시나리오 기록</w:t>
            </w:r>
          </w:p>
        </w:tc>
      </w:tr>
      <w:tr>
        <w:trPr>
          <w:cantSplit/>
        </w:trPr>
        <w:tc>
          <w:tcPr>
            <w:tcW w:type="dxa" w:w="939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1.0</w:t>
            </w:r>
          </w:p>
        </w:tc>
        <w:tc>
          <w:tcPr>
            <w:tcW w:type="dxa" w:w="1409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2026-01-16</w:t>
            </w:r>
          </w:p>
        </w:tc>
        <w:tc>
          <w:tcPr>
            <w:tcW w:type="dxa" w:w="1691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문서 책임 역할</w:t>
            </w:r>
          </w:p>
        </w:tc>
        <w:tc>
          <w:tcPr>
            <w:tcW w:type="dxa" w:w="3758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베이스라인 내용 반영</w:t>
            </w:r>
          </w:p>
        </w:tc>
        <w:tc>
          <w:tcPr>
            <w:tcW w:type="dxa" w:w="2067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실제 승인 미수행</w:t>
            </w:r>
          </w:p>
        </w:tc>
      </w:tr>
    </w:tbl>
    <w:p>
      <w:pPr>
        <w:spacing w:before="0" w:after="0" w:line="20" w:lineRule="exact"/>
      </w:pPr>
      <w:r>
        <w:rPr>
          <w:rFonts w:ascii="맑은 고딕" w:hAnsi="맑은 고딕" w:eastAsia="맑은 고딕"/>
          <w:sz w:val="2"/>
        </w:rPr>
        <w:t xml:space="preserve"> </w:t>
      </w:r>
    </w:p>
    <w:p>
      <w:pPr>
        <w:pStyle w:val="Heading2"/>
      </w:pPr>
      <w:r>
        <w:t>작성, 검토, 승인 상태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rHeight w:hRule="atLeast" w:val="397"/>
          <w:tblHeader w:val="true"/>
        </w:trPr>
        <w:tc>
          <w:tcPr>
            <w:tcW w:type="dxa" w:w="118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단계</w:t>
            </w:r>
          </w:p>
        </w:tc>
        <w:tc>
          <w:tcPr>
            <w:tcW w:type="dxa" w:w="2959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책임 역할</w:t>
            </w:r>
          </w:p>
        </w:tc>
        <w:tc>
          <w:tcPr>
            <w:tcW w:type="dxa" w:w="1381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실제 상태</w:t>
            </w:r>
          </w:p>
        </w:tc>
        <w:tc>
          <w:tcPr>
            <w:tcW w:type="dxa" w:w="434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비고</w:t>
            </w:r>
          </w:p>
        </w:tc>
      </w:tr>
      <w:tr>
        <w:trPr>
          <w:cantSplit/>
        </w:trPr>
        <w:tc>
          <w:tcPr>
            <w:tcW w:type="dxa" w:w="11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작성</w:t>
            </w:r>
          </w:p>
        </w:tc>
        <w:tc>
          <w:tcPr>
            <w:tcW w:type="dxa" w:w="295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OEM-A SW Requirements Owner 문서 작성 역할</w:t>
            </w:r>
          </w:p>
        </w:tc>
        <w:tc>
          <w:tcPr>
            <w:tcW w:type="dxa" w:w="138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미서명</w:t>
            </w:r>
          </w:p>
        </w:tc>
        <w:tc>
          <w:tcPr>
            <w:tcW w:type="dxa" w:w="434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내용 책임 역할만 지정</w:t>
            </w:r>
          </w:p>
        </w:tc>
      </w:tr>
      <w:tr>
        <w:trPr>
          <w:cantSplit/>
        </w:trPr>
        <w:tc>
          <w:tcPr>
            <w:tcW w:type="dxa" w:w="1184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기술 검토</w:t>
            </w:r>
          </w:p>
        </w:tc>
        <w:tc>
          <w:tcPr>
            <w:tcW w:type="dxa" w:w="2959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해당 공학/프로세스 검토 역할</w:t>
            </w:r>
          </w:p>
        </w:tc>
        <w:tc>
          <w:tcPr>
            <w:tcW w:type="dxa" w:w="1381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미서명</w:t>
            </w:r>
          </w:p>
        </w:tc>
        <w:tc>
          <w:tcPr>
            <w:tcW w:type="dxa" w:w="434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실제 검토 서명 없음</w:t>
            </w:r>
          </w:p>
        </w:tc>
      </w:tr>
      <w:tr>
        <w:trPr>
          <w:cantSplit/>
        </w:trPr>
        <w:tc>
          <w:tcPr>
            <w:tcW w:type="dxa" w:w="11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품질 확인</w:t>
            </w:r>
          </w:p>
        </w:tc>
        <w:tc>
          <w:tcPr>
            <w:tcW w:type="dxa" w:w="295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전사 QA</w:t>
            </w:r>
          </w:p>
        </w:tc>
        <w:tc>
          <w:tcPr>
            <w:tcW w:type="dxa" w:w="138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미서명</w:t>
            </w:r>
          </w:p>
        </w:tc>
        <w:tc>
          <w:tcPr>
            <w:tcW w:type="dxa" w:w="434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교육 시나리오의 감사 기록과 구분</w:t>
            </w:r>
          </w:p>
        </w:tc>
      </w:tr>
      <w:tr>
        <w:trPr>
          <w:cantSplit/>
        </w:trPr>
        <w:tc>
          <w:tcPr>
            <w:tcW w:type="dxa" w:w="1184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승인</w:t>
            </w:r>
          </w:p>
        </w:tc>
        <w:tc>
          <w:tcPr>
            <w:tcW w:type="dxa" w:w="2959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PM 또는 OEM 책임 역할</w:t>
            </w:r>
          </w:p>
        </w:tc>
        <w:tc>
          <w:tcPr>
            <w:tcW w:type="dxa" w:w="1381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미승인</w:t>
            </w:r>
          </w:p>
        </w:tc>
        <w:tc>
          <w:tcPr>
            <w:tcW w:type="dxa" w:w="4340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실제 승인, OEM 수락을 생성하지 않음</w:t>
            </w:r>
          </w:p>
        </w:tc>
      </w:tr>
    </w:tbl>
    <w:p>
      <w:pPr>
        <w:spacing w:before="0" w:after="0" w:line="20" w:lineRule="exact"/>
      </w:pPr>
      <w:r>
        <w:rPr>
          <w:rFonts w:ascii="맑은 고딕" w:hAnsi="맑은 고딕" w:eastAsia="맑은 고딕"/>
          <w:sz w:val="2"/>
        </w:rPr>
        <w:t xml:space="preserve"> </w:t>
      </w:r>
    </w:p>
    <w:p>
      <w:pPr>
        <w:pStyle w:val="Heading2"/>
      </w:pPr>
      <w:r>
        <w:t>목차</w:t>
      </w:r>
    </w:p>
    <w:p>
      <w:pPr>
        <w:pStyle w:val="ListNumber"/>
        <w:widowControl/>
      </w:pPr>
      <w:r>
        <w:rPr>
          <w:rFonts w:ascii="맑은 고딕" w:hAnsi="맑은 고딕" w:eastAsia="맑은 고딕"/>
        </w:rPr>
        <w:t>목적 및 적용범위</w:t>
      </w:r>
    </w:p>
    <w:p>
      <w:pPr>
        <w:pStyle w:val="ListNumber"/>
        <w:widowControl/>
      </w:pPr>
      <w:r>
        <w:rPr>
          <w:rFonts w:ascii="맑은 고딕" w:hAnsi="맑은 고딕" w:eastAsia="맑은 고딕"/>
        </w:rPr>
        <w:t>문서 지위와 해석 원칙</w:t>
      </w:r>
    </w:p>
    <w:p>
      <w:pPr>
        <w:pStyle w:val="ListNumber"/>
        <w:widowControl/>
      </w:pPr>
      <w:r>
        <w:rPr>
          <w:rFonts w:ascii="맑은 고딕" w:hAnsi="맑은 고딕" w:eastAsia="맑은 고딕"/>
        </w:rPr>
        <w:t>제품 경계</w:t>
      </w:r>
    </w:p>
    <w:p>
      <w:pPr>
        <w:pStyle w:val="ListNumber"/>
        <w:widowControl/>
      </w:pPr>
      <w:r>
        <w:rPr>
          <w:rFonts w:ascii="맑은 고딕" w:hAnsi="맑은 고딕" w:eastAsia="맑은 고딕"/>
        </w:rPr>
        <w:t>외부 차량 기능 참고 경계</w:t>
      </w:r>
    </w:p>
    <w:p>
      <w:pPr>
        <w:pStyle w:val="ListNumber"/>
        <w:widowControl/>
      </w:pPr>
      <w:r>
        <w:rPr>
          <w:rFonts w:ascii="맑은 고딕" w:hAnsi="맑은 고딕" w:eastAsia="맑은 고딕"/>
        </w:rPr>
        <w:t>OEM-A 요구사항</w:t>
      </w:r>
    </w:p>
    <w:p>
      <w:pPr>
        <w:pStyle w:val="ListNumber"/>
        <w:widowControl/>
      </w:pPr>
      <w:r>
        <w:rPr>
          <w:rFonts w:ascii="맑은 고딕" w:hAnsi="맑은 고딕" w:eastAsia="맑은 고딕"/>
        </w:rPr>
        <w:t>외부 인터페이스 계약</w:t>
      </w:r>
    </w:p>
    <w:p>
      <w:pPr>
        <w:pStyle w:val="ListNumber"/>
        <w:widowControl/>
      </w:pPr>
      <w:r>
        <w:rPr>
          <w:rFonts w:ascii="맑은 고딕" w:hAnsi="맑은 고딕" w:eastAsia="맑은 고딕"/>
        </w:rPr>
        <w:t>대한민국 법규 후보 및 확인 책임</w:t>
      </w:r>
    </w:p>
    <w:p>
      <w:pPr>
        <w:pStyle w:val="ListNumber"/>
        <w:widowControl/>
      </w:pPr>
      <w:r>
        <w:rPr>
          <w:rFonts w:ascii="맑은 고딕" w:hAnsi="맑은 고딕" w:eastAsia="맑은 고딕"/>
        </w:rPr>
        <w:t>공급자 인도 및 수용 증거</w:t>
      </w:r>
    </w:p>
    <w:p>
      <w:pPr>
        <w:pStyle w:val="ListNumber"/>
        <w:widowControl/>
      </w:pPr>
      <w:r>
        <w:rPr>
          <w:rFonts w:ascii="맑은 고딕" w:hAnsi="맑은 고딕" w:eastAsia="맑은 고딕"/>
        </w:rPr>
        <w:t>추적성</w:t>
      </w:r>
    </w:p>
    <w:p>
      <w:pPr>
        <w:pStyle w:val="ListNumber"/>
        <w:widowControl/>
      </w:pPr>
      <w:r>
        <w:rPr>
          <w:rFonts w:ascii="맑은 고딕" w:hAnsi="맑은 고딕" w:eastAsia="맑은 고딕"/>
        </w:rPr>
        <w:t>참고자료</w:t>
      </w:r>
    </w:p>
    <w:p>
      <w:r/>
    </w:p>
    <w:p>
      <w:pPr>
        <w:pStyle w:val="Heading1"/>
      </w:pPr>
      <w:r>
        <w:t>1. 목적 및 적용범위</w:t>
      </w:r>
    </w:p>
    <w:p>
      <w:pPr>
        <w:pStyle w:val="Heading2"/>
      </w:pPr>
      <w:r>
        <w:t>1.1 목적</w:t>
      </w:r>
    </w:p>
    <w:p>
      <w:pPr>
        <w:widowControl/>
      </w:pPr>
      <w:r>
        <w:rPr>
          <w:rFonts w:ascii="맑은 고딕" w:hAnsi="맑은 고딕" w:eastAsia="맑은 고딕"/>
        </w:rPr>
        <w:t>가상 OEM-A가 Volsojoda에 할당하는 전자식 차일드락 제어 SW 요구, 검증 수용기준, 외부 인터페이스 및 적용 경계를 공급자 입력으로 정의한다.</w:t>
      </w:r>
    </w:p>
    <w:p>
      <w:pPr>
        <w:pStyle w:val="Heading2"/>
      </w:pPr>
      <w:r>
        <w:t>1.2 적용범위</w:t>
      </w:r>
    </w:p>
    <w:p>
      <w:pPr>
        <w:pStyle w:val="ListBullet"/>
        <w:widowControl/>
      </w:pPr>
      <w:r>
        <w:rPr>
          <w:rFonts w:ascii="맑은 고딕" w:hAnsi="맑은 고딕" w:eastAsia="맑은 고딕"/>
        </w:rPr>
        <w:t>대한민국 판매용 2026년식 가상 OEM-A 승용차의 후석 좌, 우 전자식 차일드락 제어</w:t>
      </w:r>
    </w:p>
    <w:p>
      <w:pPr>
        <w:pStyle w:val="ListBullet"/>
        <w:widowControl/>
      </w:pPr>
      <w:r>
        <w:rPr>
          <w:rFonts w:ascii="맑은 고딕" w:hAnsi="맑은 고딕" w:eastAsia="맑은 고딕"/>
        </w:rPr>
        <w:t>가상 OEM이 ASIL B로 할당해 제공한 SW 안전 요구와 QM 요구의 구분</w:t>
      </w:r>
    </w:p>
    <w:p>
      <w:pPr>
        <w:pStyle w:val="ListBullet"/>
        <w:widowControl/>
      </w:pPr>
      <w:r>
        <w:rPr>
          <w:rFonts w:ascii="맑은 고딕" w:hAnsi="맑은 고딕" w:eastAsia="맑은 고딕"/>
        </w:rPr>
        <w:t>충돌, 화재, 과온, 성인 탑승 강제해제와 접근위험, ISOFIX 강제잠금을 포함한 PC/SIL 논리</w:t>
      </w:r>
    </w:p>
    <w:p>
      <w:pPr>
        <w:pStyle w:val="ListBullet"/>
        <w:widowControl/>
      </w:pPr>
      <w:r>
        <w:rPr>
          <w:rFonts w:ascii="맑은 고딕" w:hAnsi="맑은 고딕" w:eastAsia="맑은 고딕"/>
        </w:rPr>
        <w:t>HARA, ASIL 도출, ISO 26262 Part 3, ECU/HW, HIL, 실차 및 인증 활동은 제외</w:t>
      </w:r>
    </w:p>
    <w:p>
      <w:pPr>
        <w:pStyle w:val="Heading2"/>
      </w:pPr>
      <w:r>
        <w:t>1.3 적용 경계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FF2CC"/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  <w:insideH w:val="single" w:sz="8" w:color="BF9000"/>
              <w:insideV w:val="single" w:sz="8" w:color="BF9000"/>
            </w:tcBorders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BF9000"/>
                <w:sz w:val="18"/>
              </w:rPr>
              <w:t>프로젝트 공통 경계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263238"/>
                <w:sz w:val="16"/>
              </w:rPr>
              <w:t>SW-only PC/SIL 및 Web 검증을 다룬다. HIL, 실차, 타깃 ECU, 시스템/HW 개발, Part 3 HARA, 공식 심사와 인증은 범위 밖이다. ISO 26262-6 활동은 가상 OEM의 ASIL B 할당 입력을 전제로 선정하여 교육용으로 부분 적용한다.</w:t>
            </w:r>
          </w:p>
        </w:tc>
      </w:tr>
    </w:tbl>
    <w:p>
      <w:pPr>
        <w:spacing w:before="0" w:after="0" w:line="20" w:lineRule="exact"/>
      </w:pPr>
      <w:r>
        <w:rPr>
          <w:rFonts w:ascii="맑은 고딕" w:hAnsi="맑은 고딕" w:eastAsia="맑은 고딕"/>
          <w:sz w:val="2"/>
        </w:rPr>
        <w:t xml:space="preserve"> </w:t>
      </w:r>
    </w:p>
    <w:p>
      <w:pPr>
        <w:pStyle w:val="Heading1"/>
      </w:pPr>
      <w:r>
        <w:t>2. 문서 지위와 해석 원칙</w:t>
      </w:r>
    </w:p>
    <w:p>
      <w:pPr>
        <w:widowControl/>
      </w:pPr>
      <w:r>
        <w:rPr>
          <w:rFonts w:ascii="맑은 고딕" w:hAnsi="맑은 고딕" w:eastAsia="맑은 고딕"/>
        </w:rPr>
        <w:t>본 문서는 교육용 가상 OEM 입력이며 실제 현대자동차, Tesla 또는 다른 제작사의 사양을 나타내지 않는다. 공개 사용자 매뉴얼의 관찰 내용은 사용 개념 비교에만 쓰고, 본 문서의 수치, 인터페이스, 안전 분류는 별도 표시된 가상 OEM 요구로 관리한다.</w:t>
      </w:r>
    </w:p>
    <w:p>
      <w:pPr>
        <w:widowControl/>
      </w:pPr>
      <w:r>
        <w:rPr>
          <w:rFonts w:ascii="맑은 고딕" w:hAnsi="맑은 고딕" w:eastAsia="맑은 고딕"/>
        </w:rPr>
        <w:t>OEM-A는 아래 안전 분류를 입력으로 제공한다. 공급자는 HARA나 ASIL 결정 근거를 재구성하지 않으며, ISO 26262-6:2018에서 프로젝트가 선정한 SW 개발 활동만 수행한다. 이 산출물 세트는 준수, 적합성 평가 또는 인증을 주장하지 않는다.</w:t>
      </w:r>
    </w:p>
    <w:p>
      <w:pPr>
        <w:pStyle w:val="ListBullet"/>
        <w:widowControl/>
      </w:pPr>
      <w:r>
        <w:rPr>
          <w:rFonts w:ascii="맑은 고딕" w:hAnsi="맑은 고딕" w:eastAsia="맑은 고딕"/>
        </w:rPr>
        <w:t>확인 사실: 2026 GN7 및 Model Y 2025+ 한국어 공식 사용자 매뉴얼의 공개 기능 설명을 2026-08-23에 관찰하였다.</w:t>
      </w:r>
    </w:p>
    <w:p>
      <w:pPr>
        <w:pStyle w:val="ListBullet"/>
        <w:widowControl/>
      </w:pPr>
      <w:r>
        <w:rPr>
          <w:rFonts w:ascii="맑은 고딕" w:hAnsi="맑은 고딕" w:eastAsia="맑은 고딕"/>
        </w:rPr>
        <w:t>시나리오 가정: 법규 적용 기준일은 2026-06-26이며 대상 차종, 총중량, 문 형식, 트림은 가상 OEM이 별도로 확정해야 한다.</w:t>
      </w:r>
    </w:p>
    <w:p>
      <w:pPr>
        <w:pStyle w:val="ListBullet"/>
        <w:widowControl/>
      </w:pPr>
      <w:r>
        <w:rPr>
          <w:rFonts w:ascii="맑은 고딕" w:hAnsi="맑은 고딕" w:eastAsia="맑은 고딕"/>
        </w:rPr>
        <w:t>프로젝트 제약: 영상, 음성 원본과 개인 식별정보를 입력, 저장하지 않고 성인 존재 여부는 불리언 시험신호로만 표현한다.</w:t>
      </w:r>
    </w:p>
    <w:p>
      <w:pPr>
        <w:pStyle w:val="Heading1"/>
      </w:pPr>
      <w:r>
        <w:t>3. 제품 경계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rHeight w:hRule="atLeast" w:val="397"/>
          <w:tblHeader w:val="true"/>
        </w:trPr>
        <w:tc>
          <w:tcPr>
            <w:tcW w:type="dxa" w:w="246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경계 항목</w:t>
            </w:r>
          </w:p>
        </w:tc>
        <w:tc>
          <w:tcPr>
            <w:tcW w:type="dxa" w:w="246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OEM-A 입력</w:t>
            </w:r>
          </w:p>
        </w:tc>
        <w:tc>
          <w:tcPr>
            <w:tcW w:type="dxa" w:w="246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공급자 책임</w:t>
            </w:r>
          </w:p>
        </w:tc>
        <w:tc>
          <w:tcPr>
            <w:tcW w:type="dxa" w:w="246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제외/제한</w:t>
            </w:r>
          </w:p>
        </w:tc>
      </w:tr>
      <w:tr>
        <w:trPr>
          <w:cantSplit/>
        </w:trPr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제어 대상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후석 좌, 우 차일드락 논리 명령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잠금/해제 판단, 상태 및 이벤트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도어 래치, 구동기 HW</w:t>
            </w:r>
          </w:p>
        </w:tc>
      </w:tr>
      <w:tr>
        <w:trPr>
          <w:cantSplit/>
        </w:trPr>
        <w:tc>
          <w:tcPr>
            <w:tcW w:type="dxa" w:w="2466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입력</w:t>
            </w:r>
          </w:p>
        </w:tc>
        <w:tc>
          <w:tcPr>
            <w:tcW w:type="dxa" w:w="2466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운전자 명령, 차속, 충돌, 화재, 과온, 성인 존재, 후측방 접근위험, ISOFIX, 기어, 신호 유효성</w:t>
            </w:r>
          </w:p>
        </w:tc>
        <w:tc>
          <w:tcPr>
            <w:tcW w:type="dxa" w:w="2466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범위, 형식, freshness 검증</w:t>
            </w:r>
          </w:p>
        </w:tc>
        <w:tc>
          <w:tcPr>
            <w:tcW w:type="dxa" w:w="2466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센서 성능, 진단 설계 및 영상 원본</w:t>
            </w:r>
          </w:p>
        </w:tc>
      </w:tr>
      <w:tr>
        <w:trPr>
          <w:cantSplit/>
        </w:trPr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출력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LEFT/RIGHT LOCK 또는 RELEASE, degraded 상태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결정 및 공개 상태 생성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CAN/LIN 드라이버, 전기 출력</w:t>
            </w:r>
          </w:p>
        </w:tc>
      </w:tr>
      <w:tr>
        <w:trPr>
          <w:cantSplit/>
        </w:trPr>
        <w:tc>
          <w:tcPr>
            <w:tcW w:type="dxa" w:w="2466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실행 환경</w:t>
            </w:r>
          </w:p>
        </w:tc>
        <w:tc>
          <w:tcPr>
            <w:tcW w:type="dxa" w:w="2466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Python 3.12 PC/SIL</w:t>
            </w:r>
          </w:p>
        </w:tc>
        <w:tc>
          <w:tcPr>
            <w:tcW w:type="dxa" w:w="2466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결정론적 참조 구현과 자동시험</w:t>
            </w:r>
          </w:p>
        </w:tc>
        <w:tc>
          <w:tcPr>
            <w:tcW w:type="dxa" w:w="2466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양산 ECU, RTOS, HIL, 실차</w:t>
            </w:r>
          </w:p>
        </w:tc>
      </w:tr>
      <w:tr>
        <w:trPr>
          <w:cantSplit/>
        </w:trPr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표시/조작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Web 시뮬레이터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시험 입력과 결과 가시화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양산 HMI 승인, 사용성 인증</w:t>
            </w:r>
          </w:p>
        </w:tc>
      </w:tr>
    </w:tbl>
    <w:p>
      <w:pPr>
        <w:spacing w:before="0" w:after="0" w:line="20" w:lineRule="exact"/>
      </w:pPr>
      <w:r>
        <w:rPr>
          <w:rFonts w:ascii="맑은 고딕" w:hAnsi="맑은 고딕" w:eastAsia="맑은 고딕"/>
          <w:sz w:val="2"/>
        </w:rPr>
        <w:t xml:space="preserve"> </w:t>
      </w:r>
    </w:p>
    <w:p>
      <w:pPr>
        <w:pStyle w:val="Heading1"/>
      </w:pPr>
      <w:r>
        <w:t>4. 외부 차량 기능 참고 경계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rHeight w:hRule="atLeast" w:val="397"/>
          <w:tblHeader w:val="true"/>
        </w:trPr>
        <w:tc>
          <w:tcPr>
            <w:tcW w:type="dxa" w:w="246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참고 대상</w:t>
            </w:r>
          </w:p>
        </w:tc>
        <w:tc>
          <w:tcPr>
            <w:tcW w:type="dxa" w:w="246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관찰한 사용 개념</w:t>
            </w:r>
          </w:p>
        </w:tc>
        <w:tc>
          <w:tcPr>
            <w:tcW w:type="dxa" w:w="246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본 프로젝트의 사용</w:t>
            </w:r>
          </w:p>
        </w:tc>
        <w:tc>
          <w:tcPr>
            <w:tcW w:type="dxa" w:w="246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금지하는 해석</w:t>
            </w:r>
          </w:p>
        </w:tc>
      </w:tr>
      <w:tr>
        <w:trPr>
          <w:cantSplit/>
        </w:trPr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2026 Grandeur GN7 / 전자식 차일드락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물리 버튼, 전원 상태, 고장 및 안전하차보조 연동 개념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운전자 입력, 연동 시나리오 후보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현대차 실제 내부 SW 요구 또는 타이밍으로 주장</w:t>
            </w:r>
          </w:p>
        </w:tc>
      </w:tr>
      <w:tr>
        <w:trPr>
          <w:cantSplit/>
        </w:trPr>
        <w:tc>
          <w:tcPr>
            <w:tcW w:type="dxa" w:w="2466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2026 Grandeur GN7 / 안전하차보조</w:t>
            </w:r>
          </w:p>
        </w:tc>
        <w:tc>
          <w:tcPr>
            <w:tcW w:type="dxa" w:w="2466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저속 자차와 후측방 접근 조건에서 해제 억제 및 운전자 재입력 개념</w:t>
            </w:r>
          </w:p>
        </w:tc>
        <w:tc>
          <w:tcPr>
            <w:tcW w:type="dxa" w:w="2466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가상 OEM 접근위험 정책의 근거 후보</w:t>
            </w:r>
          </w:p>
        </w:tc>
        <w:tc>
          <w:tcPr>
            <w:tcW w:type="dxa" w:w="2466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공개 매뉴얼 수치를 그대로 법규나 ASIL 근거로 간주</w:t>
            </w:r>
          </w:p>
        </w:tc>
      </w:tr>
      <w:tr>
        <w:trPr>
          <w:cantSplit/>
        </w:trPr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2026 Grandeur GN7 / 충돌 후 해제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충돌 감지 후 잠금 해제라는 사용자 기능 개념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가상 OEM 긴급해제 입력의 기능 후보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차량 충돌 적합성 또는 SW 단독 법규 충족 증거</w:t>
            </w:r>
          </w:p>
        </w:tc>
      </w:tr>
      <w:tr>
        <w:trPr>
          <w:cantSplit/>
        </w:trPr>
        <w:tc>
          <w:tcPr>
            <w:tcW w:type="dxa" w:w="2466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Tesla Model Y 2025+ / 2026.20</w:t>
            </w:r>
          </w:p>
        </w:tc>
        <w:tc>
          <w:tcPr>
            <w:tcW w:type="dxa" w:w="2466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터치스크린에서 후석 좌, 우/전체 어린이 보호 잠금 선택 개념</w:t>
            </w:r>
          </w:p>
        </w:tc>
        <w:tc>
          <w:tcPr>
            <w:tcW w:type="dxa" w:w="2466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좌, 우 독립 제어 사용성 비교</w:t>
            </w:r>
          </w:p>
        </w:tc>
        <w:tc>
          <w:tcPr>
            <w:tcW w:type="dxa" w:w="2466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모바일 앱, 음성으로 차일드락 제어가 가능하다는 주장</w:t>
            </w:r>
          </w:p>
        </w:tc>
      </w:tr>
    </w:tbl>
    <w:p>
      <w:pPr>
        <w:spacing w:before="0" w:after="0" w:line="20" w:lineRule="exact"/>
      </w:pPr>
      <w:r>
        <w:rPr>
          <w:rFonts w:ascii="맑은 고딕" w:hAnsi="맑은 고딕" w:eastAsia="맑은 고딕"/>
          <w:sz w:val="2"/>
        </w:rPr>
        <w:t xml:space="preserve"> </w:t>
      </w:r>
    </w:p>
    <w:p>
      <w:pPr>
        <w:pStyle w:val="Heading1"/>
      </w:pPr>
      <w:r>
        <w:t>5. OEM-A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rHeight w:hRule="atLeast" w:val="397"/>
          <w:tblHeader w:val="true"/>
        </w:trPr>
        <w:tc>
          <w:tcPr>
            <w:tcW w:type="dxa" w:w="1973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ID</w:t>
            </w:r>
          </w:p>
        </w:tc>
        <w:tc>
          <w:tcPr>
            <w:tcW w:type="dxa" w:w="1973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분류</w:t>
            </w:r>
          </w:p>
        </w:tc>
        <w:tc>
          <w:tcPr>
            <w:tcW w:type="dxa" w:w="1973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요구사항</w:t>
            </w:r>
          </w:p>
        </w:tc>
        <w:tc>
          <w:tcPr>
            <w:tcW w:type="dxa" w:w="1973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수용기준</w:t>
            </w:r>
          </w:p>
        </w:tc>
        <w:tc>
          <w:tcPr>
            <w:tcW w:type="dxa" w:w="1973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검증 수준</w:t>
            </w:r>
          </w:p>
        </w:tc>
      </w:tr>
      <w:tr>
        <w:trPr>
          <w:cantSplit/>
        </w:trPr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OEM-SR-001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ASIL B 입력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SW는 OEM 충돌상태가 CONFIRMED가 되면 다른 명령보다 우선하여 후석 좌, 우 잠금 해제를 요구해야 한다.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유효 충돌 입력 시 두 출력이 300 ms 이내 RELEASE이고 이후 입력 주기에도 유지된다.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PC/SIL SW 검증</w:t>
            </w:r>
          </w:p>
        </w:tc>
      </w:tr>
      <w:tr>
        <w:trPr>
          <w:cantSplit/>
        </w:trPr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OEM-SR-002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ASIL B 입력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SW는 후측방 접근위험이 TRUE인 도어를 LOCK하고 해당 도어의 해제 요청을 억제해야 한다.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접근위험 TRUE가 되면 해당 출력이 LOCK이고 RELEASE 요청에도 LOCK을 유지하며 원인이 기록된다.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PC/SIL SW 검증</w:t>
            </w:r>
          </w:p>
        </w:tc>
      </w:tr>
      <w:tr>
        <w:trPr>
          <w:cantSplit/>
        </w:trPr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OEM-SR-003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ASIL B 입력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SW는 안전 관련 입력의 유효성과 freshness를 확인하고 비정상 입력을 정의된 방식으로 처리해야 한다.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필수 입력이 200 ms를 초과해 갱신되지 않으면 100 ms 이내 DEGRADED 상태가 되고, 형식, 범위 오류는 평가 전에 거절된다.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단위 및 PC/SIL</w:t>
            </w:r>
          </w:p>
        </w:tc>
      </w:tr>
      <w:tr>
        <w:trPr>
          <w:cantSplit/>
        </w:trPr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OEM-SR-004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ASIL B 입력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SW는 정규화 입력의 sensor_fault가 TRUE이면 새 명령을 적용하지 않고 직전 확정 출력을 유지해야 한다.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sensor_fault=TRUE인 첫 평가주기에 좌, 우 출력이 유지되고 FAULT 상태와 경고코드가 제공된다.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단위 및 PC/SIL</w:t>
            </w:r>
          </w:p>
        </w:tc>
      </w:tr>
      <w:tr>
        <w:trPr>
          <w:cantSplit/>
        </w:trPr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OEM-FR-001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QM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SW는 물리 버튼, AVN, 음성 및 모바일 앱 경로로 수신한 운전자의 좌, 우, 전체 잠금 및 해제 명령을 처리해야 한다.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정지, 정상입력에서 네 source 각각의 LOCK/RELEASE와 LEFT/RIGHT/ALL 조합이 선택 출력에만 적용된다.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PC/SIL/Web</w:t>
            </w:r>
          </w:p>
        </w:tc>
      </w:tr>
      <w:tr>
        <w:trPr>
          <w:cantSplit/>
        </w:trPr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OEM-FR-002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QM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SW는 차량이 이동을 시작하면 후석 좌, 우 차일드락을 자동으로 활성화해야 한다.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유효 차속이 3 km/h 이상인 첫 평가주기부터 두 출력이 LOCK이다.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PC/SIL</w:t>
            </w:r>
          </w:p>
        </w:tc>
      </w:tr>
      <w:tr>
        <w:trPr>
          <w:cantSplit/>
        </w:trPr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OEM-FR-003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QM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SW는 운전자가 접근위험 경고 후 10초 이하에 같은 해제 명령을 다시 입력하면 명시적 override로 처리해야 한다.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첫 억제 후 경과시간이 10초 이하인 같은 도어 재입력에서 override 상태와 이유코드가 생성된다.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PC/SIL/Web</w:t>
            </w:r>
          </w:p>
        </w:tc>
      </w:tr>
      <w:tr>
        <w:trPr>
          <w:cantSplit/>
        </w:trPr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OEM-FR-004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QM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SW는 현재 잠금, 상태, 입력 유효성 및 최근 결정 이유를 표시 인터페이스에 제공해야 한다.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상태조회 응답에 좌, 우 출력, state, 입력유효성 및 이유코드가 포함된다.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통합 및 Web</w:t>
            </w:r>
          </w:p>
        </w:tc>
      </w:tr>
      <w:tr>
        <w:trPr>
          <w:cantSplit/>
        </w:trPr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OEM-FR-005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QM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SW는 화재, 과온 또는 성인 탑승이 유효한 불리언 입력으로 확인되면 후석 좌, 우 차일드락을 강제로 해제해야 한다.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각 입력을 단독 주입했을 때 다음 평가주기에 두 출력이 RELEASE이고 입력별 이유코드가 기록된다.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PC/SIL/Web</w:t>
            </w:r>
          </w:p>
        </w:tc>
      </w:tr>
      <w:tr>
        <w:trPr>
          <w:cantSplit/>
        </w:trPr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OEM-FR-006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QM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SW는 좌, 우 ISOFIX 연결 입력에 따라 해당 후석 차일드락을 강제로 활성화해야 한다.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한쪽 ISOFIX만 TRUE이면 다음 평가주기에 해당 출력만 LOCK이고 반대쪽 출력은 유지된다.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PC/SIL/Web</w:t>
            </w:r>
          </w:p>
        </w:tc>
      </w:tr>
      <w:tr>
        <w:trPr>
          <w:cantSplit/>
        </w:trPr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OEM-FR-007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QM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SW는 ignition_on이 FALSE이면 논리 차일드락 출력을 초기 해제 상태로 전환해야 한다.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ignition_on=FALSE인 첫 평가주기에 좌, 우 출력이 RELEASE이고 OFF 상태와 ignition_off 이유가 제공된다.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PC/SIL/Web</w:t>
            </w:r>
          </w:p>
        </w:tc>
      </w:tr>
      <w:tr>
        <w:trPr>
          <w:cantSplit/>
        </w:trPr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OEM-NFR-001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QM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동일한 입력순서와 초기상태에는 동일한 제어결과가 생성되어야 한다.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고정 시계로 같은 벡터 1,000회 재생 시 공개결과 해시가 모두 같다.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PC/SIL</w:t>
            </w:r>
          </w:p>
        </w:tc>
      </w:tr>
      <w:tr>
        <w:trPr>
          <w:cantSplit/>
        </w:trPr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OEM-NFR-002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QM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SW는 최근 제어결정 100건을 메모리 내 저장소에 보존하되 영상, 음성, 개인 식별자를 저장하지 않아야 한다.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101건 입력 후 최신 100건만 순서대로 조회되고 허용 필드만 존재하며 프로세스 재기동 후 데이터가 남지 않는다.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단위 및 통합</w:t>
            </w:r>
          </w:p>
        </w:tc>
      </w:tr>
    </w:tbl>
    <w:p>
      <w:pPr>
        <w:spacing w:before="0" w:after="0" w:line="20" w:lineRule="exact"/>
      </w:pPr>
      <w:r>
        <w:rPr>
          <w:rFonts w:ascii="맑은 고딕" w:hAnsi="맑은 고딕" w:eastAsia="맑은 고딕"/>
          <w:sz w:val="2"/>
        </w:rPr>
        <w:t xml:space="preserve"> </w:t>
      </w:r>
    </w:p>
    <w:p>
      <w:pPr>
        <w:pStyle w:val="Heading1"/>
      </w:pPr>
      <w:r>
        <w:t>6. 외부 인터페이스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rHeight w:hRule="atLeast" w:val="397"/>
          <w:tblHeader w:val="true"/>
        </w:trPr>
        <w:tc>
          <w:tcPr>
            <w:tcW w:type="dxa" w:w="1973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인터페이스 ID</w:t>
            </w:r>
          </w:p>
        </w:tc>
        <w:tc>
          <w:tcPr>
            <w:tcW w:type="dxa" w:w="1973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방향</w:t>
            </w:r>
          </w:p>
        </w:tc>
        <w:tc>
          <w:tcPr>
            <w:tcW w:type="dxa" w:w="1973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주요 데이터</w:t>
            </w:r>
          </w:p>
        </w:tc>
        <w:tc>
          <w:tcPr>
            <w:tcW w:type="dxa" w:w="1973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단위/범위</w:t>
            </w:r>
          </w:p>
        </w:tc>
        <w:tc>
          <w:tcPr>
            <w:tcW w:type="dxa" w:w="1973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오류 처리</w:t>
            </w:r>
          </w:p>
        </w:tc>
      </w:tr>
      <w:tr>
        <w:trPr>
          <w:cantSplit/>
        </w:trPr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OEM-IF-001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Vehicle→SW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vehicle_speed_kph, gear, source_timestamp_s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km/h 0.0~300.0; P/N/D/R; s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누락, 형식, 범위 오류 INVALID</w:t>
            </w:r>
          </w:p>
        </w:tc>
      </w:tr>
      <w:tr>
        <w:trPr>
          <w:cantSplit/>
        </w:trPr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OEM-IF-002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Vehicle→SW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crash_status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NONE/PENDING/CONFIRMED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미정 값 INVALID</w:t>
            </w:r>
          </w:p>
        </w:tc>
      </w:tr>
      <w:tr>
        <w:trPr>
          <w:cantSplit/>
        </w:trPr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OEM-IF-003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Vehicle→SW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rear_left_approach_risk, rear_right_approach_risk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boolean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누락, 형식 오류 INVALID</w:t>
            </w:r>
          </w:p>
        </w:tc>
      </w:tr>
      <w:tr>
        <w:trPr>
          <w:cantSplit/>
        </w:trPr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OEM-IF-004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Driver→SW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side, action, source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left/right/all; lock/unlock; physical_button/avn/voice/mobile_app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누락, 형식, 미등록 enum 거절; 요청 시각은 VehicleSnapshot.timestamp_s 사용</w:t>
            </w:r>
          </w:p>
        </w:tc>
      </w:tr>
      <w:tr>
        <w:trPr>
          <w:cantSplit/>
        </w:trPr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OEM-IF-005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SW→Actuator model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lock_left/right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LOCK/RELEASE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PC/SIL 논리 출력까지만 검증; 적용 feedback은 범위 밖</w:t>
            </w:r>
          </w:p>
        </w:tc>
      </w:tr>
      <w:tr>
        <w:trPr>
          <w:cantSplit/>
        </w:trPr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OEM-IF-006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SW→Display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state, priority_reason, reason_code, input_validity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enumeration/string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priority_reason을 reason_code로도 매핑; 직렬화 실패는 HTTP 500</w:t>
            </w:r>
          </w:p>
        </w:tc>
      </w:tr>
      <w:tr>
        <w:trPr>
          <w:cantSplit/>
        </w:trPr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OEM-IF-007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Vehicle→SW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fire_detected, overtemperature_detected, adult_present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boolean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누락, 형식 오류 INVALID</w:t>
            </w:r>
          </w:p>
        </w:tc>
      </w:tr>
      <w:tr>
        <w:trPr>
          <w:cantSplit/>
        </w:trPr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OEM-IF-008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Vehicle→SW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isofix_left/right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boolean</w:t>
            </w:r>
          </w:p>
        </w:tc>
        <w:tc>
          <w:tcPr>
            <w:tcW w:type="dxa" w:w="1973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누락, 형식 오류 INVALID</w:t>
            </w:r>
          </w:p>
        </w:tc>
      </w:tr>
      <w:tr>
        <w:trPr>
          <w:cantSplit/>
        </w:trPr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OEM-IF-009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Vehicle→SW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ignition_on, sensor_fault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boolean</w:t>
            </w:r>
          </w:p>
        </w:tc>
        <w:tc>
          <w:tcPr>
            <w:tcW w:type="dxa" w:w="197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누락, 형식 오류 INVALID</w:t>
            </w:r>
          </w:p>
        </w:tc>
      </w:tr>
    </w:tbl>
    <w:p>
      <w:pPr>
        <w:spacing w:before="0" w:after="0" w:line="20" w:lineRule="exact"/>
      </w:pPr>
      <w:r>
        <w:rPr>
          <w:rFonts w:ascii="맑은 고딕" w:hAnsi="맑은 고딕" w:eastAsia="맑은 고딕"/>
          <w:sz w:val="2"/>
        </w:rPr>
        <w:t xml:space="preserve"> </w:t>
      </w:r>
    </w:p>
    <w:p>
      <w:pPr>
        <w:pStyle w:val="Heading1"/>
      </w:pPr>
      <w:r>
        <w:t>7. 대한민국 법규 후보 및 확인 책임</w:t>
      </w:r>
    </w:p>
    <w:p>
      <w:pPr>
        <w:widowControl/>
      </w:pPr>
      <w:r>
        <w:rPr>
          <w:rFonts w:ascii="맑은 고딕" w:hAnsi="맑은 고딕" w:eastAsia="맑은 고딕"/>
        </w:rPr>
        <w:t>아래 항목은 2026-06-26 시나리오 기준의 차량 수준 적용 후보이다. 자동차관리법 제29조와 시행령 제8조의 위임 사슬, 자동차규칙 제29조, 제102조, 제104조 및 별표 14/14의2의 위치를 통제하되, 대상 차량의 형식, 총중량, 문 구조, 트림이 확정되기 전에는 적용성을 확정하지 않는다.</w:t>
      </w:r>
    </w:p>
    <w:p>
      <w:pPr>
        <w:widowControl/>
      </w:pPr>
      <w:r>
        <w:rPr>
          <w:rFonts w:ascii="맑은 고딕" w:hAnsi="맑은 고딕" w:eastAsia="맑은 고딕"/>
        </w:rPr>
        <w:t>별표 14의 충돌 중 문 열림 방지, 충돌 후 잠금기능 해제 및 도구 없는 탈출 제약은 가상 OEM의 SW 고장반응 입력 후보로만 파생한다. 별표 14의2에는 같은 일반 잠금기능 해제 문구가 있다고 가정하지 않는다. 시행세칙의 문열림방지장치 시험은 차량, 부품 물리시험이며 PC/SIL 결과로 대체하지 않는다.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rHeight w:hRule="atLeast" w:val="397"/>
          <w:tblHeader w:val="true"/>
        </w:trPr>
        <w:tc>
          <w:tcPr>
            <w:tcW w:type="dxa" w:w="246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후속 확인</w:t>
            </w:r>
          </w:p>
        </w:tc>
        <w:tc>
          <w:tcPr>
            <w:tcW w:type="dxa" w:w="246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책임</w:t>
            </w:r>
          </w:p>
        </w:tc>
        <w:tc>
          <w:tcPr>
            <w:tcW w:type="dxa" w:w="246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완료기준</w:t>
            </w:r>
          </w:p>
        </w:tc>
        <w:tc>
          <w:tcPr>
            <w:tcW w:type="dxa" w:w="246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현재 처리</w:t>
            </w:r>
          </w:p>
        </w:tc>
      </w:tr>
      <w:tr>
        <w:trPr>
          <w:cantSplit/>
        </w:trPr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차종, GVW, 문 형식, 트림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OEM-A 인증 담당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적용 별표와 시험항목 승인 입력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미제공—법규 후보로 유지</w:t>
            </w:r>
          </w:p>
        </w:tc>
      </w:tr>
      <w:tr>
        <w:trPr>
          <w:cantSplit/>
        </w:trPr>
        <w:tc>
          <w:tcPr>
            <w:tcW w:type="dxa" w:w="2466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충돌 입력 신뢰도, 지연 예산</w:t>
            </w:r>
          </w:p>
        </w:tc>
        <w:tc>
          <w:tcPr>
            <w:tcW w:type="dxa" w:w="2466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OEM-A 시스템 담당</w:t>
            </w:r>
          </w:p>
        </w:tc>
        <w:tc>
          <w:tcPr>
            <w:tcW w:type="dxa" w:w="2466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Vehicle→SW 계약 베이스라인</w:t>
            </w:r>
          </w:p>
        </w:tc>
        <w:tc>
          <w:tcPr>
            <w:tcW w:type="dxa" w:w="2466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가상 SIL 신호만 사용</w:t>
            </w:r>
          </w:p>
        </w:tc>
      </w:tr>
      <w:tr>
        <w:trPr>
          <w:cantSplit/>
        </w:trPr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도어 래치/구동기 물리 안전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OEM-A HW/차체 담당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차량/부품 시험 성적서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공급자 SW 범위 밖</w:t>
            </w:r>
          </w:p>
        </w:tc>
      </w:tr>
      <w:tr>
        <w:trPr>
          <w:cantSplit/>
        </w:trPr>
        <w:tc>
          <w:tcPr>
            <w:tcW w:type="dxa" w:w="2466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개인정보 처리</w:t>
            </w:r>
          </w:p>
        </w:tc>
        <w:tc>
          <w:tcPr>
            <w:tcW w:type="dxa" w:w="2466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OEM-A 개인정보 담당</w:t>
            </w:r>
          </w:p>
        </w:tc>
        <w:tc>
          <w:tcPr>
            <w:tcW w:type="dxa" w:w="2466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실차 상위 시스템 입력 정의</w:t>
            </w:r>
          </w:p>
        </w:tc>
        <w:tc>
          <w:tcPr>
            <w:tcW w:type="dxa" w:w="2466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불리언 성인존재 신호 외 수집 금지</w:t>
            </w:r>
          </w:p>
        </w:tc>
      </w:tr>
    </w:tbl>
    <w:p>
      <w:pPr>
        <w:spacing w:before="0" w:after="0" w:line="20" w:lineRule="exact"/>
      </w:pPr>
      <w:r>
        <w:rPr>
          <w:rFonts w:ascii="맑은 고딕" w:hAnsi="맑은 고딕" w:eastAsia="맑은 고딕"/>
          <w:sz w:val="2"/>
        </w:rPr>
        <w:t xml:space="preserve"> </w:t>
      </w:r>
    </w:p>
    <w:p>
      <w:pPr>
        <w:pStyle w:val="Heading1"/>
      </w:pPr>
      <w:r>
        <w:t>8. 공급자 인도 및 수용 증거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rHeight w:hRule="atLeast" w:val="397"/>
          <w:tblHeader w:val="true"/>
        </w:trPr>
        <w:tc>
          <w:tcPr>
            <w:tcW w:type="dxa" w:w="246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246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베이스라인</w:t>
            </w:r>
          </w:p>
        </w:tc>
        <w:tc>
          <w:tcPr>
            <w:tcW w:type="dxa" w:w="246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필수 증거</w:t>
            </w:r>
          </w:p>
        </w:tc>
        <w:tc>
          <w:tcPr>
            <w:tcW w:type="dxa" w:w="246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수용 주체</w:t>
            </w:r>
          </w:p>
        </w:tc>
      </w:tr>
      <w:tr>
        <w:trPr>
          <w:cantSplit/>
        </w:trPr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G1 요구사항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BL-SWR-1.0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SW 요구사항, Use Case, 검토기록, 양방향 추적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OEM-A SW Requirements Owner</w:t>
            </w:r>
          </w:p>
        </w:tc>
      </w:tr>
      <w:tr>
        <w:trPr>
          <w:cantSplit/>
        </w:trPr>
        <w:tc>
          <w:tcPr>
            <w:tcW w:type="dxa" w:w="2466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G2 설계</w:t>
            </w:r>
          </w:p>
        </w:tc>
        <w:tc>
          <w:tcPr>
            <w:tcW w:type="dxa" w:w="2466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BL-SWA-1.0 / BL-SWD-1.0</w:t>
            </w:r>
          </w:p>
        </w:tc>
        <w:tc>
          <w:tcPr>
            <w:tcW w:type="dxa" w:w="2466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아키텍처, 상세설계, UML, 정적분석 계획</w:t>
            </w:r>
          </w:p>
        </w:tc>
        <w:tc>
          <w:tcPr>
            <w:tcW w:type="dxa" w:w="2466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OEM-A SW Architect</w:t>
            </w:r>
          </w:p>
        </w:tc>
      </w:tr>
      <w:tr>
        <w:trPr>
          <w:cantSplit/>
        </w:trPr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G3 구현, 통합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BL-CODE-UT-1.0 / BL-INT-1.0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소스, SBOM, 단위, 통합 시험 및 결함 연결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OEM-A SW Quality</w:t>
            </w:r>
          </w:p>
        </w:tc>
      </w:tr>
      <w:tr>
        <w:trPr>
          <w:cantSplit/>
        </w:trPr>
        <w:tc>
          <w:tcPr>
            <w:tcW w:type="dxa" w:w="2466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G4 SW 검증</w:t>
            </w:r>
          </w:p>
        </w:tc>
        <w:tc>
          <w:tcPr>
            <w:tcW w:type="dxa" w:w="2466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BL-VER-1.0</w:t>
            </w:r>
          </w:p>
        </w:tc>
        <w:tc>
          <w:tcPr>
            <w:tcW w:type="dxa" w:w="2466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요구 기반 PC/SIL, Web 결과, 미검증 범위, 잔여문제</w:t>
            </w:r>
          </w:p>
        </w:tc>
        <w:tc>
          <w:tcPr>
            <w:tcW w:type="dxa" w:w="2466"/>
            <w:shd w:fill="F6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5"/>
              </w:rPr>
              <w:t>OEM-A Verification Owner</w:t>
            </w:r>
          </w:p>
        </w:tc>
      </w:tr>
    </w:tbl>
    <w:p>
      <w:pPr>
        <w:spacing w:before="0" w:after="0" w:line="20" w:lineRule="exact"/>
      </w:pPr>
      <w:r>
        <w:rPr>
          <w:rFonts w:ascii="맑은 고딕" w:hAnsi="맑은 고딕" w:eastAsia="맑은 고딕"/>
          <w:sz w:val="2"/>
        </w:rPr>
        <w:t xml:space="preserve"> </w:t>
      </w:r>
    </w:p>
    <w:p>
      <w:pPr>
        <w:pStyle w:val="Heading1"/>
      </w:pPr>
      <w:r>
        <w:t>9. 추적성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rHeight w:hRule="atLeast" w:val="397"/>
          <w:tblHeader w:val="true"/>
        </w:trPr>
        <w:tc>
          <w:tcPr>
            <w:tcW w:type="dxa" w:w="3551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상위/입력</w:t>
            </w:r>
          </w:p>
        </w:tc>
        <w:tc>
          <w:tcPr>
            <w:tcW w:type="dxa" w:w="3551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하위/증거</w:t>
            </w:r>
          </w:p>
        </w:tc>
        <w:tc>
          <w:tcPr>
            <w:tcW w:type="dxa" w:w="2762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관계, 근거</w:t>
            </w:r>
          </w:p>
        </w:tc>
      </w:tr>
      <w:tr>
        <w:trPr>
          <w:cantSplit/>
        </w:trPr>
        <w:tc>
          <w:tcPr>
            <w:tcW w:type="dxa" w:w="3551"/>
            <w:shd w:fill="FFFFFF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2"/>
              </w:rPr>
              <w:t>OEM-SR-001</w:t>
            </w:r>
          </w:p>
        </w:tc>
        <w:tc>
          <w:tcPr>
            <w:tcW w:type="dxa" w:w="3551"/>
            <w:shd w:fill="FFFFFF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2"/>
              </w:rPr>
              <w:t>SWR-007, SWR-008</w:t>
            </w:r>
          </w:p>
        </w:tc>
        <w:tc>
          <w:tcPr>
            <w:tcW w:type="dxa" w:w="2762"/>
            <w:shd w:fill="FFFFFF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2"/>
              </w:rPr>
              <w:t>derive | 충돌 CONFIRMED 긴급해제와 PENDING 처리 | 계획</w:t>
            </w:r>
          </w:p>
        </w:tc>
      </w:tr>
      <w:tr>
        <w:trPr>
          <w:cantSplit/>
        </w:trPr>
        <w:tc>
          <w:tcPr>
            <w:tcW w:type="dxa" w:w="3551"/>
            <w:shd w:fill="F6F8FA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2"/>
              </w:rPr>
              <w:t>OEM-SR-002</w:t>
            </w:r>
          </w:p>
        </w:tc>
        <w:tc>
          <w:tcPr>
            <w:tcW w:type="dxa" w:w="3551"/>
            <w:shd w:fill="F6F8FA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2"/>
              </w:rPr>
              <w:t>SWR-005, SWR-006, SWR-009</w:t>
            </w:r>
          </w:p>
        </w:tc>
        <w:tc>
          <w:tcPr>
            <w:tcW w:type="dxa" w:w="2762"/>
            <w:shd w:fill="F6F8FA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2"/>
              </w:rPr>
              <w:t>derive | 접근위험 억제, 재입력, 좌우 독립 | 계획</w:t>
            </w:r>
          </w:p>
        </w:tc>
      </w:tr>
      <w:tr>
        <w:trPr>
          <w:cantSplit/>
        </w:trPr>
        <w:tc>
          <w:tcPr>
            <w:tcW w:type="dxa" w:w="3551"/>
            <w:shd w:fill="FFFFFF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2"/>
              </w:rPr>
              <w:t>OEM-SR-003</w:t>
            </w:r>
          </w:p>
        </w:tc>
        <w:tc>
          <w:tcPr>
            <w:tcW w:type="dxa" w:w="3551"/>
            <w:shd w:fill="FFFFFF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2"/>
              </w:rPr>
              <w:t>SWR-013</w:t>
            </w:r>
          </w:p>
        </w:tc>
        <w:tc>
          <w:tcPr>
            <w:tcW w:type="dxa" w:w="2762"/>
            <w:shd w:fill="FFFFFF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2"/>
              </w:rPr>
              <w:t>derive | stale 입력 degraded 전이, 형식/범위 오류 거절 | 계획</w:t>
            </w:r>
          </w:p>
        </w:tc>
      </w:tr>
      <w:tr>
        <w:trPr>
          <w:cantSplit/>
        </w:trPr>
        <w:tc>
          <w:tcPr>
            <w:tcW w:type="dxa" w:w="3551"/>
            <w:shd w:fill="F6F8FA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2"/>
              </w:rPr>
              <w:t>OEM-SR-004</w:t>
            </w:r>
          </w:p>
        </w:tc>
        <w:tc>
          <w:tcPr>
            <w:tcW w:type="dxa" w:w="3551"/>
            <w:shd w:fill="F6F8FA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2"/>
              </w:rPr>
              <w:t>SWR-021</w:t>
            </w:r>
          </w:p>
        </w:tc>
        <w:tc>
          <w:tcPr>
            <w:tcW w:type="dxa" w:w="2762"/>
            <w:shd w:fill="F6F8FA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2"/>
              </w:rPr>
              <w:t>derive | sensor fault 출력 유지, FAULT 상태 | 계획</w:t>
            </w:r>
          </w:p>
        </w:tc>
      </w:tr>
      <w:tr>
        <w:trPr>
          <w:cantSplit/>
        </w:trPr>
        <w:tc>
          <w:tcPr>
            <w:tcW w:type="dxa" w:w="3551"/>
            <w:shd w:fill="FFFFFF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2"/>
              </w:rPr>
              <w:t>OEM-FR-001</w:t>
            </w:r>
          </w:p>
        </w:tc>
        <w:tc>
          <w:tcPr>
            <w:tcW w:type="dxa" w:w="3551"/>
            <w:shd w:fill="FFFFFF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2"/>
              </w:rPr>
              <w:t>SWR-001, SWR-002, SWR-004</w:t>
            </w:r>
          </w:p>
        </w:tc>
        <w:tc>
          <w:tcPr>
            <w:tcW w:type="dxa" w:w="2762"/>
            <w:shd w:fill="FFFFFF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2"/>
              </w:rPr>
              <w:t>derive | 좌, 우, 전체 명령과 일반 해제 허용조건 | 계획</w:t>
            </w:r>
          </w:p>
        </w:tc>
      </w:tr>
      <w:tr>
        <w:trPr>
          <w:cantSplit/>
        </w:trPr>
        <w:tc>
          <w:tcPr>
            <w:tcW w:type="dxa" w:w="3551"/>
            <w:shd w:fill="F6F8FA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2"/>
              </w:rPr>
              <w:t>OEM-FR-002</w:t>
            </w:r>
          </w:p>
        </w:tc>
        <w:tc>
          <w:tcPr>
            <w:tcW w:type="dxa" w:w="3551"/>
            <w:shd w:fill="F6F8FA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2"/>
              </w:rPr>
              <w:t>SWR-003</w:t>
            </w:r>
          </w:p>
        </w:tc>
        <w:tc>
          <w:tcPr>
            <w:tcW w:type="dxa" w:w="2762"/>
            <w:shd w:fill="F6F8FA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2"/>
              </w:rPr>
              <w:t>derive | 자동 잠금 임계값 | 계획</w:t>
            </w:r>
          </w:p>
        </w:tc>
      </w:tr>
      <w:tr>
        <w:trPr>
          <w:cantSplit/>
        </w:trPr>
        <w:tc>
          <w:tcPr>
            <w:tcW w:type="dxa" w:w="3551"/>
            <w:shd w:fill="FFFFFF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2"/>
              </w:rPr>
              <w:t>OEM-FR-003</w:t>
            </w:r>
          </w:p>
        </w:tc>
        <w:tc>
          <w:tcPr>
            <w:tcW w:type="dxa" w:w="3551"/>
            <w:shd w:fill="FFFFFF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2"/>
              </w:rPr>
              <w:t>SWR-006</w:t>
            </w:r>
          </w:p>
        </w:tc>
        <w:tc>
          <w:tcPr>
            <w:tcW w:type="dxa" w:w="2762"/>
            <w:shd w:fill="FFFFFF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2"/>
              </w:rPr>
              <w:t>derive | 접근위험 경고 뒤 10초 이내 재입력 | 계획</w:t>
            </w:r>
          </w:p>
        </w:tc>
      </w:tr>
      <w:tr>
        <w:trPr>
          <w:cantSplit/>
        </w:trPr>
        <w:tc>
          <w:tcPr>
            <w:tcW w:type="dxa" w:w="3551"/>
            <w:shd w:fill="F6F8FA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2"/>
              </w:rPr>
              <w:t>OEM-FR-004</w:t>
            </w:r>
          </w:p>
        </w:tc>
        <w:tc>
          <w:tcPr>
            <w:tcW w:type="dxa" w:w="3551"/>
            <w:shd w:fill="F6F8FA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2"/>
              </w:rPr>
              <w:t>SWR-014, SWR-015</w:t>
            </w:r>
          </w:p>
        </w:tc>
        <w:tc>
          <w:tcPr>
            <w:tcW w:type="dxa" w:w="2762"/>
            <w:shd w:fill="F6F8FA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2"/>
              </w:rPr>
              <w:t>derive | 상태조회 및 표시 | 계획</w:t>
            </w:r>
          </w:p>
        </w:tc>
      </w:tr>
      <w:tr>
        <w:trPr>
          <w:cantSplit/>
        </w:trPr>
        <w:tc>
          <w:tcPr>
            <w:tcW w:type="dxa" w:w="3551"/>
            <w:shd w:fill="FFFFFF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2"/>
              </w:rPr>
              <w:t>OEM-FR-005</w:t>
            </w:r>
          </w:p>
        </w:tc>
        <w:tc>
          <w:tcPr>
            <w:tcW w:type="dxa" w:w="3551"/>
            <w:shd w:fill="FFFFFF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2"/>
              </w:rPr>
              <w:t>SWR-017</w:t>
            </w:r>
          </w:p>
        </w:tc>
        <w:tc>
          <w:tcPr>
            <w:tcW w:type="dxa" w:w="2762"/>
            <w:shd w:fill="FFFFFF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2"/>
              </w:rPr>
              <w:t>derive | 화재, 과온, 성인 탑승 강제해제 | 계획</w:t>
            </w:r>
          </w:p>
        </w:tc>
      </w:tr>
      <w:tr>
        <w:trPr>
          <w:cantSplit/>
        </w:trPr>
        <w:tc>
          <w:tcPr>
            <w:tcW w:type="dxa" w:w="3551"/>
            <w:shd w:fill="F6F8FA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2"/>
              </w:rPr>
              <w:t>OEM-FR-006</w:t>
            </w:r>
          </w:p>
        </w:tc>
        <w:tc>
          <w:tcPr>
            <w:tcW w:type="dxa" w:w="3551"/>
            <w:shd w:fill="F6F8FA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2"/>
              </w:rPr>
              <w:t>SWR-018</w:t>
            </w:r>
          </w:p>
        </w:tc>
        <w:tc>
          <w:tcPr>
            <w:tcW w:type="dxa" w:w="2762"/>
            <w:shd w:fill="F6F8FA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2"/>
              </w:rPr>
              <w:t>derive | 좌, 우 ISOFIX 강제잠금 | 계획</w:t>
            </w:r>
          </w:p>
        </w:tc>
      </w:tr>
      <w:tr>
        <w:trPr>
          <w:cantSplit/>
        </w:trPr>
        <w:tc>
          <w:tcPr>
            <w:tcW w:type="dxa" w:w="3551"/>
            <w:shd w:fill="FFFFFF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2"/>
              </w:rPr>
              <w:t>OEM-FR-007</w:t>
            </w:r>
          </w:p>
        </w:tc>
        <w:tc>
          <w:tcPr>
            <w:tcW w:type="dxa" w:w="3551"/>
            <w:shd w:fill="FFFFFF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2"/>
              </w:rPr>
              <w:t>SWR-020</w:t>
            </w:r>
          </w:p>
        </w:tc>
        <w:tc>
          <w:tcPr>
            <w:tcW w:type="dxa" w:w="2762"/>
            <w:shd w:fill="FFFFFF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2"/>
              </w:rPr>
              <w:t>derive | ignition-off 출력 해제, OFF 상태 | 계획</w:t>
            </w:r>
          </w:p>
        </w:tc>
      </w:tr>
      <w:tr>
        <w:trPr>
          <w:cantSplit/>
        </w:trPr>
        <w:tc>
          <w:tcPr>
            <w:tcW w:type="dxa" w:w="3551"/>
            <w:shd w:fill="F6F8FA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2"/>
              </w:rPr>
              <w:t>OEM-NFR-001</w:t>
            </w:r>
          </w:p>
        </w:tc>
        <w:tc>
          <w:tcPr>
            <w:tcW w:type="dxa" w:w="3551"/>
            <w:shd w:fill="F6F8FA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2"/>
              </w:rPr>
              <w:t>SWR-016</w:t>
            </w:r>
          </w:p>
        </w:tc>
        <w:tc>
          <w:tcPr>
            <w:tcW w:type="dxa" w:w="2762"/>
            <w:shd w:fill="F6F8FA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2"/>
              </w:rPr>
              <w:t>derive | 결정론 재생 | 계획</w:t>
            </w:r>
          </w:p>
        </w:tc>
      </w:tr>
      <w:tr>
        <w:trPr>
          <w:cantSplit/>
        </w:trPr>
        <w:tc>
          <w:tcPr>
            <w:tcW w:type="dxa" w:w="3551"/>
            <w:shd w:fill="FFFFFF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2"/>
              </w:rPr>
              <w:t>OEM-NFR-002</w:t>
            </w:r>
          </w:p>
        </w:tc>
        <w:tc>
          <w:tcPr>
            <w:tcW w:type="dxa" w:w="3551"/>
            <w:shd w:fill="FFFFFF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2"/>
              </w:rPr>
              <w:t>SWR-010, SWR-011, SWR-012</w:t>
            </w:r>
          </w:p>
        </w:tc>
        <w:tc>
          <w:tcPr>
            <w:tcW w:type="dxa" w:w="2762"/>
            <w:shd w:fill="FFFFFF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2"/>
              </w:rPr>
              <w:t>derive | 이벤트 ID, 스키마, 휘발성, 금지정보 | 계획</w:t>
            </w:r>
          </w:p>
        </w:tc>
      </w:tr>
    </w:tbl>
    <w:p>
      <w:pPr>
        <w:spacing w:before="0" w:after="0" w:line="20" w:lineRule="exact"/>
      </w:pPr>
      <w:r>
        <w:rPr>
          <w:rFonts w:ascii="맑은 고딕" w:hAnsi="맑은 고딕" w:eastAsia="맑은 고딕"/>
          <w:sz w:val="2"/>
        </w:rPr>
        <w:t xml:space="preserve"> </w:t>
      </w:r>
    </w:p>
    <w:p>
      <w:pPr>
        <w:pStyle w:val="Heading1"/>
      </w:pPr>
      <w:r>
        <w:t>10. 참고자료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hRule="atLeast" w:val="397"/>
          <w:tblHeader w:val="true"/>
        </w:trPr>
        <w:tc>
          <w:tcPr>
            <w:tcW w:type="dxa" w:w="394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식별자</w:t>
            </w:r>
          </w:p>
        </w:tc>
        <w:tc>
          <w:tcPr>
            <w:tcW w:type="dxa" w:w="5919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AFC3D7"/>
              <w:left w:val="single" w:sz="4" w:color="AFC3D7"/>
              <w:bottom w:val="single" w:sz="4" w:color="AFC3D7"/>
              <w:right w:val="single" w:sz="4" w:color="AFC3D7"/>
              <w:insideH w:val="single" w:sz="4" w:color="AFC3D7"/>
              <w:insideV w:val="single" w:sz="4" w:color="AFC3D7"/>
            </w:tcBorders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참고 목적, 경계</w:t>
            </w:r>
          </w:p>
        </w:tc>
      </w:tr>
      <w:tr>
        <w:trPr>
          <w:cantSplit/>
        </w:trPr>
        <w:tc>
          <w:tcPr>
            <w:tcW w:type="dxa" w:w="3946"/>
            <w:shd w:fill="FFFFFF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1"/>
              </w:rPr>
              <w:t>SRC-DEC-001</w:t>
            </w:r>
          </w:p>
        </w:tc>
        <w:tc>
          <w:tcPr>
            <w:tcW w:type="dxa" w:w="5919"/>
            <w:shd w:fill="FFFFFF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1"/>
              </w:rPr>
              <w:t>VJ-ECL-2026 승인 결정 베이스라인 | PB-2026-001 | 범위, 일정, 안전 가정 | 가상 승인 입력</w:t>
            </w:r>
          </w:p>
        </w:tc>
      </w:tr>
      <w:tr>
        <w:trPr>
          <w:cantSplit/>
        </w:trPr>
        <w:tc>
          <w:tcPr>
            <w:tcW w:type="dxa" w:w="3946"/>
            <w:shd w:fill="F6F8FA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1"/>
              </w:rPr>
              <w:t>SRC-HMC-ECL-001</w:t>
            </w:r>
          </w:p>
        </w:tc>
        <w:tc>
          <w:tcPr>
            <w:tcW w:type="dxa" w:w="5919"/>
            <w:shd w:fill="F6F8FA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1"/>
              </w:rPr>
              <w:t>Hyundai 2026 Grandeur GN7 전자식 차일드락 | 2026 Korea; 2026-08-23 관찰 | 직접 제품 참고 | 내부 사양, 역사본 아님</w:t>
            </w:r>
          </w:p>
        </w:tc>
      </w:tr>
      <w:tr>
        <w:trPr>
          <w:cantSplit/>
        </w:trPr>
        <w:tc>
          <w:tcPr>
            <w:tcW w:type="dxa" w:w="3946"/>
            <w:shd w:fill="FFFFFF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1"/>
              </w:rPr>
              <w:t>SRC-HMC-SEA-001</w:t>
            </w:r>
          </w:p>
        </w:tc>
        <w:tc>
          <w:tcPr>
            <w:tcW w:type="dxa" w:w="5919"/>
            <w:shd w:fill="FFFFFF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1"/>
              </w:rPr>
              <w:t>Hyundai 2026 Grandeur GN7 안전하차보조 | 2026 Korea; 2026-08-23 관찰 | 간접 기능 참고 | 법규, OEM 요구로 일반화 금지</w:t>
            </w:r>
          </w:p>
        </w:tc>
      </w:tr>
      <w:tr>
        <w:trPr>
          <w:cantSplit/>
        </w:trPr>
        <w:tc>
          <w:tcPr>
            <w:tcW w:type="dxa" w:w="3946"/>
            <w:shd w:fill="F6F8FA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1"/>
              </w:rPr>
              <w:t>SRC-HMC-COL-001</w:t>
            </w:r>
          </w:p>
        </w:tc>
        <w:tc>
          <w:tcPr>
            <w:tcW w:type="dxa" w:w="5919"/>
            <w:shd w:fill="F6F8FA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1"/>
              </w:rPr>
              <w:t>Hyundai 2026 Grandeur GN7 충돌 후 잠금해제 | 2026 Korea; 2026-08-23 관찰 | 기능 후보 | 차량 적합성 증거 아님</w:t>
            </w:r>
          </w:p>
        </w:tc>
      </w:tr>
      <w:tr>
        <w:trPr>
          <w:cantSplit/>
        </w:trPr>
        <w:tc>
          <w:tcPr>
            <w:tcW w:type="dxa" w:w="3946"/>
            <w:shd w:fill="FFFFFF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1"/>
              </w:rPr>
              <w:t>SRC-TESLA-ECL-001</w:t>
            </w:r>
          </w:p>
        </w:tc>
        <w:tc>
          <w:tcPr>
            <w:tcW w:type="dxa" w:w="5919"/>
            <w:shd w:fill="FFFFFF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1"/>
              </w:rPr>
              <w:t>Tesla Model Y 어린이 보호 잠금 | 2025+, SW 2026.20; 2026-08-23 관찰 | 좌, 우 선택 개념 | Tesla 내부 사양 아님</w:t>
            </w:r>
          </w:p>
        </w:tc>
      </w:tr>
      <w:tr>
        <w:trPr>
          <w:cantSplit/>
        </w:trPr>
        <w:tc>
          <w:tcPr>
            <w:tcW w:type="dxa" w:w="3946"/>
            <w:shd w:fill="F6F8FA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1"/>
              </w:rPr>
              <w:t>SRC-LAW-KMVSS-001</w:t>
            </w:r>
          </w:p>
        </w:tc>
        <w:tc>
          <w:tcPr>
            <w:tcW w:type="dxa" w:w="5919"/>
            <w:shd w:fill="F6F8FA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1"/>
              </w:rPr>
              <w:t>자동차 및 자동차부품의 성능과 기준에 관한 규칙 | 2026-06-05 시행 역사본 | 차량기준 적용 후보 | 차량 분류 확인 전 확정 금지</w:t>
            </w:r>
          </w:p>
        </w:tc>
      </w:tr>
      <w:tr>
        <w:trPr>
          <w:cantSplit/>
        </w:trPr>
        <w:tc>
          <w:tcPr>
            <w:tcW w:type="dxa" w:w="3946"/>
            <w:shd w:fill="FFFFFF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1"/>
              </w:rPr>
              <w:t>SRC-LAW-KMVSS-A14-001</w:t>
            </w:r>
          </w:p>
        </w:tc>
        <w:tc>
          <w:tcPr>
            <w:tcW w:type="dxa" w:w="5919"/>
            <w:shd w:fill="FFFFFF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1"/>
              </w:rPr>
              <w:t>자동차규칙 별표 14 | 2026-06-26 기준 | 충돌 제약 후보 | 물리시험, 인증 증거 아님</w:t>
            </w:r>
          </w:p>
        </w:tc>
      </w:tr>
      <w:tr>
        <w:trPr>
          <w:cantSplit/>
        </w:trPr>
        <w:tc>
          <w:tcPr>
            <w:tcW w:type="dxa" w:w="3946"/>
            <w:shd w:fill="F6F8FA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1"/>
              </w:rPr>
              <w:t>SRC-LAW-KMVSS-A14-2-001</w:t>
            </w:r>
          </w:p>
        </w:tc>
        <w:tc>
          <w:tcPr>
            <w:tcW w:type="dxa" w:w="5919"/>
            <w:shd w:fill="F6F8FA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1"/>
              </w:rPr>
              <w:t>자동차규칙 별표 14의2 | 2026-06-26 기준 | 측면충돌 제약 후보 | 별표 14 문구 일반화 금지</w:t>
            </w:r>
          </w:p>
        </w:tc>
      </w:tr>
      <w:tr>
        <w:trPr>
          <w:cantSplit/>
        </w:trPr>
        <w:tc>
          <w:tcPr>
            <w:tcW w:type="dxa" w:w="3946"/>
            <w:shd w:fill="FFFFFF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1"/>
              </w:rPr>
              <w:t>SRC-ISO-001</w:t>
            </w:r>
          </w:p>
        </w:tc>
        <w:tc>
          <w:tcPr>
            <w:tcW w:type="dxa" w:w="5919"/>
            <w:shd w:fill="FFFFFF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1"/>
              </w:rPr>
              <w:t>ISO 26262-6:2018 공식 카탈로그 | 2018 | 선정 SW 활동 경계 | 표준 요구문 복제, 전체 준수 주장 금지</w:t>
            </w:r>
          </w:p>
        </w:tc>
      </w:tr>
      <w:tr>
        <w:trPr>
          <w:cantSplit/>
        </w:trPr>
        <w:tc>
          <w:tcPr>
            <w:tcW w:type="dxa" w:w="3946"/>
            <w:shd w:fill="F6F8FA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1"/>
              </w:rPr>
              <w:t>REG-SRC-001_출처 및 적용성 등록부(source_register.xlsx)</w:t>
            </w:r>
          </w:p>
        </w:tc>
        <w:tc>
          <w:tcPr>
            <w:tcW w:type="dxa" w:w="5919"/>
            <w:shd w:fill="F6F8FA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63238"/>
                <w:sz w:val="11"/>
              </w:rPr>
              <w:t>출처, KGAS, Part 6 적용성과 검토 제한의 통제본</w:t>
            </w:r>
          </w:p>
        </w:tc>
      </w:tr>
    </w:tbl>
    <w:p>
      <w:pPr>
        <w:spacing w:before="0" w:after="0" w:line="20" w:lineRule="exact"/>
      </w:pPr>
      <w:r>
        <w:rPr>
          <w:rFonts w:ascii="맑은 고딕" w:hAnsi="맑은 고딕" w:eastAsia="맑은 고딕"/>
          <w:sz w:val="2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2F0D9"/>
            <w:tcBorders>
              <w:top w:val="single" w:sz="8" w:color="548235"/>
              <w:left w:val="single" w:sz="8" w:color="548235"/>
              <w:bottom w:val="single" w:sz="8" w:color="548235"/>
              <w:right w:val="single" w:sz="8" w:color="548235"/>
              <w:insideH w:val="single" w:sz="8" w:color="548235"/>
              <w:insideV w:val="single" w:sz="8" w:color="548235"/>
            </w:tcBorders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548235"/>
                <w:sz w:val="18"/>
              </w:rPr>
              <w:t>문서 종료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263238"/>
                <w:sz w:val="16"/>
              </w:rPr>
              <w:t>본 문서의 실제 승인란은 미승인 상태이다. 품질평가 실습에서는 관찰 사실, 판단 기준, 영향 및 증거 위치를 기록하며 결함 수정이나 재검증은 수행하지 않는다.</w:t>
            </w:r>
          </w:p>
        </w:tc>
      </w:tr>
    </w:tbl>
    <w:p>
      <w:pPr>
        <w:spacing w:before="0" w:after="0" w:line="20" w:lineRule="exact"/>
      </w:pPr>
      <w:r>
        <w:rPr>
          <w:rFonts w:ascii="맑은 고딕" w:hAnsi="맑은 고딕" w:eastAsia="맑은 고딕"/>
          <w:sz w:val="2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020" w:bottom="850" w:left="1020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color w:val="7F8C8D"/>
        <w:sz w:val="14"/>
      </w:rPr>
      <w:t xml:space="preserve">교육용 샘플 | © 2026 Synetics | 과정 밖 이용은 사전 서면 승인 필요   |   </w:t>
    </w:r>
    <w:r>
      <w:rPr>
        <w:rFonts w:ascii="맑은 고딕" w:hAnsi="맑은 고딕" w:eastAsia="맑은 고딕"/>
      </w:rPr>
    </w:r>
    <w:r>
      <w:rPr>
        <w:rFonts w:ascii="맑은 고딕" w:hAnsi="맑은 고딕" w:eastAsia="맑은 고딕"/>
        <w:sz w:val="14"/>
      </w:rPr>
      <w:t xml:space="preserve"> / </w:t>
    </w:r>
    <w:r>
      <w:rPr>
        <w:rFonts w:ascii="맑은 고딕" w:hAnsi="맑은 고딕" w:eastAsia="맑은 고딕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932"/>
      <w:gridCol w:w="4932"/>
    </w:tblGrid>
    <w:tr>
      <w:tc>
        <w:tcPr>
          <w:tcW w:type="dxa" w:w="4932"/>
          <w:vAlign w:val="center"/>
          <w:tcMar>
            <w:top w:w="35" w:type="dxa"/>
            <w:start w:w="60" w:type="dxa"/>
            <w:bottom w:w="35" w:type="dxa"/>
            <w:end w:w="60" w:type="dxa"/>
          </w:tcMar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  <w:insideH w:val="single" w:sz="0" w:color="FFFFFF"/>
            <w:insideV w:val="single" w:sz="0" w:color="FFFFFF"/>
          </w:tcBorders>
        </w:tcPr>
        <w:p>
          <w:pPr>
            <w:spacing w:before="0" w:after="0" w:line="240" w:lineRule="auto"/>
          </w:pPr>
          <w:r/>
          <w:r>
            <w:rPr>
              <w:rFonts w:ascii="맑은 고딕" w:hAnsi="맑은 고딕" w:eastAsia="맑은 고딕"/>
              <w:b/>
              <w:color w:val="17365D"/>
              <w:sz w:val="13"/>
            </w:rPr>
            <w:t>VOLSOJODA  |  OEM-SWR-001_OEM SW 요구사항 사양서</w:t>
          </w:r>
        </w:p>
      </w:tc>
      <w:tc>
        <w:tcPr>
          <w:tcW w:type="dxa" w:w="4932"/>
          <w:vAlign w:val="center"/>
          <w:tcMar>
            <w:top w:w="80" w:type="dxa"/>
            <w:start w:w="90" w:type="dxa"/>
            <w:bottom w:w="80" w:type="dxa"/>
            <w:end w:w="90" w:type="dxa"/>
          </w:tcMar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  <w:insideH w:val="single" w:sz="0" w:color="FFFFFF"/>
            <w:insideV w:val="single" w:sz="0" w:color="FFFFFF"/>
          </w:tcBorders>
        </w:tcPr>
        <w:p>
          <w:pPr>
            <w:spacing w:before="0" w:after="0" w:line="240" w:lineRule="auto"/>
            <w:jc w:val="right"/>
          </w:pPr>
          <w:r/>
          <w:r>
            <w:rPr>
              <w:rFonts w:ascii="맑은 고딕" w:hAnsi="맑은 고딕" w:eastAsia="맑은 고딕"/>
              <w:b w:val="0"/>
              <w:color w:val="7F8C8D"/>
              <w:sz w:val="14"/>
            </w:rPr>
            <w:t>OEM SW 요구사항 사양서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맑은 고딕" w:hAnsi="맑은 고딕" w:eastAsia="맑은 고딕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26323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맑은 고딕" w:hAnsi="맑은 고딕" w:eastAsia="맑은 고딕"/>
      <w:b w:val="0"/>
      <w:i/>
      <w:iCs/>
      <w:color w:val="7F8C8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맑은 고딕" w:hAnsi="맑은 고딕" w:eastAsia="맑은 고딕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맑은 고딕" w:hAnsi="맑은 고딕" w:eastAsia="맑은 고딕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olledKicker">
    <w:name w:val="Controlled Kicker"/>
    <w:pPr>
      <w:spacing w:after="100"/>
    </w:pPr>
    <w:rPr>
      <w:rFonts w:ascii="맑은 고딕" w:hAnsi="맑은 고딕" w:eastAsia="맑은 고딕"/>
      <w:b/>
      <w:color w:val="BF9000"/>
      <w:sz w:val="18"/>
    </w:rPr>
  </w:style>
  <w:style w:type="paragraph" w:customStyle="1" w:styleId="CompactCaption">
    <w:name w:val="Compact Caption"/>
    <w:pPr>
      <w:keepNext w:val="0"/>
      <w:spacing w:before="60" w:after="160"/>
    </w:pPr>
    <w:rPr>
      <w:rFonts w:ascii="맑은 고딕" w:hAnsi="맑은 고딕" w:eastAsia="맑은 고딕"/>
      <w:i/>
      <w:color w:val="7F8C8D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OEM SW 요구사항 사양서</dc:title>
  <dc:subject>VJ-ECL-2026 OEM Input controlled artifact</dc:subject>
  <dc:creator>OEM-A SW Requirements Owner</dc:creator>
  <cp:keywords>education fixture, Synetics copyright, Automotive SPICE, software quality, controlled document</cp:keywords>
  <dc:description>Scenario artifact; actual approval not performed. 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vt:lpwstr>
  </property>
</Properties>
</file>