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Relationship Id="rId5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TPL-SWE1-001_SW 요구사항 명세서 템플릿</w:t>
      </w:r>
    </w:p>
    <w:p>
      <w:r>
        <w:rPr>
          <w:rFonts w:ascii="맑은 고딕" w:hAnsi="맑은 고딕" w:eastAsia="맑은 고딕"/>
          <w:b w:val="0"/>
          <w:i w:val="0"/>
          <w:color w:val="404040"/>
          <w:sz w:val="22"/>
        </w:rPr>
        <w:t>프로젝트 공학 산출물 작성용 빈 양식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템플릿 ID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TPL-SWE1-001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적용 프로세스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SWE.1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프로젝트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 문서 ID와 명칭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버전 및 베이스라인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작성자와 검토자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</w:r>
          </w:p>
        </w:tc>
      </w:tr>
    </w:tbl>
    <w:p/>
    <w:p>
      <w:pPr>
        <w:spacing w:before="200"/>
      </w:pPr>
      <w:r>
        <w:rPr>
          <w:rFonts w:ascii="맑은 고딕" w:hAnsi="맑은 고딕" w:eastAsia="맑은 고딕"/>
          <w:b w:val="0"/>
          <w:i w:val="0"/>
          <w:color w:val="595959"/>
          <w:sz w:val="17"/>
        </w:rPr>
        <w:t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w:t>
      </w:r>
    </w:p>
    <w:p>
      <w:r>
        <w:br w:type="page"/>
      </w:r>
    </w:p>
    <w:p>
      <w:pPr>
        <w:pStyle w:val="Heading1"/>
      </w:pPr>
      <w:r>
        <w:t>문서 통제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문서의 작성, 검토, 승인 책임과 적용 베이스라인을 식별한다. 실제 승인 상태와 검토 증거 위치를 구분해 기록한다.</w:t>
      </w:r>
    </w:p>
    <w:p>
      <w:pPr>
        <w:pStyle w:val="Heading2"/>
      </w:pPr>
      <w:r>
        <w:t>변경 이력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Revision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변경일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작성 역할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 내용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검토 상태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</w:tr>
    </w:tbl>
    <w:p>
      <w:pPr>
        <w:pStyle w:val="Heading2"/>
      </w:pPr>
      <w:r>
        <w:t>작성 검토 승인 상태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구분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역할 또는 성명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상태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일자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증거 위치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</w:tr>
    </w:tbl>
    <w:p>
      <w:pPr>
        <w:pStyle w:val="Heading2"/>
      </w:pPr>
      <w:r>
        <w:t>목차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Word의 자동 목차 기능으로 아래 제목을 갱신한다. 배포 전 페이지 번호와 제목 수준을 확인한다.</w:t>
      </w:r>
    </w:p>
    <w:p>
      <w:pPr>
        <w:pStyle w:val="Heading1"/>
      </w:pPr>
      <w:r>
        <w:t>1. 목적 및 적용범위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이 문서가 필요한 이유와 적용 대상, 사용 시점을 요약한다.</w:t>
      </w:r>
    </w:p>
    <w:p>
      <w:pPr>
        <w:pStyle w:val="Heading2"/>
      </w:pPr>
      <w:r>
        <w:t>1.1 목적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문서가 지원하는 개발 또는 검증 활동과 기대 결과를 기술한다.</w:t>
      </w:r>
    </w:p>
    <w:p>
      <w:pPr>
        <w:pStyle w:val="Heading2"/>
      </w:pPr>
      <w:r>
        <w:t>1.2 적용범위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적용할 제품, 소프트웨어 구성요소, 생명주기 단계와 대상 조직을 명시한다.</w:t>
      </w:r>
    </w:p>
    <w:p>
      <w:pPr>
        <w:pStyle w:val="Heading2"/>
      </w:pPr>
      <w:r>
        <w:t>1.3 적용 경계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포함 범위와 제외 범위, 외부 조직이나 상위 수준 산출물과의 경계를 구분한다.</w:t>
      </w:r>
    </w:p>
    <w:p>
      <w:pPr>
        <w:pStyle w:val="Heading1"/>
      </w:pPr>
      <w:r>
        <w:t>2. 요구사항 작성 및 판정 규칙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요구사항 문장 형식, 식별 규칙, 품질 기준과 검토 방법을 정의한다.</w:t>
      </w:r>
    </w:p>
    <w:p>
      <w:pPr>
        <w:pStyle w:val="Heading2"/>
      </w:pPr>
      <w:r>
        <w:t>2.1 식별 및 상태 규칙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요구사항 ID, 버전, 상태, 우선순위와 변경 통제 방법을 기록한다.</w:t>
      </w:r>
    </w:p>
    <w:p>
      <w:pPr>
        <w:pStyle w:val="Heading2"/>
      </w:pPr>
      <w:r>
        <w:t>2.2 품질 판정 기준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명확성, 원자성, 일관성, 검증 가능성과 추적성을 판단하는 기준을 적는다.</w:t>
      </w:r>
    </w:p>
    <w:p>
      <w:pPr>
        <w:pStyle w:val="Heading1"/>
      </w:pPr>
      <w:r>
        <w:t>3. 상태와 우선순위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사용하는 상태값과 우선순위의 의미, 전이 조건과 승인 책임을 정의한다.</w:t>
      </w:r>
    </w:p>
    <w:p>
      <w:pPr>
        <w:pStyle w:val="Heading1"/>
      </w:pPr>
      <w:r>
        <w:t>4. 기능 및 안전 관련 SW 요구사항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각 요구사항의 ID, 출처, 조건, 동작, 정량 기준, 검증 방법과 상태를 작성한다.</w:t>
      </w:r>
    </w:p>
    <w:p>
      <w:pPr>
        <w:pStyle w:val="Heading2"/>
      </w:pPr>
      <w:r>
        <w:t>4.1 기능 요구사항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정상 기능과 사용자 또는 외부 시스템 관점의 기대 동작을 검증 가능한 문장으로 기록한다.</w:t>
      </w:r>
    </w:p>
    <w:p>
      <w:pPr>
        <w:pStyle w:val="Heading2"/>
      </w:pPr>
      <w:r>
        <w:t>4.2 안전 관련 SW 요구사항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상위 안전 요구의 출처와 할당 근거를 유지하고 SW 수준의 조건, 동작과 허용 기준을 기술한다.</w:t>
      </w:r>
    </w:p>
    <w:p>
      <w:pPr>
        <w:pStyle w:val="Heading1"/>
      </w:pPr>
      <w:r>
        <w:t>5. 입력 데이터 사전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입력 신호와 데이터의 명칭, 자료형, 단위, 범위, 유효성 조건과 오류 처리를 정의한다.</w:t>
      </w:r>
    </w:p>
    <w:p>
      <w:pPr>
        <w:pStyle w:val="Heading1"/>
      </w:pPr>
      <w:r>
        <w:t>6. 외부 인터페이스 요구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외부 시스템, 하드웨어, 통신 또는 사용자 인터페이스별 입력, 출력과 오류 계약을 작성한다.</w:t>
      </w:r>
    </w:p>
    <w:p>
      <w:pPr>
        <w:pStyle w:val="Heading1"/>
      </w:pPr>
      <w:r>
        <w:t>7. 비기능 및 환경 제약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성능, 자원, 신뢰성, 사용 환경, 도구와 플랫폼 제약을 측정 가능한 기준으로 기록한다.</w:t>
      </w:r>
    </w:p>
    <w:p>
      <w:pPr>
        <w:pStyle w:val="Heading1"/>
      </w:pPr>
      <w:r>
        <w:t>8. 분석 결과와 가정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요구사항 분석에서 확인한 가정, 의존성, 상충 사항과 미결정을 기록한다.</w:t>
      </w:r>
    </w:p>
    <w:p>
      <w:pPr>
        <w:pStyle w:val="Heading1"/>
      </w:pPr>
      <w:r>
        <w:t>9. 하향 할당 및 검증 계획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요구사항별 설계 할당 대상, 검증 수준, 방법과 계획된 증거를 연결한다.</w:t>
      </w:r>
    </w:p>
    <w:p>
      <w:pPr>
        <w:pStyle w:val="Heading1"/>
      </w:pPr>
      <w:r>
        <w:t>10. 범위 밖 주장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이 문서와 관련 증거만으로 주장할 수 없는 시험 수준, 인증 또는 적합성 범위를 명시한다.</w:t>
      </w:r>
    </w:p>
    <w:p>
      <w:pPr>
        <w:pStyle w:val="Heading1"/>
      </w:pPr>
      <w:r>
        <w:t>11. 추적성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상위 요구사항, Use Case, 설계, 코드와 검증 산출물의 양방향 연결 규칙과 위치를 기록한다.</w:t>
      </w:r>
    </w:p>
    <w:p>
      <w:pPr>
        <w:pStyle w:val="Heading1"/>
      </w:pPr>
      <w:r>
        <w:t>12. 참고자료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적용한 표준, 고객 입력, 법규와 기술 자료의 식별정보, 버전과 적용 범위를 적는다.</w:t>
      </w:r>
    </w:p>
    <w:sectPr w:rsidR="00FC693F" w:rsidRPr="0006063C" w:rsidSect="00034616">
      <w:footerReference w:type="default" r:id="rId9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666666"/>
        <w:sz w:val="16"/>
      </w:rPr>
      <w:t>교육용 샘플 | © 2026 Synetics | 과정 밖 이용은 사전 서면 승인 필요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vt:lpwstr>
  </property>
</Properties>
</file>