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11" w:rsidRDefault="002052F4">
      <w:r>
        <w:rPr>
          <w:rFonts w:hint="eastAsia"/>
        </w:rPr>
        <w:t>Assignment 3 Report</w:t>
      </w:r>
    </w:p>
    <w:p w:rsidR="002052F4" w:rsidRDefault="002052F4"/>
    <w:p w:rsidR="002052F4" w:rsidRDefault="002052F4" w:rsidP="00205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According </w:t>
      </w:r>
      <w:r>
        <w:t>to the random process given here, it’s easy to get a formula for the underlying asset price at maturity:</w:t>
      </w:r>
    </w:p>
    <w:p w:rsidR="002052F4" w:rsidRDefault="002052F4" w:rsidP="002052F4">
      <w:pPr>
        <w:pStyle w:val="a3"/>
        <w:ind w:left="360" w:firstLineChars="0" w:firstLine="0"/>
      </w:pPr>
      <w:r w:rsidRPr="002052F4">
        <w:rPr>
          <w:position w:val="-18"/>
        </w:rPr>
        <w:object w:dxaOrig="459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95pt;height:26.15pt" o:ole="">
            <v:imagedata r:id="rId5" o:title=""/>
          </v:shape>
          <o:OLEObject Type="Embed" ProgID="Equation.DSMT4" ShapeID="_x0000_i1025" DrawAspect="Content" ObjectID="_1563913291" r:id="rId6"/>
        </w:object>
      </w:r>
      <w:r>
        <w:t xml:space="preserve"> </w:t>
      </w:r>
    </w:p>
    <w:p w:rsidR="002052F4" w:rsidRDefault="002052F4" w:rsidP="002052F4">
      <w:pPr>
        <w:pStyle w:val="a3"/>
        <w:ind w:left="360" w:firstLineChars="0" w:firstLine="0"/>
      </w:pPr>
      <w:r>
        <w:t>The integral in the above formula is just a Normal variable, therefore, the underlying price has a normal distribution with:</w:t>
      </w:r>
    </w:p>
    <w:p w:rsidR="002052F4" w:rsidRDefault="002052F4" w:rsidP="002052F4">
      <w:pPr>
        <w:pStyle w:val="a3"/>
        <w:ind w:left="360" w:firstLineChars="0" w:firstLine="0"/>
      </w:pPr>
      <w:r w:rsidRPr="002052F4">
        <w:rPr>
          <w:position w:val="-46"/>
        </w:rPr>
        <w:object w:dxaOrig="2500" w:dyaOrig="1040">
          <v:shape id="_x0000_i1026" type="#_x0000_t75" style="width:124.85pt;height:52.25pt" o:ole="">
            <v:imagedata r:id="rId7" o:title=""/>
          </v:shape>
          <o:OLEObject Type="Embed" ProgID="Equation.DSMT4" ShapeID="_x0000_i1026" DrawAspect="Content" ObjectID="_1563913292" r:id="rId8"/>
        </w:object>
      </w:r>
      <w:r>
        <w:t xml:space="preserve"> </w:t>
      </w:r>
    </w:p>
    <w:p w:rsidR="002052F4" w:rsidRDefault="002052F4" w:rsidP="002052F4">
      <w:pPr>
        <w:pStyle w:val="a3"/>
        <w:ind w:left="360" w:firstLineChars="0" w:firstLine="0"/>
      </w:pPr>
      <w:r>
        <w:t>To get the price path, we directly sample from the normal distribution with mean and standard deviation given above.</w:t>
      </w:r>
    </w:p>
    <w:p w:rsidR="002052F4" w:rsidRDefault="005B2EC4" w:rsidP="005B2EC4">
      <w:pPr>
        <w:pStyle w:val="a3"/>
        <w:numPr>
          <w:ilvl w:val="0"/>
          <w:numId w:val="2"/>
        </w:numPr>
        <w:ind w:firstLineChars="0"/>
      </w:pPr>
      <w:r>
        <w:t>We simulate from N = 1000 to N = 1000000</w:t>
      </w:r>
      <w:r w:rsidR="003B1213">
        <w:t>, confidence interval is for 95% significance level</w:t>
      </w:r>
    </w:p>
    <w:p w:rsidR="005B2EC4" w:rsidRDefault="005B2EC4" w:rsidP="005B2EC4">
      <w:pPr>
        <w:pStyle w:val="a3"/>
        <w:ind w:left="720" w:firstLineChars="0" w:firstLine="0"/>
        <w:rPr>
          <w:rFonts w:hint="eastAsia"/>
        </w:rPr>
      </w:pPr>
      <w:r>
        <w:t>Simulation without antithetic variable: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1477"/>
        <w:gridCol w:w="1515"/>
        <w:gridCol w:w="1523"/>
        <w:gridCol w:w="1526"/>
      </w:tblGrid>
      <w:tr w:rsidR="005B2EC4" w:rsidTr="005B2EC4"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onfi_</w:t>
            </w:r>
            <w:r>
              <w:t>L</w:t>
            </w:r>
            <w:proofErr w:type="spellEnd"/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Confi_H</w:t>
            </w:r>
            <w:proofErr w:type="spellEnd"/>
          </w:p>
        </w:tc>
        <w:tc>
          <w:tcPr>
            <w:tcW w:w="1660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SD</w:t>
            </w:r>
          </w:p>
        </w:tc>
      </w:tr>
      <w:tr w:rsidR="005B2EC4" w:rsidTr="005B2EC4"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 w:rsidRPr="005B2EC4">
              <w:t>5.06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4.72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5.39</w:t>
            </w:r>
          </w:p>
        </w:tc>
        <w:tc>
          <w:tcPr>
            <w:tcW w:w="1660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0.17208</w:t>
            </w:r>
          </w:p>
        </w:tc>
      </w:tr>
      <w:tr w:rsidR="005B2EC4" w:rsidTr="005B2EC4"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4.83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4.72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4.93</w:t>
            </w:r>
          </w:p>
        </w:tc>
        <w:tc>
          <w:tcPr>
            <w:tcW w:w="1660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0.05461</w:t>
            </w:r>
          </w:p>
        </w:tc>
      </w:tr>
      <w:tr w:rsidR="005B2EC4" w:rsidTr="005B2EC4"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4.95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4.92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4.98</w:t>
            </w:r>
          </w:p>
        </w:tc>
        <w:tc>
          <w:tcPr>
            <w:tcW w:w="1660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0.01732</w:t>
            </w:r>
          </w:p>
        </w:tc>
      </w:tr>
      <w:tr w:rsidR="005B2EC4" w:rsidTr="005B2EC4"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1000000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4.92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4.91</w:t>
            </w:r>
          </w:p>
        </w:tc>
        <w:tc>
          <w:tcPr>
            <w:tcW w:w="1659" w:type="dxa"/>
          </w:tcPr>
          <w:p w:rsidR="005B2EC4" w:rsidRDefault="005B2EC4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4.93</w:t>
            </w:r>
          </w:p>
        </w:tc>
        <w:tc>
          <w:tcPr>
            <w:tcW w:w="1660" w:type="dxa"/>
          </w:tcPr>
          <w:p w:rsidR="005B2EC4" w:rsidRDefault="00656371" w:rsidP="005B2EC4">
            <w:pPr>
              <w:pStyle w:val="a3"/>
              <w:ind w:firstLineChars="0" w:firstLine="0"/>
            </w:pPr>
            <w:r>
              <w:rPr>
                <w:rFonts w:hint="eastAsia"/>
              </w:rPr>
              <w:t>0.</w:t>
            </w:r>
            <w:r>
              <w:t>00547</w:t>
            </w:r>
          </w:p>
        </w:tc>
      </w:tr>
    </w:tbl>
    <w:p w:rsidR="00CA7EFA" w:rsidRDefault="00CA7EFA" w:rsidP="00CA7EFA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3924833" cy="2616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049" cy="26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C4" w:rsidRDefault="005B2EC4" w:rsidP="005B2EC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Simulation with antithetic variable: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1477"/>
        <w:gridCol w:w="1515"/>
        <w:gridCol w:w="1523"/>
        <w:gridCol w:w="1526"/>
      </w:tblGrid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onfi_</w:t>
            </w:r>
            <w:r>
              <w:t>L</w:t>
            </w:r>
            <w:proofErr w:type="spellEnd"/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Confi_H</w:t>
            </w:r>
            <w:proofErr w:type="spellEnd"/>
          </w:p>
        </w:tc>
        <w:tc>
          <w:tcPr>
            <w:tcW w:w="1660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SD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4.93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4.81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5.06</w:t>
            </w:r>
          </w:p>
        </w:tc>
        <w:tc>
          <w:tcPr>
            <w:tcW w:w="1660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0.06493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4.94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4.98</w:t>
            </w:r>
          </w:p>
        </w:tc>
        <w:tc>
          <w:tcPr>
            <w:tcW w:w="1660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0.02011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4.92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4.93</w:t>
            </w:r>
          </w:p>
        </w:tc>
        <w:tc>
          <w:tcPr>
            <w:tcW w:w="1660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0.00636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4.92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4.92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4.93</w:t>
            </w:r>
          </w:p>
        </w:tc>
        <w:tc>
          <w:tcPr>
            <w:tcW w:w="1660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0.00201</w:t>
            </w:r>
          </w:p>
        </w:tc>
      </w:tr>
    </w:tbl>
    <w:p w:rsidR="005B2EC4" w:rsidRDefault="00CA7EFA" w:rsidP="00CA7EFA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345162" cy="2897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1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52" cy="29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13" w:rsidRDefault="00D4685A" w:rsidP="005B2EC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For the put option case, it</w:t>
      </w:r>
      <w:r>
        <w:t>’s easy to see we achieve the variance reduction.</w:t>
      </w:r>
    </w:p>
    <w:p w:rsidR="005B2EC4" w:rsidRDefault="005B2EC4" w:rsidP="005B2EC4">
      <w:pPr>
        <w:pStyle w:val="a3"/>
        <w:numPr>
          <w:ilvl w:val="0"/>
          <w:numId w:val="2"/>
        </w:numPr>
        <w:ind w:firstLineChars="0"/>
      </w:pPr>
      <w:r>
        <w:t>We simulate from N = 1000 to N = 1000000</w:t>
      </w:r>
      <w:r w:rsidR="003B1213">
        <w:t>, confidence interval is for 95% significance level</w:t>
      </w:r>
    </w:p>
    <w:p w:rsidR="005B2EC4" w:rsidRDefault="005B2EC4" w:rsidP="005B2EC4">
      <w:pPr>
        <w:pStyle w:val="a3"/>
        <w:ind w:left="720" w:firstLineChars="0" w:firstLine="0"/>
      </w:pPr>
      <w:r>
        <w:t>Simulation without antithetic variable: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1477"/>
        <w:gridCol w:w="1515"/>
        <w:gridCol w:w="1523"/>
        <w:gridCol w:w="1526"/>
      </w:tblGrid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onfi_</w:t>
            </w:r>
            <w:r>
              <w:t>L</w:t>
            </w:r>
            <w:proofErr w:type="spellEnd"/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Confi_H</w:t>
            </w:r>
            <w:proofErr w:type="spellEnd"/>
          </w:p>
        </w:tc>
        <w:tc>
          <w:tcPr>
            <w:tcW w:w="1660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SD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6.68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6.38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6.99</w:t>
            </w:r>
          </w:p>
        </w:tc>
        <w:tc>
          <w:tcPr>
            <w:tcW w:w="1660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0.15348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6.55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6.45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6.64</w:t>
            </w:r>
          </w:p>
        </w:tc>
        <w:tc>
          <w:tcPr>
            <w:tcW w:w="1660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0.04945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6.60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6.57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6.63</w:t>
            </w:r>
          </w:p>
        </w:tc>
        <w:tc>
          <w:tcPr>
            <w:tcW w:w="1660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0.01563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6.59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6.58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6.60</w:t>
            </w:r>
          </w:p>
        </w:tc>
        <w:tc>
          <w:tcPr>
            <w:tcW w:w="1660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0.00494</w:t>
            </w:r>
          </w:p>
        </w:tc>
      </w:tr>
    </w:tbl>
    <w:p w:rsidR="00CA7EFA" w:rsidRDefault="00CA7EFA" w:rsidP="00D4685A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4160807" cy="27742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1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74" cy="27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C4" w:rsidRDefault="005B2EC4" w:rsidP="005B2EC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Simulation with antithetic variable: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1477"/>
        <w:gridCol w:w="1515"/>
        <w:gridCol w:w="1523"/>
        <w:gridCol w:w="1526"/>
      </w:tblGrid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onfi_</w:t>
            </w:r>
            <w:r>
              <w:t>L</w:t>
            </w:r>
            <w:proofErr w:type="spellEnd"/>
          </w:p>
        </w:tc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Confi_H</w:t>
            </w:r>
            <w:proofErr w:type="spellEnd"/>
          </w:p>
        </w:tc>
        <w:tc>
          <w:tcPr>
            <w:tcW w:w="1660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SD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6.61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6.35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6.86</w:t>
            </w:r>
          </w:p>
        </w:tc>
        <w:tc>
          <w:tcPr>
            <w:tcW w:w="1660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0.12986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6.62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6.54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6.70</w:t>
            </w:r>
          </w:p>
        </w:tc>
        <w:tc>
          <w:tcPr>
            <w:tcW w:w="1660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0.04022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6.57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6.55</w:t>
            </w:r>
          </w:p>
        </w:tc>
        <w:tc>
          <w:tcPr>
            <w:tcW w:w="1659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6.60</w:t>
            </w:r>
          </w:p>
        </w:tc>
        <w:tc>
          <w:tcPr>
            <w:tcW w:w="1660" w:type="dxa"/>
          </w:tcPr>
          <w:p w:rsidR="005B2EC4" w:rsidRDefault="00656371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0.01272</w:t>
            </w:r>
          </w:p>
        </w:tc>
      </w:tr>
      <w:tr w:rsidR="005B2EC4" w:rsidTr="00DC52A6">
        <w:tc>
          <w:tcPr>
            <w:tcW w:w="1659" w:type="dxa"/>
          </w:tcPr>
          <w:p w:rsidR="005B2EC4" w:rsidRDefault="005B2EC4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1000000</w:t>
            </w:r>
          </w:p>
        </w:tc>
        <w:tc>
          <w:tcPr>
            <w:tcW w:w="1659" w:type="dxa"/>
          </w:tcPr>
          <w:p w:rsidR="005B2EC4" w:rsidRDefault="003B1213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6.58</w:t>
            </w:r>
          </w:p>
        </w:tc>
        <w:tc>
          <w:tcPr>
            <w:tcW w:w="1659" w:type="dxa"/>
          </w:tcPr>
          <w:p w:rsidR="005B2EC4" w:rsidRDefault="003B1213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6.58</w:t>
            </w:r>
          </w:p>
        </w:tc>
        <w:tc>
          <w:tcPr>
            <w:tcW w:w="1659" w:type="dxa"/>
          </w:tcPr>
          <w:p w:rsidR="005B2EC4" w:rsidRDefault="003B1213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6.59</w:t>
            </w:r>
          </w:p>
        </w:tc>
        <w:tc>
          <w:tcPr>
            <w:tcW w:w="1660" w:type="dxa"/>
          </w:tcPr>
          <w:p w:rsidR="005B2EC4" w:rsidRDefault="003B1213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0.00402</w:t>
            </w:r>
          </w:p>
        </w:tc>
      </w:tr>
    </w:tbl>
    <w:p w:rsidR="005B2EC4" w:rsidRDefault="00D4685A" w:rsidP="00D4685A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4182929" cy="27889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73" cy="27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A" w:rsidRDefault="00D4685A" w:rsidP="00D4685A">
      <w:pPr>
        <w:pStyle w:val="a3"/>
        <w:ind w:left="720" w:firstLineChars="0" w:firstLine="0"/>
      </w:pPr>
      <w:r>
        <w:rPr>
          <w:rFonts w:hint="eastAsia"/>
        </w:rPr>
        <w:t>For the payoff in (</w:t>
      </w:r>
      <w:r>
        <w:t>b</w:t>
      </w:r>
      <w:r>
        <w:rPr>
          <w:rFonts w:hint="eastAsia"/>
        </w:rPr>
        <w:t>)</w:t>
      </w:r>
      <w:r>
        <w:t xml:space="preserve">, we do not achieve significant variance reduction, because the payoff function is not monotone. </w:t>
      </w:r>
    </w:p>
    <w:p w:rsidR="00D4685A" w:rsidRDefault="00C00942" w:rsidP="00C00942">
      <w:pPr>
        <w:pStyle w:val="a3"/>
        <w:numPr>
          <w:ilvl w:val="0"/>
          <w:numId w:val="1"/>
        </w:numPr>
        <w:ind w:firstLineChars="0"/>
      </w:pPr>
      <w:r>
        <w:t xml:space="preserve">Here we have correlated Brownian motion, we can simulate from independent Brownian motion and then create Brownian motion. Suppose the Correlation matrix is C, we can do the </w:t>
      </w:r>
      <w:proofErr w:type="spellStart"/>
      <w:r>
        <w:t>Cholesky</w:t>
      </w:r>
      <w:proofErr w:type="spellEnd"/>
      <w:r>
        <w:t xml:space="preserve"> decomposition to get the C = AA’, where A is a lower triangular matrix. Then, we can create correlated Brownian motions as</w:t>
      </w:r>
      <w:r w:rsidR="00CB0DBC">
        <w:t xml:space="preserve"> W = AZ, Z is independent Brownian motions.</w:t>
      </w:r>
    </w:p>
    <w:p w:rsidR="00CB0DBC" w:rsidRDefault="00CB0DBC" w:rsidP="00CB0DBC">
      <w:pPr>
        <w:pStyle w:val="a3"/>
        <w:ind w:left="360" w:firstLineChars="0" w:firstLine="0"/>
      </w:pPr>
      <w:r>
        <w:t>The correlation matrix C shown as below:</w:t>
      </w:r>
    </w:p>
    <w:p w:rsidR="00CB0DBC" w:rsidRDefault="00CB0DBC" w:rsidP="00CB0D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964594" cy="166044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x_cor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07" cy="16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42" w:rsidRDefault="00CB0DBC" w:rsidP="00C0094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decomposition will give A as:</w:t>
      </w:r>
    </w:p>
    <w:p w:rsidR="00CB0DBC" w:rsidRDefault="008C47B6" w:rsidP="00C0094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905600" cy="29943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rix_decomposi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84" cy="30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B6" w:rsidRDefault="008C47B6" w:rsidP="008C47B6">
      <w:pPr>
        <w:pStyle w:val="a3"/>
        <w:numPr>
          <w:ilvl w:val="0"/>
          <w:numId w:val="4"/>
        </w:numPr>
        <w:ind w:firstLineChars="0"/>
      </w:pPr>
      <w:r>
        <w:t>Every asset will have a price at the maturity of :</w:t>
      </w:r>
    </w:p>
    <w:p w:rsidR="008C47B6" w:rsidRDefault="008C47B6" w:rsidP="008C47B6">
      <w:pPr>
        <w:pStyle w:val="a3"/>
        <w:ind w:left="360" w:firstLineChars="0" w:firstLine="0"/>
      </w:pPr>
      <w:r w:rsidRPr="008C47B6">
        <w:rPr>
          <w:position w:val="-24"/>
        </w:rPr>
        <w:object w:dxaOrig="3920" w:dyaOrig="620">
          <v:shape id="_x0000_i1027" type="#_x0000_t75" style="width:196.25pt;height:30.75pt" o:ole="">
            <v:imagedata r:id="rId15" o:title=""/>
          </v:shape>
          <o:OLEObject Type="Embed" ProgID="Equation.DSMT4" ShapeID="_x0000_i1027" DrawAspect="Content" ObjectID="_1563913293" r:id="rId16"/>
        </w:object>
      </w:r>
      <w:r>
        <w:t xml:space="preserve"> </w:t>
      </w:r>
    </w:p>
    <w:p w:rsidR="008C47B6" w:rsidRDefault="00C2792C" w:rsidP="008C47B6">
      <w:pPr>
        <w:pStyle w:val="a3"/>
        <w:ind w:left="360" w:firstLineChars="0" w:firstLine="0"/>
      </w:pPr>
      <w:r w:rsidRPr="008C47B6">
        <w:rPr>
          <w:position w:val="-14"/>
        </w:rPr>
        <w:object w:dxaOrig="3040" w:dyaOrig="380">
          <v:shape id="_x0000_i1028" type="#_x0000_t75" style="width:152.15pt;height:19.15pt" o:ole="">
            <v:imagedata r:id="rId17" o:title=""/>
          </v:shape>
          <o:OLEObject Type="Embed" ProgID="Equation.DSMT4" ShapeID="_x0000_i1028" DrawAspect="Content" ObjectID="_1563913294" r:id="rId18"/>
        </w:object>
      </w:r>
      <w:r w:rsidR="008C47B6">
        <w:t xml:space="preserve"> </w:t>
      </w:r>
    </w:p>
    <w:p w:rsidR="00C2792C" w:rsidRDefault="00C2792C" w:rsidP="008C47B6">
      <w:pPr>
        <w:pStyle w:val="a3"/>
        <w:ind w:left="360" w:firstLineChars="0" w:firstLine="0"/>
      </w:pPr>
      <w:r>
        <w:rPr>
          <w:rFonts w:hint="eastAsia"/>
        </w:rPr>
        <w:t xml:space="preserve">Simulate </w:t>
      </w:r>
      <w:r>
        <w:t>from independent Brownian motion Z and get correlated Brownian motion W</w:t>
      </w:r>
      <w:r w:rsidR="00697443">
        <w:t xml:space="preserve"> = AZ</w:t>
      </w:r>
      <w:r>
        <w:t>.</w:t>
      </w:r>
    </w:p>
    <w:p w:rsidR="00C00942" w:rsidRDefault="008C47B6" w:rsidP="008C47B6">
      <w:pPr>
        <w:pStyle w:val="a3"/>
        <w:ind w:left="360" w:firstLineChars="0" w:firstLine="0"/>
      </w:pPr>
      <w:r>
        <w:t>F</w:t>
      </w:r>
      <w:r>
        <w:rPr>
          <w:rFonts w:hint="eastAsia"/>
        </w:rPr>
        <w:t xml:space="preserve">rom </w:t>
      </w:r>
      <w:r>
        <w:t xml:space="preserve">monte </w:t>
      </w:r>
      <w:proofErr w:type="spellStart"/>
      <w:proofErr w:type="gramStart"/>
      <w:r>
        <w:t>carlo</w:t>
      </w:r>
      <w:proofErr w:type="spellEnd"/>
      <w:proofErr w:type="gramEnd"/>
      <w:r>
        <w:t xml:space="preserve"> simulation we can get the following result</w:t>
      </w:r>
      <w:r w:rsidR="00C2792C">
        <w:t>, confidence interval is for 95% significance level</w:t>
      </w:r>
      <w: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33"/>
        <w:gridCol w:w="1485"/>
        <w:gridCol w:w="1513"/>
        <w:gridCol w:w="1521"/>
        <w:gridCol w:w="1524"/>
      </w:tblGrid>
      <w:tr w:rsidR="008C47B6" w:rsidTr="00DC52A6"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onfi_</w:t>
            </w:r>
            <w:r>
              <w:t>L</w:t>
            </w:r>
            <w:proofErr w:type="spellEnd"/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Confi_H</w:t>
            </w:r>
            <w:proofErr w:type="spellEnd"/>
          </w:p>
        </w:tc>
        <w:tc>
          <w:tcPr>
            <w:tcW w:w="1660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SD</w:t>
            </w:r>
          </w:p>
        </w:tc>
      </w:tr>
      <w:tr w:rsidR="008C47B6" w:rsidTr="00DC52A6"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56.47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52.54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60.39</w:t>
            </w:r>
          </w:p>
        </w:tc>
        <w:tc>
          <w:tcPr>
            <w:tcW w:w="1660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2.00139</w:t>
            </w:r>
          </w:p>
        </w:tc>
      </w:tr>
      <w:tr w:rsidR="008C47B6" w:rsidTr="00DC52A6"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54.45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53.24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55.66</w:t>
            </w:r>
          </w:p>
        </w:tc>
        <w:tc>
          <w:tcPr>
            <w:tcW w:w="1660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0.61647</w:t>
            </w:r>
          </w:p>
        </w:tc>
      </w:tr>
      <w:tr w:rsidR="008C47B6" w:rsidTr="00DC52A6"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54.71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54.34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55.09</w:t>
            </w:r>
          </w:p>
        </w:tc>
        <w:tc>
          <w:tcPr>
            <w:tcW w:w="1660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0.19329</w:t>
            </w:r>
          </w:p>
        </w:tc>
      </w:tr>
      <w:tr w:rsidR="008C47B6" w:rsidTr="00DC52A6"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1000000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54.51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54.39</w:t>
            </w:r>
          </w:p>
        </w:tc>
        <w:tc>
          <w:tcPr>
            <w:tcW w:w="1659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54.62</w:t>
            </w:r>
          </w:p>
        </w:tc>
        <w:tc>
          <w:tcPr>
            <w:tcW w:w="1660" w:type="dxa"/>
          </w:tcPr>
          <w:p w:rsidR="008C47B6" w:rsidRDefault="008C47B6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0.06099</w:t>
            </w:r>
          </w:p>
        </w:tc>
      </w:tr>
    </w:tbl>
    <w:p w:rsidR="008C47B6" w:rsidRDefault="00C2792C" w:rsidP="00C2792C">
      <w:pPr>
        <w:pStyle w:val="a3"/>
        <w:numPr>
          <w:ilvl w:val="0"/>
          <w:numId w:val="4"/>
        </w:numPr>
        <w:ind w:firstLineChars="0"/>
      </w:pPr>
      <w:r>
        <w:t>From the results in a, we verify the results from simulation, it converge when number of simulation N increase.</w:t>
      </w:r>
    </w:p>
    <w:p w:rsidR="00C2792C" w:rsidRDefault="00697443" w:rsidP="00C2792C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90852" cy="326096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2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155" cy="32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43" w:rsidRDefault="00AD19D3" w:rsidP="006974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  <w:r>
        <w:t xml:space="preserve"> control variate with geometrical average has a positive correlation with the arithmetic average. For the geometrical average here, we can get the expectation analytically, so we can use it as a control variate. </w:t>
      </w:r>
    </w:p>
    <w:p w:rsidR="00AD19D3" w:rsidRDefault="00AD19D3" w:rsidP="00AD19D3">
      <w:pPr>
        <w:pStyle w:val="a3"/>
        <w:ind w:left="360" w:firstLineChars="0" w:firstLine="0"/>
      </w:pPr>
      <w:r w:rsidRPr="00AD19D3">
        <w:rPr>
          <w:position w:val="-24"/>
        </w:rPr>
        <w:object w:dxaOrig="6360" w:dyaOrig="660">
          <v:shape id="_x0000_i1029" type="#_x0000_t75" style="width:318.2pt;height:33.1pt" o:ole="">
            <v:imagedata r:id="rId20" o:title=""/>
          </v:shape>
          <o:OLEObject Type="Embed" ProgID="Equation.DSMT4" ShapeID="_x0000_i1029" DrawAspect="Content" ObjectID="_1563913295" r:id="rId21"/>
        </w:object>
      </w:r>
      <w:r>
        <w:t xml:space="preserve"> </w:t>
      </w:r>
    </w:p>
    <w:p w:rsidR="00AD19D3" w:rsidRDefault="00AD19D3" w:rsidP="00AD19D3">
      <w:pPr>
        <w:pStyle w:val="a3"/>
        <w:ind w:left="360" w:firstLineChars="0" w:firstLine="0"/>
      </w:pPr>
      <w:r>
        <w:t>Recall that W = AZ, it’s easy to prove that the average of the Brownian motion is still a normal random variable, therefore we can use BS model to price the geometrical average option, and take it as a control variate here.</w:t>
      </w:r>
    </w:p>
    <w:p w:rsidR="00AD19D3" w:rsidRDefault="00A2408F" w:rsidP="00AD19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It</w:t>
      </w:r>
      <w:r>
        <w:t xml:space="preserve">’ easy to show that </w:t>
      </w:r>
    </w:p>
    <w:p w:rsidR="00A2408F" w:rsidRDefault="00A2408F" w:rsidP="00A2408F">
      <w:pPr>
        <w:pStyle w:val="a3"/>
        <w:ind w:left="360" w:firstLineChars="0" w:firstLine="0"/>
      </w:pPr>
      <w:r w:rsidRPr="00A2408F">
        <w:rPr>
          <w:position w:val="-24"/>
        </w:rPr>
        <w:object w:dxaOrig="4620" w:dyaOrig="639">
          <v:shape id="_x0000_i1030" type="#_x0000_t75" style="width:231.1pt;height:31.95pt" o:ole="">
            <v:imagedata r:id="rId22" o:title=""/>
          </v:shape>
          <o:OLEObject Type="Embed" ProgID="Equation.DSMT4" ShapeID="_x0000_i1030" DrawAspect="Content" ObjectID="_1563913296" r:id="rId23"/>
        </w:object>
      </w:r>
      <w:r>
        <w:t xml:space="preserve"> , where </w:t>
      </w:r>
      <w:r w:rsidRPr="00A2408F">
        <w:rPr>
          <w:position w:val="-12"/>
        </w:rPr>
        <w:object w:dxaOrig="279" w:dyaOrig="360">
          <v:shape id="_x0000_i1031" type="#_x0000_t75" style="width:13.95pt;height:18pt" o:ole="">
            <v:imagedata r:id="rId24" o:title=""/>
          </v:shape>
          <o:OLEObject Type="Embed" ProgID="Equation.DSMT4" ShapeID="_x0000_i1031" DrawAspect="Content" ObjectID="_1563913297" r:id="rId25"/>
        </w:object>
      </w:r>
      <w:r>
        <w:t xml:space="preserve"> is independent Brownian motion and coefficients as follows:</w:t>
      </w:r>
    </w:p>
    <w:p w:rsidR="00A2408F" w:rsidRDefault="00A2408F" w:rsidP="00A2408F">
      <w:pPr>
        <w:pStyle w:val="a3"/>
        <w:ind w:left="360" w:firstLineChars="0" w:firstLine="0"/>
      </w:pPr>
      <w:r w:rsidRPr="00A2408F">
        <w:rPr>
          <w:position w:val="-24"/>
        </w:rPr>
        <w:object w:dxaOrig="2380" w:dyaOrig="639">
          <v:shape id="_x0000_i1032" type="#_x0000_t75" style="width:119.05pt;height:31.95pt" o:ole="">
            <v:imagedata r:id="rId26" o:title=""/>
          </v:shape>
          <o:OLEObject Type="Embed" ProgID="Equation.DSMT4" ShapeID="_x0000_i1032" DrawAspect="Content" ObjectID="_1563913298" r:id="rId27"/>
        </w:object>
      </w:r>
      <w:r>
        <w:t xml:space="preserve"> </w:t>
      </w:r>
    </w:p>
    <w:p w:rsidR="00A2408F" w:rsidRDefault="00A2408F" w:rsidP="00A2408F">
      <w:pPr>
        <w:pStyle w:val="a3"/>
        <w:ind w:left="360" w:firstLineChars="0" w:firstLine="0"/>
      </w:pPr>
      <w:r>
        <w:t>Denote the average as a new normal random variable with:</w:t>
      </w:r>
    </w:p>
    <w:p w:rsidR="00A2408F" w:rsidRDefault="00A2408F" w:rsidP="00A2408F">
      <w:pPr>
        <w:pStyle w:val="a3"/>
        <w:ind w:left="360" w:firstLineChars="0" w:firstLine="0"/>
      </w:pPr>
      <w:r w:rsidRPr="00A2408F">
        <w:rPr>
          <w:position w:val="-30"/>
        </w:rPr>
        <w:object w:dxaOrig="2640" w:dyaOrig="720">
          <v:shape id="_x0000_i1033" type="#_x0000_t75" style="width:131.8pt;height:36pt" o:ole="">
            <v:imagedata r:id="rId28" o:title=""/>
          </v:shape>
          <o:OLEObject Type="Embed" ProgID="Equation.DSMT4" ShapeID="_x0000_i1033" DrawAspect="Content" ObjectID="_1563913299" r:id="rId29"/>
        </w:object>
      </w:r>
      <w:r>
        <w:t xml:space="preserve"> </w:t>
      </w:r>
    </w:p>
    <w:p w:rsidR="00A2408F" w:rsidRDefault="00A2408F" w:rsidP="00A2408F">
      <w:pPr>
        <w:pStyle w:val="a3"/>
        <w:ind w:left="360" w:firstLineChars="0" w:firstLine="0"/>
      </w:pPr>
      <w:r>
        <w:t>The geometrical average option’s underlying asset price is:</w:t>
      </w:r>
    </w:p>
    <w:p w:rsidR="00A2408F" w:rsidRDefault="00C42508" w:rsidP="00A2408F">
      <w:pPr>
        <w:pStyle w:val="a3"/>
        <w:ind w:left="360" w:firstLineChars="0" w:firstLine="0"/>
      </w:pPr>
      <w:r w:rsidRPr="00A2408F">
        <w:rPr>
          <w:position w:val="-56"/>
        </w:rPr>
        <w:object w:dxaOrig="3920" w:dyaOrig="1240">
          <v:shape id="_x0000_i1034" type="#_x0000_t75" style="width:196.25pt;height:62.15pt" o:ole="">
            <v:imagedata r:id="rId30" o:title=""/>
          </v:shape>
          <o:OLEObject Type="Embed" ProgID="Equation.DSMT4" ShapeID="_x0000_i1034" DrawAspect="Content" ObjectID="_1563913300" r:id="rId31"/>
        </w:object>
      </w:r>
      <w:r w:rsidR="00A2408F">
        <w:t xml:space="preserve"> </w:t>
      </w:r>
    </w:p>
    <w:p w:rsidR="00C42508" w:rsidRDefault="00C42508" w:rsidP="00A2408F">
      <w:pPr>
        <w:pStyle w:val="a3"/>
        <w:ind w:left="360" w:firstLineChars="0" w:firstLine="0"/>
      </w:pPr>
      <w:r>
        <w:t>Then we can compute the price with BS formula, it’s 48.94</w:t>
      </w:r>
    </w:p>
    <w:p w:rsidR="00C42508" w:rsidRDefault="00C42508" w:rsidP="00A2408F">
      <w:pPr>
        <w:pStyle w:val="a3"/>
        <w:ind w:left="360" w:firstLineChars="0" w:firstLine="0"/>
      </w:pPr>
      <w:r>
        <w:lastRenderedPageBreak/>
        <w:t>Implement the control variate here, we get the following results: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33"/>
        <w:gridCol w:w="1485"/>
        <w:gridCol w:w="1513"/>
        <w:gridCol w:w="1521"/>
        <w:gridCol w:w="1524"/>
      </w:tblGrid>
      <w:tr w:rsidR="00C42508" w:rsidTr="00DC52A6"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onfi_</w:t>
            </w:r>
            <w:r>
              <w:t>L</w:t>
            </w:r>
            <w:proofErr w:type="spellEnd"/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Confi_H</w:t>
            </w:r>
            <w:proofErr w:type="spellEnd"/>
          </w:p>
        </w:tc>
        <w:tc>
          <w:tcPr>
            <w:tcW w:w="1660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SD</w:t>
            </w:r>
          </w:p>
        </w:tc>
      </w:tr>
      <w:tr w:rsidR="00C42508" w:rsidTr="00DC52A6"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54.52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54.20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54.85</w:t>
            </w:r>
          </w:p>
        </w:tc>
        <w:tc>
          <w:tcPr>
            <w:tcW w:w="1660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0.16562</w:t>
            </w:r>
          </w:p>
        </w:tc>
      </w:tr>
      <w:tr w:rsidR="00C42508" w:rsidTr="00DC52A6"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54.49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54.39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54.59</w:t>
            </w:r>
          </w:p>
        </w:tc>
        <w:tc>
          <w:tcPr>
            <w:tcW w:w="1660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0.05114</w:t>
            </w:r>
          </w:p>
        </w:tc>
      </w:tr>
      <w:tr w:rsidR="00C42508" w:rsidTr="00DC52A6"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54.54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54.51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54.57</w:t>
            </w:r>
          </w:p>
        </w:tc>
        <w:tc>
          <w:tcPr>
            <w:tcW w:w="1660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0.01621</w:t>
            </w:r>
          </w:p>
        </w:tc>
      </w:tr>
      <w:tr w:rsidR="00C42508" w:rsidTr="00DC52A6"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1000000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54.52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54.51</w:t>
            </w:r>
          </w:p>
        </w:tc>
        <w:tc>
          <w:tcPr>
            <w:tcW w:w="1659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54.53</w:t>
            </w:r>
          </w:p>
        </w:tc>
        <w:tc>
          <w:tcPr>
            <w:tcW w:w="1660" w:type="dxa"/>
          </w:tcPr>
          <w:p w:rsidR="00C42508" w:rsidRDefault="00C42508" w:rsidP="00DC52A6">
            <w:pPr>
              <w:pStyle w:val="a3"/>
              <w:ind w:firstLineChars="0" w:firstLine="0"/>
            </w:pPr>
            <w:r>
              <w:rPr>
                <w:rFonts w:hint="eastAsia"/>
              </w:rPr>
              <w:t>0.00512</w:t>
            </w:r>
          </w:p>
        </w:tc>
      </w:tr>
    </w:tbl>
    <w:p w:rsidR="00C42508" w:rsidRDefault="00CB2984" w:rsidP="00CB2984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794987" cy="3197043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2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18" cy="32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84" w:rsidRPr="00C00942" w:rsidRDefault="00CB2984" w:rsidP="00CB29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From the simulation result, it</w:t>
      </w:r>
      <w:r>
        <w:t>’s easy to see that when we have control variate, the variability of the estimator decrease a lot compared to the case without control variate.</w:t>
      </w:r>
      <w:bookmarkStart w:id="0" w:name="_GoBack"/>
      <w:bookmarkEnd w:id="0"/>
    </w:p>
    <w:sectPr w:rsidR="00CB2984" w:rsidRPr="00C00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C7D71"/>
    <w:multiLevelType w:val="hybridMultilevel"/>
    <w:tmpl w:val="5B90082C"/>
    <w:lvl w:ilvl="0" w:tplc="3D60D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A3680"/>
    <w:multiLevelType w:val="hybridMultilevel"/>
    <w:tmpl w:val="FA1EEC4A"/>
    <w:lvl w:ilvl="0" w:tplc="100CE0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F5AB5"/>
    <w:multiLevelType w:val="hybridMultilevel"/>
    <w:tmpl w:val="9BACBDA8"/>
    <w:lvl w:ilvl="0" w:tplc="E55A43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5D1CED"/>
    <w:multiLevelType w:val="hybridMultilevel"/>
    <w:tmpl w:val="450C530E"/>
    <w:lvl w:ilvl="0" w:tplc="CDBAE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F4"/>
    <w:rsid w:val="002052F4"/>
    <w:rsid w:val="00390111"/>
    <w:rsid w:val="003B1213"/>
    <w:rsid w:val="005B2EC4"/>
    <w:rsid w:val="00656371"/>
    <w:rsid w:val="00697443"/>
    <w:rsid w:val="007C4D26"/>
    <w:rsid w:val="008C47B6"/>
    <w:rsid w:val="00A2408F"/>
    <w:rsid w:val="00AD19D3"/>
    <w:rsid w:val="00C00942"/>
    <w:rsid w:val="00C2792C"/>
    <w:rsid w:val="00C42508"/>
    <w:rsid w:val="00CA7EFA"/>
    <w:rsid w:val="00CB0DBC"/>
    <w:rsid w:val="00CB2984"/>
    <w:rsid w:val="00D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7A144-66F2-47DC-AFB6-0657422D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2F4"/>
    <w:pPr>
      <w:ind w:firstLineChars="200" w:firstLine="420"/>
    </w:pPr>
  </w:style>
  <w:style w:type="table" w:styleId="a4">
    <w:name w:val="Table Grid"/>
    <w:basedOn w:val="a1"/>
    <w:uiPriority w:val="39"/>
    <w:rsid w:val="005B2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oleObject" Target="embeddings/oleObject7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4.wmf"/><Relationship Id="rId32" Type="http://schemas.openxmlformats.org/officeDocument/2006/relationships/image" Target="media/image18.png"/><Relationship Id="rId5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image" Target="media/image17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luo</dc:creator>
  <cp:keywords/>
  <dc:description/>
  <cp:lastModifiedBy>dong luo</cp:lastModifiedBy>
  <cp:revision>4</cp:revision>
  <dcterms:created xsi:type="dcterms:W3CDTF">2017-08-10T11:27:00Z</dcterms:created>
  <dcterms:modified xsi:type="dcterms:W3CDTF">2017-08-10T15:35:00Z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