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2E75B6"/>
          <w:sz w:val="30"/>
          <w:szCs w:val="30"/>
        </w:rPr>
        <w:t xml:space="preserve">BÁO CÁO SO SÁNH KẾT QUẢ HUẤN LUYỆN MÔ HÌNH</w:t>
      </w:r>
    </w:p>
    <w:p>
      <w:pPr>
        <w:spacing w:after="40"/>
        <w:jc w:val="center"/>
      </w:pPr>
      <w:r>
        <w:rPr>
          <w:i/>
          <w:iCs/>
          <w:sz w:val="22"/>
          <w:szCs w:val="22"/>
        </w:rPr>
        <w:t xml:space="preserve">Đề tài: Hệ thống phát hiện rò rỉ khí gas thông minh (IoT + LSTM + PPO)</w:t>
      </w:r>
    </w:p>
    <w:p>
      <w:pPr>
        <w:spacing w:after="240"/>
        <w:jc w:val="center"/>
      </w:pPr>
      <w:r>
        <w:rPr>
          <w:color w:val="666666"/>
          <w:sz w:val="20"/>
          <w:szCs w:val="20"/>
        </w:rPr>
        <w:t xml:space="preserve">Bản huấn luyện CŨ (v2) so với bản MỚI (v3) — Ngày 01/06/2026</w:t>
      </w:r>
    </w:p>
    <w:p>
      <w:pPr>
        <w:pStyle w:val="Heading1"/>
      </w:pPr>
      <w:r>
        <w:t xml:space="preserve">1. Tóm tắt nhanh</w:t>
      </w:r>
    </w:p>
    <w:p>
      <w:pPr>
        <w:spacing w:after="120" w:before="0"/>
      </w:pPr>
      <w:r>
        <w:rPr>
          <w:b/>
          <w:bCs/>
          <w:sz w:val="22"/>
          <w:szCs w:val="22"/>
        </w:rPr>
        <w:t xml:space="preserve">Kết luận: </w:t>
      </w:r>
      <w:r>
        <w:rPr>
          <w:sz w:val="22"/>
          <w:szCs w:val="22"/>
        </w:rPr>
        <w:t xml:space="preserve">Bản train mới (v3) </w:t>
      </w:r>
      <w:r>
        <w:rPr>
          <w:b/>
          <w:bCs/>
          <w:color w:val="2E7D32"/>
          <w:sz w:val="22"/>
          <w:szCs w:val="22"/>
        </w:rPr>
        <w:t xml:space="preserve">tốt hơn rõ rệt và đã đủ điều kiện đưa vào khóa luận.</w:t>
      </w:r>
      <w:r>
        <w:rPr>
          <w:sz w:val="22"/>
          <w:szCs w:val="22"/>
        </w:rPr>
        <w:t xml:space="preserve"> Mô hình LSTM gần như không đổi (vốn đã tốt), nhưng bộ điều khiển RL (PPO) cải thiện vượt bậc: từ chỗ chỉ ngang luật tay và thất bại với rò rỉ nhanh, nay vượt trội cả luật tay trên mọi chỉ số an toàn.</w:t>
      </w:r>
    </w:p>
    <w:p>
      <w:pPr>
        <w:pStyle w:val="Heading1"/>
      </w:pPr>
      <w:r>
        <w:t xml:space="preserve">2. Đã thay đổi những gì giữa hai lần train?</w:t>
      </w:r>
    </w:p>
    <w:p>
      <w:pPr>
        <w:spacing w:after="120" w:before="0"/>
      </w:pPr>
      <w:r>
        <w:rPr>
          <w:sz w:val="22"/>
          <w:szCs w:val="22"/>
        </w:rPr>
        <w:t xml:space="preserve">Mô hình LSTM giữ nguyên (kiến trúc, dữ liệu). Toàn bộ thay đổi nằm ở môi trường và hàm thưởng (reward) của RL:</w:t>
      </w:r>
    </w:p>
    <w:p>
      <w:pPr>
        <w:pStyle w:val="ListParagraph"/>
        <w:numPr>
          <w:ilvl w:val="0"/>
          <w:numId w:val="2"/>
        </w:numPr>
        <w:spacing w:after="80"/>
      </w:pPr>
      <w:r>
        <w:rPr>
          <w:b/>
          <w:bCs/>
          <w:sz w:val="22"/>
          <w:szCs w:val="22"/>
        </w:rPr>
        <w:t xml:space="preserve">Sửa lỗi reward hacking: </w:t>
      </w:r>
      <w:r>
        <w:rPr>
          <w:sz w:val="22"/>
          <w:szCs w:val="22"/>
        </w:rPr>
        <w:t xml:space="preserve">bỏ phần thưởng cố định +10 cho mỗi lần bấm quạt/van trong lúc rò rỉ (agent có thể “farm” điểm mà không thật sự kiềm chế khí).</w:t>
      </w:r>
    </w:p>
    <w:p>
      <w:pPr>
        <w:pStyle w:val="ListParagraph"/>
        <w:numPr>
          <w:ilvl w:val="0"/>
          <w:numId w:val="2"/>
        </w:numPr>
        <w:spacing w:after="80"/>
      </w:pPr>
      <w:r>
        <w:rPr>
          <w:b/>
          <w:bCs/>
          <w:sz w:val="22"/>
          <w:szCs w:val="22"/>
        </w:rPr>
        <w:t xml:space="preserve">Thưởng theo kết quả (+0,3/giây): </w:t>
      </w:r>
      <w:r>
        <w:rPr>
          <w:sz w:val="22"/>
          <w:szCs w:val="22"/>
        </w:rPr>
        <w:t xml:space="preserve">chỉ thưởng khi thực sự giữ được khí dưới ngưỡng trong lúc rò rỉ — buộc agent học đóng van cho rò rỉ nhanh (quạt không đủ mạnh).</w:t>
      </w:r>
    </w:p>
    <w:p>
      <w:pPr>
        <w:pStyle w:val="ListParagraph"/>
        <w:numPr>
          <w:ilvl w:val="0"/>
          <w:numId w:val="2"/>
        </w:numPr>
        <w:spacing w:after="80"/>
      </w:pPr>
      <w:r>
        <w:rPr>
          <w:b/>
          <w:bCs/>
          <w:sz w:val="22"/>
          <w:szCs w:val="22"/>
        </w:rPr>
        <w:t xml:space="preserve">Thêm holding cost + tự khôi phục: </w:t>
      </w:r>
      <w:r>
        <w:rPr>
          <w:sz w:val="22"/>
          <w:szCs w:val="22"/>
        </w:rPr>
        <w:t xml:space="preserve">phạt nhẹ khi giữ van/quạt lúc bình thường; van/quạt tự mở lại khi an toàn — mỗi sự kiện rò rỉ độc lập.</w:t>
      </w:r>
    </w:p>
    <w:p>
      <w:pPr>
        <w:pStyle w:val="ListParagraph"/>
        <w:numPr>
          <w:ilvl w:val="0"/>
          <w:numId w:val="2"/>
        </w:numPr>
        <w:spacing w:after="80"/>
      </w:pPr>
      <w:r>
        <w:rPr>
          <w:b/>
          <w:bCs/>
          <w:sz w:val="22"/>
          <w:szCs w:val="22"/>
        </w:rPr>
        <w:t xml:space="preserve">Tăng huấn luyện: </w:t>
      </w:r>
      <w:r>
        <w:rPr>
          <w:sz w:val="22"/>
          <w:szCs w:val="22"/>
        </w:rPr>
        <w:t xml:space="preserve">200.000 → 400.000 timesteps; dùng VecNormalize chuẩn hóa reward.</w:t>
      </w:r>
    </w:p>
    <w:p>
      <w:pPr>
        <w:pStyle w:val="Heading1"/>
      </w:pPr>
      <w:r>
        <w:t xml:space="preserve">3. So sánh số liệu (bộ điều khiển RL)</w:t>
      </w:r>
    </w:p>
    <w:p>
      <w:pPr>
        <w:spacing w:after="120" w:before="0"/>
      </w:pPr>
      <w:r>
        <w:rPr>
          <w:i/>
          <w:iCs/>
          <w:color w:val="666666"/>
          <w:sz w:val="22"/>
          <w:szCs w:val="22"/>
        </w:rPr>
        <w:t xml:space="preserve">Benchmark 3 seed × 4 giờ mô phỏng. miss = tỷ lệ sự kiện rò rỉ mà khí thực sự chạm 1000 ppm (càng thấp càng tốt).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980"/>
        <w:gridCol w:w="2980"/>
      </w:tblGrid>
      <w:tr>
        <w:trPr>
          <w:tblHeader/>
        </w:trPr>
        <w:tc>
          <w:tcPr>
            <w:tcW w:type="dxa" w:w="3400"/>
            <w:tcBorders>
              <w:top w:val="single" w:color="CCCCCC" w:sz="1"/>
              <w:left w:val="single" w:color="CCCCCC" w:sz="1"/>
              <w:bottom w:val="single" w:color="CCCCCC" w:sz="1"/>
              <w:right w:val="single" w:color="CCCCCC" w:sz="1"/>
            </w:tcBorders>
            <w:shd w:fill="2E75B6" w:val="clear"/>
            <w:tcMar>
              <w:top w:type="dxa" w:w="60"/>
              <w:left w:type="dxa" w:w="110"/>
              <w:bottom w:type="dxa" w:w="60"/>
              <w:right w:type="dxa" w:w="110"/>
            </w:tcMar>
          </w:tcPr>
          <w:p>
            <w:pPr>
              <w:jc w:val="center"/>
            </w:pPr>
            <w:r>
              <w:rPr>
                <w:b/>
                <w:bCs/>
                <w:color w:val="FFFFFF"/>
                <w:sz w:val="19"/>
                <w:szCs w:val="19"/>
              </w:rPr>
              <w:t xml:space="preserve">Chỉ số (RL)</w:t>
            </w:r>
          </w:p>
        </w:tc>
        <w:tc>
          <w:tcPr>
            <w:tcW w:type="dxa" w:w="2980"/>
            <w:tcBorders>
              <w:top w:val="single" w:color="CCCCCC" w:sz="1"/>
              <w:left w:val="single" w:color="CCCCCC" w:sz="1"/>
              <w:bottom w:val="single" w:color="CCCCCC" w:sz="1"/>
              <w:right w:val="single" w:color="CCCCCC" w:sz="1"/>
            </w:tcBorders>
            <w:shd w:fill="2E75B6" w:val="clear"/>
            <w:tcMar>
              <w:top w:type="dxa" w:w="60"/>
              <w:left w:type="dxa" w:w="110"/>
              <w:bottom w:type="dxa" w:w="60"/>
              <w:right w:type="dxa" w:w="110"/>
            </w:tcMar>
          </w:tcPr>
          <w:p>
            <w:pPr>
              <w:jc w:val="center"/>
            </w:pPr>
            <w:r>
              <w:rPr>
                <w:b/>
                <w:bCs/>
                <w:color w:val="FFFFFF"/>
                <w:sz w:val="19"/>
                <w:szCs w:val="19"/>
              </w:rPr>
              <w:t xml:space="preserve">Train CŨ (v2)</w:t>
            </w:r>
          </w:p>
        </w:tc>
        <w:tc>
          <w:tcPr>
            <w:tcW w:type="dxa" w:w="2980"/>
            <w:tcBorders>
              <w:top w:val="single" w:color="CCCCCC" w:sz="1"/>
              <w:left w:val="single" w:color="CCCCCC" w:sz="1"/>
              <w:bottom w:val="single" w:color="CCCCCC" w:sz="1"/>
              <w:right w:val="single" w:color="CCCCCC" w:sz="1"/>
            </w:tcBorders>
            <w:shd w:fill="2E75B6" w:val="clear"/>
            <w:tcMar>
              <w:top w:type="dxa" w:w="60"/>
              <w:left w:type="dxa" w:w="110"/>
              <w:bottom w:type="dxa" w:w="60"/>
              <w:right w:type="dxa" w:w="110"/>
            </w:tcMar>
          </w:tcPr>
          <w:p>
            <w:pPr>
              <w:jc w:val="center"/>
            </w:pPr>
            <w:r>
              <w:rPr>
                <w:b/>
                <w:bCs/>
                <w:color w:val="FFFFFF"/>
                <w:sz w:val="19"/>
                <w:szCs w:val="19"/>
              </w:rPr>
              <w:t xml:space="preserve">Train MỚI (v3)</w:t>
            </w:r>
          </w:p>
        </w:tc>
      </w:tr>
      <w:tr>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bCs/>
                <w:color w:val="000000"/>
                <w:sz w:val="19"/>
                <w:szCs w:val="19"/>
              </w:rPr>
              <w:t xml:space="preserve">Tỷ lệ bỏ sót (miss)</w:t>
            </w:r>
          </w:p>
        </w:tc>
        <w:tc>
          <w:tcPr>
            <w:tcW w:type="dxa" w:w="29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C00000"/>
                <w:sz w:val="19"/>
                <w:szCs w:val="19"/>
              </w:rPr>
              <w:t xml:space="preserve">31%</w:t>
            </w:r>
          </w:p>
        </w:tc>
        <w:tc>
          <w:tcPr>
            <w:tcW w:type="dxa" w:w="29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bCs/>
                <w:color w:val="2E7D32"/>
                <w:sz w:val="19"/>
                <w:szCs w:val="19"/>
              </w:rPr>
              <w:t xml:space="preserve">5%</w:t>
            </w:r>
          </w:p>
        </w:tc>
      </w:tr>
      <w:tr>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bCs/>
                <w:color w:val="000000"/>
                <w:sz w:val="19"/>
                <w:szCs w:val="19"/>
              </w:rPr>
              <w:t xml:space="preserve">Nồng độ đỉnh (peak gas)</w:t>
            </w:r>
          </w:p>
        </w:tc>
        <w:tc>
          <w:tcPr>
            <w:tcW w:type="dxa" w:w="29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C00000"/>
                <w:sz w:val="19"/>
                <w:szCs w:val="19"/>
              </w:rPr>
              <w:t xml:space="preserve">806 ppm</w:t>
            </w:r>
          </w:p>
        </w:tc>
        <w:tc>
          <w:tcPr>
            <w:tcW w:type="dxa" w:w="29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bCs/>
                <w:color w:val="2E7D32"/>
                <w:sz w:val="19"/>
                <w:szCs w:val="19"/>
              </w:rPr>
              <w:t xml:space="preserve">222 ppm</w:t>
            </w:r>
          </w:p>
        </w:tc>
      </w:tr>
      <w:tr>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bCs/>
                <w:color w:val="000000"/>
                <w:sz w:val="19"/>
                <w:szCs w:val="19"/>
              </w:rPr>
              <w:t xml:space="preserve">Cảnh báo sai / giờ</w:t>
            </w:r>
          </w:p>
        </w:tc>
        <w:tc>
          <w:tcPr>
            <w:tcW w:type="dxa" w:w="29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000000"/>
                <w:sz w:val="19"/>
                <w:szCs w:val="19"/>
              </w:rPr>
              <w:t xml:space="preserve">2,87</w:t>
            </w:r>
          </w:p>
        </w:tc>
        <w:tc>
          <w:tcPr>
            <w:tcW w:type="dxa" w:w="29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bCs/>
                <w:color w:val="2E7D32"/>
                <w:sz w:val="19"/>
                <w:szCs w:val="19"/>
              </w:rPr>
              <w:t xml:space="preserve">1,11</w:t>
            </w:r>
          </w:p>
        </w:tc>
      </w:tr>
      <w:tr>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bCs/>
                <w:color w:val="000000"/>
                <w:sz w:val="19"/>
                <w:szCs w:val="19"/>
              </w:rPr>
              <w:t xml:space="preserve">Rò rỉ nhanh (fast-leak)</w:t>
            </w:r>
          </w:p>
        </w:tc>
        <w:tc>
          <w:tcPr>
            <w:tcW w:type="dxa" w:w="29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C00000"/>
                <w:sz w:val="19"/>
                <w:szCs w:val="19"/>
              </w:rPr>
              <w:t xml:space="preserve">THẤT BẠI (chạm 1970 ppm)</w:t>
            </w:r>
          </w:p>
        </w:tc>
        <w:tc>
          <w:tcPr>
            <w:tcW w:type="dxa" w:w="29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bCs/>
                <w:color w:val="2E7D32"/>
                <w:sz w:val="19"/>
                <w:szCs w:val="19"/>
              </w:rPr>
              <w:t xml:space="preserve">ĐẠT (giữ 330 ppm)</w:t>
            </w:r>
          </w:p>
        </w:tc>
      </w:tr>
      <w:tr>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bCs/>
                <w:color w:val="000000"/>
                <w:sz w:val="19"/>
                <w:szCs w:val="19"/>
              </w:rPr>
              <w:t xml:space="preserve">So với luật tay (RULE)</w:t>
            </w:r>
          </w:p>
        </w:tc>
        <w:tc>
          <w:tcPr>
            <w:tcW w:type="dxa" w:w="29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666666"/>
                <w:sz w:val="19"/>
                <w:szCs w:val="19"/>
              </w:rPr>
              <w:t xml:space="preserve">Ngang luật tay (~28%)</w:t>
            </w:r>
          </w:p>
        </w:tc>
        <w:tc>
          <w:tcPr>
            <w:tcW w:type="dxa" w:w="29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bCs/>
                <w:color w:val="2E7D32"/>
                <w:sz w:val="19"/>
                <w:szCs w:val="19"/>
              </w:rPr>
              <w:t xml:space="preserve">Vượt luật tay (5% vs 27%)</w:t>
            </w:r>
          </w:p>
        </w:tc>
      </w:tr>
    </w:tbl>
    <w:p>
      <w:pPr>
        <w:spacing w:after="120" w:before="0"/>
      </w:pPr>
      <w:r>
        <w:rPr>
          <w:sz w:val="22"/>
          <w:szCs w:val="22"/>
        </w:rPr>
        <w:t xml:space="preserve"/>
      </w:r>
    </w:p>
    <w:p>
      <w:pPr>
        <w:spacing w:after="120" w:before="0"/>
      </w:pPr>
      <w:r>
        <w:rPr>
          <w:sz w:val="22"/>
          <w:szCs w:val="22"/>
        </w:rPr>
        <w:t xml:space="preserve">Đối chiếu: luật tay (RULE) bản mới đạt miss 27%, peak 767 ppm — nghĩa là RL (5%, 222 ppm) </w:t>
      </w:r>
      <w:r>
        <w:rPr>
          <w:b/>
          <w:bCs/>
          <w:sz w:val="22"/>
          <w:szCs w:val="22"/>
        </w:rPr>
        <w:t xml:space="preserve">tốt hơn luật tay ~5 lần về bỏ sót và ~3,5 lần về nồng độ đỉnh.</w:t>
      </w:r>
    </w:p>
    <w:p>
      <w:pPr>
        <w:spacing w:after="40" w:before="120"/>
        <w:jc w:val="center"/>
      </w:pPr>
      <w:r>
        <w:drawing>
          <wp:inline distT="0" distB="0" distL="0" distR="0">
            <wp:extent cx="5334000" cy="1666875"/>
            <wp:effectExtent t="0" r="0" b="0" l="0"/>
            <wp:docPr id="1" name="benchmark" descr="Benchmark 4 controllers" title="Bench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1666875"/>
                    </a:xfrm>
                    <a:prstGeom prst="rect">
                      <a:avLst/>
                    </a:prstGeom>
                  </pic:spPr>
                </pic:pic>
              </a:graphicData>
            </a:graphic>
          </wp:inline>
        </w:drawing>
      </w:r>
    </w:p>
    <w:p>
      <w:pPr>
        <w:spacing w:after="120" w:before="0"/>
        <w:jc w:val="center"/>
      </w:pPr>
      <w:r>
        <w:rPr>
          <w:i/>
          <w:iCs/>
          <w:color w:val="666666"/>
          <w:sz w:val="22"/>
          <w:szCs w:val="22"/>
        </w:rPr>
        <w:t xml:space="preserve">Hình 1. Benchmark bản mới (v3): RL thấp nhất ở cả miss, cảnh báo sai và peak gas.</w:t>
      </w:r>
    </w:p>
    <w:p>
      <w:pPr>
        <w:pStyle w:val="Heading1"/>
      </w:pPr>
      <w:r>
        <w:t xml:space="preserve">4. Mô hình LSTM (gần như không đổi — vốn đã tốt)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980"/>
        <w:gridCol w:w="2980"/>
      </w:tblGrid>
      <w:tr>
        <w:trPr>
          <w:tblHeader/>
        </w:trPr>
        <w:tc>
          <w:tcPr>
            <w:tcW w:type="dxa" w:w="3400"/>
            <w:tcBorders>
              <w:top w:val="single" w:color="CCCCCC" w:sz="1"/>
              <w:left w:val="single" w:color="CCCCCC" w:sz="1"/>
              <w:bottom w:val="single" w:color="CCCCCC" w:sz="1"/>
              <w:right w:val="single" w:color="CCCCCC" w:sz="1"/>
            </w:tcBorders>
            <w:shd w:fill="2E75B6" w:val="clear"/>
            <w:tcMar>
              <w:top w:type="dxa" w:w="60"/>
              <w:left w:type="dxa" w:w="110"/>
              <w:bottom w:type="dxa" w:w="60"/>
              <w:right w:type="dxa" w:w="110"/>
            </w:tcMar>
          </w:tcPr>
          <w:p>
            <w:pPr>
              <w:jc w:val="center"/>
            </w:pPr>
            <w:r>
              <w:rPr>
                <w:b/>
                <w:bCs/>
                <w:color w:val="FFFFFF"/>
                <w:sz w:val="19"/>
                <w:szCs w:val="19"/>
              </w:rPr>
              <w:t xml:space="preserve">Chỉ số LSTM</w:t>
            </w:r>
          </w:p>
        </w:tc>
        <w:tc>
          <w:tcPr>
            <w:tcW w:type="dxa" w:w="2980"/>
            <w:tcBorders>
              <w:top w:val="single" w:color="CCCCCC" w:sz="1"/>
              <w:left w:val="single" w:color="CCCCCC" w:sz="1"/>
              <w:bottom w:val="single" w:color="CCCCCC" w:sz="1"/>
              <w:right w:val="single" w:color="CCCCCC" w:sz="1"/>
            </w:tcBorders>
            <w:shd w:fill="2E75B6" w:val="clear"/>
            <w:tcMar>
              <w:top w:type="dxa" w:w="60"/>
              <w:left w:type="dxa" w:w="110"/>
              <w:bottom w:type="dxa" w:w="60"/>
              <w:right w:type="dxa" w:w="110"/>
            </w:tcMar>
          </w:tcPr>
          <w:p>
            <w:pPr>
              <w:jc w:val="center"/>
            </w:pPr>
            <w:r>
              <w:rPr>
                <w:b/>
                <w:bCs/>
                <w:color w:val="FFFFFF"/>
                <w:sz w:val="19"/>
                <w:szCs w:val="19"/>
              </w:rPr>
              <w:t xml:space="preserve">Train CŨ (v2)</w:t>
            </w:r>
          </w:p>
        </w:tc>
        <w:tc>
          <w:tcPr>
            <w:tcW w:type="dxa" w:w="2980"/>
            <w:tcBorders>
              <w:top w:val="single" w:color="CCCCCC" w:sz="1"/>
              <w:left w:val="single" w:color="CCCCCC" w:sz="1"/>
              <w:bottom w:val="single" w:color="CCCCCC" w:sz="1"/>
              <w:right w:val="single" w:color="CCCCCC" w:sz="1"/>
            </w:tcBorders>
            <w:shd w:fill="2E75B6" w:val="clear"/>
            <w:tcMar>
              <w:top w:type="dxa" w:w="60"/>
              <w:left w:type="dxa" w:w="110"/>
              <w:bottom w:type="dxa" w:w="60"/>
              <w:right w:type="dxa" w:w="110"/>
            </w:tcMar>
          </w:tcPr>
          <w:p>
            <w:pPr>
              <w:jc w:val="center"/>
            </w:pPr>
            <w:r>
              <w:rPr>
                <w:b/>
                <w:bCs/>
                <w:color w:val="FFFFFF"/>
                <w:sz w:val="19"/>
                <w:szCs w:val="19"/>
              </w:rPr>
              <w:t xml:space="preserve">Train MỚI (v3)</w:t>
            </w:r>
          </w:p>
        </w:tc>
      </w:tr>
      <w:tr>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bCs/>
                <w:color w:val="000000"/>
                <w:sz w:val="19"/>
                <w:szCs w:val="19"/>
              </w:rPr>
              <w:t xml:space="preserve">Simulator — Accuracy</w:t>
            </w:r>
          </w:p>
        </w:tc>
        <w:tc>
          <w:tcPr>
            <w:tcW w:type="dxa" w:w="29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000000"/>
                <w:sz w:val="19"/>
                <w:szCs w:val="19"/>
              </w:rPr>
              <w:t xml:space="preserve">90,4%</w:t>
            </w:r>
          </w:p>
        </w:tc>
        <w:tc>
          <w:tcPr>
            <w:tcW w:type="dxa" w:w="29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000000"/>
                <w:sz w:val="19"/>
                <w:szCs w:val="19"/>
              </w:rPr>
              <w:t xml:space="preserve">90,5%</w:t>
            </w:r>
          </w:p>
        </w:tc>
      </w:tr>
      <w:tr>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bCs/>
                <w:color w:val="000000"/>
                <w:sz w:val="19"/>
                <w:szCs w:val="19"/>
              </w:rPr>
              <w:t xml:space="preserve">Simulator — Recall</w:t>
            </w:r>
          </w:p>
        </w:tc>
        <w:tc>
          <w:tcPr>
            <w:tcW w:type="dxa" w:w="29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000000"/>
                <w:sz w:val="19"/>
                <w:szCs w:val="19"/>
              </w:rPr>
              <w:t xml:space="preserve">54,6%</w:t>
            </w:r>
          </w:p>
        </w:tc>
        <w:tc>
          <w:tcPr>
            <w:tcW w:type="dxa" w:w="29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000000"/>
                <w:sz w:val="19"/>
                <w:szCs w:val="19"/>
              </w:rPr>
              <w:t xml:space="preserve">55,2%</w:t>
            </w:r>
          </w:p>
        </w:tc>
      </w:tr>
      <w:tr>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bCs/>
                <w:color w:val="000000"/>
                <w:sz w:val="19"/>
                <w:szCs w:val="19"/>
              </w:rPr>
              <w:t xml:space="preserve">Kaggle thực — Accuracy</w:t>
            </w:r>
          </w:p>
        </w:tc>
        <w:tc>
          <w:tcPr>
            <w:tcW w:type="dxa" w:w="29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000000"/>
                <w:sz w:val="19"/>
                <w:szCs w:val="19"/>
              </w:rPr>
              <w:t xml:space="preserve">97,6%</w:t>
            </w:r>
          </w:p>
        </w:tc>
        <w:tc>
          <w:tcPr>
            <w:tcW w:type="dxa" w:w="29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000000"/>
                <w:sz w:val="19"/>
                <w:szCs w:val="19"/>
              </w:rPr>
              <w:t xml:space="preserve">96,4%</w:t>
            </w:r>
          </w:p>
        </w:tc>
      </w:tr>
      <w:tr>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bCs/>
                <w:color w:val="000000"/>
                <w:sz w:val="19"/>
                <w:szCs w:val="19"/>
              </w:rPr>
              <w:t xml:space="preserve">Kaggle thực — Recall</w:t>
            </w:r>
          </w:p>
        </w:tc>
        <w:tc>
          <w:tcPr>
            <w:tcW w:type="dxa" w:w="29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000000"/>
                <w:sz w:val="19"/>
                <w:szCs w:val="19"/>
              </w:rPr>
              <w:t xml:space="preserve">91,9%</w:t>
            </w:r>
          </w:p>
        </w:tc>
        <w:tc>
          <w:tcPr>
            <w:tcW w:type="dxa" w:w="29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000000"/>
                <w:sz w:val="19"/>
                <w:szCs w:val="19"/>
              </w:rPr>
              <w:t xml:space="preserve">92,8%</w:t>
            </w:r>
          </w:p>
        </w:tc>
      </w:tr>
    </w:tbl>
    <w:p>
      <w:pPr>
        <w:spacing w:after="160" w:before="0"/>
      </w:pPr>
      <w:r>
        <w:rPr>
          <w:sz w:val="22"/>
          <w:szCs w:val="22"/>
        </w:rPr>
        <w:t xml:space="preserve">LSTM ổn định ở cả hai lần: chính xác cao trên simulator và tổng quát tốt sang dữ liệu cảm biến thật. Không cần thay đổi.</w:t>
      </w:r>
    </w:p>
    <w:p>
      <w:pPr>
        <w:pStyle w:val="Heading1"/>
      </w:pPr>
      <w:r>
        <w:t xml:space="preserve">5. Kết quả train này đã ổn chưa?</w:t>
      </w:r>
    </w:p>
    <w:p>
      <w:pPr>
        <w:spacing w:after="120" w:before="0"/>
      </w:pPr>
      <w:r>
        <w:rPr>
          <w:b/>
          <w:bCs/>
          <w:color w:val="2E7D32"/>
          <w:sz w:val="22"/>
          <w:szCs w:val="22"/>
        </w:rPr>
        <w:t xml:space="preserve">Đã ổn để đưa vào khóa luận và bảo vệ.</w:t>
      </w:r>
      <w:r>
        <w:rPr>
          <w:sz w:val="22"/>
          <w:szCs w:val="22"/>
        </w:rPr>
        <w:t xml:space="preserve"> Cụ thể:</w:t>
      </w:r>
    </w:p>
    <w:p>
      <w:pPr>
        <w:pStyle w:val="ListParagraph"/>
        <w:numPr>
          <w:ilvl w:val="0"/>
          <w:numId w:val="2"/>
        </w:numPr>
        <w:spacing w:after="80"/>
      </w:pPr>
      <w:r>
        <w:rPr>
          <w:b/>
          <w:bCs/>
          <w:sz w:val="22"/>
          <w:szCs w:val="22"/>
        </w:rPr>
        <w:t xml:space="preserve">Phòng thủ tốt: </w:t>
      </w:r>
      <w:r>
        <w:rPr>
          <w:sz w:val="22"/>
          <w:szCs w:val="22"/>
        </w:rPr>
        <w:t xml:space="preserve">RL vượt cả baseline tĩnh lẫn luật tay — trả lời được câu hỏi “RL hơn if-else ở đâu?”.</w:t>
      </w:r>
    </w:p>
    <w:p>
      <w:pPr>
        <w:pStyle w:val="ListParagraph"/>
        <w:numPr>
          <w:ilvl w:val="0"/>
          <w:numId w:val="2"/>
        </w:numPr>
        <w:spacing w:after="80"/>
      </w:pPr>
      <w:r>
        <w:rPr>
          <w:b/>
          <w:bCs/>
          <w:sz w:val="22"/>
          <w:szCs w:val="22"/>
        </w:rPr>
        <w:t xml:space="preserve">Trung thực, nhất quán: </w:t>
      </w:r>
      <w:r>
        <w:rPr>
          <w:sz w:val="22"/>
          <w:szCs w:val="22"/>
        </w:rPr>
        <w:t xml:space="preserve">reward hội tụ rõ (−22.000 → −350), số liệu khớp giữa các benchmark.</w:t>
      </w:r>
    </w:p>
    <w:p>
      <w:pPr>
        <w:pStyle w:val="ListParagraph"/>
        <w:numPr>
          <w:ilvl w:val="0"/>
          <w:numId w:val="2"/>
        </w:numPr>
        <w:spacing w:after="80"/>
      </w:pPr>
      <w:r>
        <w:rPr>
          <w:b/>
          <w:bCs/>
          <w:sz w:val="22"/>
          <w:szCs w:val="22"/>
        </w:rPr>
        <w:t xml:space="preserve">LSTM kiểm chứng dữ liệu thật: </w:t>
      </w:r>
      <w:r>
        <w:rPr>
          <w:sz w:val="22"/>
          <w:szCs w:val="22"/>
        </w:rPr>
        <w:t xml:space="preserve">điểm mạnh định lượng (Acc 96%, Recall 93%).</w:t>
      </w:r>
    </w:p>
    <w:p>
      <w:pPr>
        <w:pStyle w:val="Heading2"/>
      </w:pPr>
      <w:r>
        <w:t xml:space="preserve">Hạn chế nên nêu trong phần Hạn chế / hỏi đáp</w:t>
      </w:r>
    </w:p>
    <w:p>
      <w:pPr>
        <w:pStyle w:val="ListParagraph"/>
        <w:numPr>
          <w:ilvl w:val="0"/>
          <w:numId w:val="2"/>
        </w:numPr>
        <w:spacing w:after="80"/>
      </w:pPr>
      <w:r>
        <w:rPr>
          <w:sz w:val="22"/>
          <w:szCs w:val="22"/>
        </w:rPr>
        <w:t xml:space="preserve">Mới chạy 3 seed — std của luật tay còn lớn (±14%). Nên chạy thêm ~10 seed để siết khoảng tin cậy (không bắt buộc).</w:t>
      </w:r>
    </w:p>
    <w:p>
      <w:pPr>
        <w:pStyle w:val="ListParagraph"/>
        <w:numPr>
          <w:ilvl w:val="0"/>
          <w:numId w:val="2"/>
        </w:numPr>
        <w:spacing w:after="80"/>
      </w:pPr>
      <w:r>
        <w:rPr>
          <w:sz w:val="22"/>
          <w:szCs w:val="22"/>
        </w:rPr>
        <w:t xml:space="preserve">RL vẫn chỉ huấn luyện trên simulator (bản chất RL). Cần nêu rõ sim-to-real gap là hướng phát triển.</w:t>
      </w:r>
    </w:p>
    <w:p>
      <w:pPr>
        <w:pStyle w:val="ListParagraph"/>
        <w:numPr>
          <w:ilvl w:val="0"/>
          <w:numId w:val="2"/>
        </w:numPr>
        <w:spacing w:after="80"/>
      </w:pPr>
      <w:r>
        <w:rPr>
          <w:sz w:val="22"/>
          <w:szCs w:val="22"/>
        </w:rPr>
        <w:t xml:space="preserve">Trên kịch bản đơn-leak “sạch”, luật tay có peak nhỉnh hơn RL chút; nhưng trên phổ tình huống thực tế RL thắng rõ. Giải thích đúng, không né.</w:t>
      </w:r>
    </w:p>
    <w:p>
      <w:pPr>
        <w:pStyle w:val="Heading2"/>
      </w:pPr>
      <w:r>
        <w:t xml:space="preserve">Khuyến nghị</w:t>
      </w:r>
    </w:p>
    <w:p>
      <w:pPr>
        <w:spacing w:after="120" w:before="0"/>
      </w:pPr>
      <w:r>
        <w:rPr>
          <w:sz w:val="22"/>
          <w:szCs w:val="22"/>
        </w:rPr>
        <w:t xml:space="preserve">Có thể nộp với kết quả hiện tại. Nếu còn thời gian, chạy thêm 8–10 seed cho RL để số liệu chắc hơn. Phần còn lại (LaTeX, model, biểu đồ) đã được cập nhật khớp hoàn toàn với bản train v3 này.</w:t>
      </w:r>
    </w:p>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Trang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color w:val="2E75B6"/>
      <w:sz w:val="26"/>
      <w:szCs w:val="26"/>
    </w:rPr>
  </w:style>
  <w:style w:type="paragraph" w:styleId="Heading2">
    <w:name w:val="Heading 2"/>
    <w:basedOn w:val="Normal"/>
    <w:next w:val="Normal"/>
    <w:qFormat/>
    <w:pPr>
      <w:spacing w:after="100" w:before="160"/>
      <w:outlineLvl w:val="1"/>
    </w:pPr>
    <w:rPr>
      <w:rFonts w:ascii="Arial" w:cs="Arial" w:eastAsia="Arial" w:hAnsi="Arial"/>
      <w:b/>
      <w:bCs/>
      <w:color w:val="1F4E7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96e7c450f7e80621058608f034c98b6082b6c88.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2026-06-01T14:00:42.100Z</dcterms:created>
  <dcterms:modified xsi:type="dcterms:W3CDTF">2026-06-01T14:00:42.100Z</dcterms:modified>
</cp:coreProperties>
</file>

<file path=docProps/custom.xml><?xml version="1.0" encoding="utf-8"?>
<Properties xmlns="http://schemas.openxmlformats.org/officeDocument/2006/custom-properties" xmlns:vt="http://schemas.openxmlformats.org/officeDocument/2006/docPropsVTypes"/>
</file>