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0A" w:rsidRPr="00C60D0A" w:rsidRDefault="00C60D0A" w:rsidP="00C60D0A">
      <w:pPr>
        <w:pStyle w:val="Heading1"/>
        <w:spacing w:line="276" w:lineRule="auto"/>
        <w:rPr>
          <w:rFonts w:eastAsia="Times New Roman"/>
          <w:sz w:val="52"/>
          <w:szCs w:val="52"/>
        </w:rPr>
      </w:pPr>
      <w:r w:rsidRPr="00C60D0A">
        <w:rPr>
          <w:rFonts w:eastAsia="Times New Roman"/>
          <w:sz w:val="52"/>
          <w:szCs w:val="52"/>
        </w:rPr>
        <w:t>Sales and Profitability Report</w:t>
      </w:r>
      <w:bookmarkStart w:id="0" w:name="_GoBack"/>
      <w:bookmarkEnd w:id="0"/>
    </w:p>
    <w:p w:rsidR="00C60D0A" w:rsidRPr="00232DFF" w:rsidRDefault="00C60D0A" w:rsidP="00C60D0A">
      <w:pPr>
        <w:spacing w:line="276" w:lineRule="auto"/>
        <w:rPr>
          <w:rFonts w:eastAsia="Times New Roman"/>
        </w:rPr>
      </w:pPr>
      <w:r w:rsidRPr="00232DFF">
        <w:rPr>
          <w:rFonts w:eastAsia="Times New Roman"/>
        </w:rPr>
        <w:t xml:space="preserve">Based on the provided </w:t>
      </w:r>
      <w:r>
        <w:rPr>
          <w:rFonts w:eastAsia="Times New Roman"/>
        </w:rPr>
        <w:t>financial data</w:t>
      </w:r>
      <w:r w:rsidRPr="00232DFF">
        <w:rPr>
          <w:rFonts w:eastAsia="Times New Roman"/>
        </w:rPr>
        <w:t xml:space="preserve"> from </w:t>
      </w:r>
      <w:r>
        <w:rPr>
          <w:rFonts w:eastAsia="Times New Roman"/>
        </w:rPr>
        <w:t>September 2013</w:t>
      </w:r>
      <w:r w:rsidRPr="00232DFF">
        <w:rPr>
          <w:rFonts w:eastAsia="Times New Roman"/>
        </w:rPr>
        <w:t xml:space="preserve"> to December 2014, </w:t>
      </w:r>
      <w:r>
        <w:rPr>
          <w:rFonts w:eastAsia="Times New Roman"/>
        </w:rPr>
        <w:t>this report</w:t>
      </w:r>
      <w:r w:rsidRPr="00232DFF">
        <w:rPr>
          <w:rFonts w:eastAsia="Times New Roman"/>
        </w:rPr>
        <w:t xml:space="preserve"> is a summary of the key findings regarding sales and profitability.</w:t>
      </w:r>
    </w:p>
    <w:p w:rsidR="00C60D0A" w:rsidRPr="00232DFF" w:rsidRDefault="00C60D0A" w:rsidP="00C60D0A">
      <w:pPr>
        <w:pStyle w:val="Heading2"/>
        <w:spacing w:line="276" w:lineRule="auto"/>
        <w:rPr>
          <w:rFonts w:eastAsia="Times New Roman"/>
        </w:rPr>
      </w:pPr>
      <w:r w:rsidRPr="00232DFF">
        <w:rPr>
          <w:rFonts w:eastAsia="Times New Roman"/>
        </w:rPr>
        <w:t>Overall Performance</w:t>
      </w:r>
    </w:p>
    <w:p w:rsidR="00C60D0A" w:rsidRPr="00232DFF" w:rsidRDefault="00C60D0A" w:rsidP="00C60D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The total sales for the period amounted to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$118.73 million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, with 1.13 million units sold, generating a total profit of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$16.89 million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. The dashboards show a clear spike in sales in the last three months of the year. The average month-over-month sales growth was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17.53%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, and the overall profit margin was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14.23%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D0A" w:rsidRPr="00232DFF" w:rsidRDefault="00C60D0A" w:rsidP="00C60D0A">
      <w:pPr>
        <w:pStyle w:val="Heading2"/>
        <w:spacing w:line="276" w:lineRule="auto"/>
        <w:rPr>
          <w:rFonts w:eastAsia="Times New Roman"/>
        </w:rPr>
      </w:pPr>
      <w:r w:rsidRPr="00232DFF">
        <w:rPr>
          <w:rFonts w:eastAsia="Times New Roman"/>
        </w:rPr>
        <w:t>Sales Analysis</w:t>
      </w:r>
    </w:p>
    <w:p w:rsidR="00C60D0A" w:rsidRPr="00232DFF" w:rsidRDefault="00C60D0A" w:rsidP="00C60D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The sales spikes observed in late 2014 were largely driven by the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segments. These segments saw a significant increase in sales volume.</w:t>
      </w:r>
    </w:p>
    <w:p w:rsidR="00C60D0A" w:rsidRPr="00232DFF" w:rsidRDefault="00C60D0A" w:rsidP="00C60D0A">
      <w:pPr>
        <w:pStyle w:val="ListBullet"/>
        <w:rPr>
          <w:rFonts w:eastAsia="Times New Roman"/>
        </w:rPr>
      </w:pPr>
      <w:r w:rsidRPr="00232DFF">
        <w:rPr>
          <w:rFonts w:eastAsia="Times New Roman"/>
          <w:b/>
          <w:bCs/>
        </w:rPr>
        <w:t>Segment Performance:</w:t>
      </w:r>
      <w:r w:rsidRPr="00232DFF">
        <w:rPr>
          <w:rFonts w:eastAsia="Times New Roman"/>
        </w:rPr>
        <w:t xml:space="preserve"> The highest sales by far came from the </w:t>
      </w:r>
      <w:r w:rsidRPr="00232DFF">
        <w:rPr>
          <w:rFonts w:eastAsia="Times New Roman"/>
          <w:b/>
          <w:bCs/>
        </w:rPr>
        <w:t>Government</w:t>
      </w:r>
      <w:r w:rsidRPr="00232DFF">
        <w:rPr>
          <w:rFonts w:eastAsia="Times New Roman"/>
        </w:rPr>
        <w:t xml:space="preserve"> segment, followed by </w:t>
      </w:r>
      <w:r w:rsidRPr="00232DFF">
        <w:rPr>
          <w:rFonts w:eastAsia="Times New Roman"/>
          <w:b/>
          <w:bCs/>
        </w:rPr>
        <w:t>Small Business</w:t>
      </w:r>
      <w:r w:rsidRPr="00232DFF">
        <w:rPr>
          <w:rFonts w:eastAsia="Times New Roman"/>
        </w:rPr>
        <w:t xml:space="preserve"> and </w:t>
      </w:r>
      <w:r w:rsidRPr="00232DFF">
        <w:rPr>
          <w:rFonts w:eastAsia="Times New Roman"/>
          <w:b/>
          <w:bCs/>
        </w:rPr>
        <w:t>Enterprise</w:t>
      </w:r>
      <w:r w:rsidRPr="00232DFF">
        <w:rPr>
          <w:rFonts w:eastAsia="Times New Roman"/>
        </w:rPr>
        <w:t xml:space="preserve">. The </w:t>
      </w:r>
      <w:r w:rsidRPr="00232DFF">
        <w:rPr>
          <w:rFonts w:eastAsia="Times New Roman"/>
          <w:b/>
          <w:bCs/>
        </w:rPr>
        <w:t>Midmarket</w:t>
      </w:r>
      <w:r w:rsidRPr="00232DFF">
        <w:rPr>
          <w:rFonts w:eastAsia="Times New Roman"/>
        </w:rPr>
        <w:t xml:space="preserve"> and </w:t>
      </w:r>
      <w:r w:rsidRPr="00232DFF">
        <w:rPr>
          <w:rFonts w:eastAsia="Times New Roman"/>
          <w:b/>
          <w:bCs/>
        </w:rPr>
        <w:t>Channel Partners</w:t>
      </w:r>
      <w:r w:rsidRPr="00232DFF">
        <w:rPr>
          <w:rFonts w:eastAsia="Times New Roman"/>
        </w:rPr>
        <w:t xml:space="preserve"> segments showed lower sales contributions.</w:t>
      </w:r>
    </w:p>
    <w:p w:rsidR="00C60D0A" w:rsidRPr="00232DFF" w:rsidRDefault="00C60D0A" w:rsidP="00C60D0A">
      <w:pPr>
        <w:pStyle w:val="ListBullet"/>
        <w:rPr>
          <w:rFonts w:eastAsia="Times New Roman"/>
        </w:rPr>
      </w:pPr>
      <w:r w:rsidRPr="00232DFF">
        <w:rPr>
          <w:rFonts w:eastAsia="Times New Roman"/>
          <w:b/>
          <w:bCs/>
        </w:rPr>
        <w:t>Product Performance:</w:t>
      </w:r>
      <w:r w:rsidRPr="00232DFF">
        <w:rPr>
          <w:rFonts w:eastAsia="Times New Roman"/>
        </w:rPr>
        <w:t xml:space="preserve"> The products driving the sales surge were </w:t>
      </w:r>
      <w:r w:rsidRPr="00232DFF">
        <w:rPr>
          <w:rFonts w:eastAsia="Times New Roman"/>
          <w:b/>
          <w:bCs/>
        </w:rPr>
        <w:t>Montana</w:t>
      </w:r>
      <w:r w:rsidRPr="00232DFF">
        <w:rPr>
          <w:rFonts w:eastAsia="Times New Roman"/>
        </w:rPr>
        <w:t xml:space="preserve"> and </w:t>
      </w:r>
      <w:r w:rsidRPr="00232DFF">
        <w:rPr>
          <w:rFonts w:eastAsia="Times New Roman"/>
          <w:b/>
          <w:bCs/>
        </w:rPr>
        <w:t>Paseo</w:t>
      </w:r>
      <w:r w:rsidRPr="00232DFF">
        <w:rPr>
          <w:rFonts w:eastAsia="Times New Roman"/>
        </w:rPr>
        <w:t>. This indicates strong demand for these specific products during the period.</w:t>
      </w:r>
    </w:p>
    <w:p w:rsidR="00C60D0A" w:rsidRPr="00232DFF" w:rsidRDefault="00C60D0A" w:rsidP="00C60D0A">
      <w:pPr>
        <w:pStyle w:val="ListBullet"/>
        <w:rPr>
          <w:rFonts w:eastAsia="Times New Roman"/>
        </w:rPr>
      </w:pPr>
      <w:r w:rsidRPr="00232DFF">
        <w:rPr>
          <w:rFonts w:eastAsia="Times New Roman"/>
          <w:b/>
          <w:bCs/>
        </w:rPr>
        <w:t>Discount Band:</w:t>
      </w:r>
      <w:r w:rsidRPr="00232DFF">
        <w:rPr>
          <w:rFonts w:eastAsia="Times New Roman"/>
        </w:rPr>
        <w:t xml:space="preserve"> A higher proportion of sales during the spike was associated with a </w:t>
      </w:r>
      <w:r w:rsidRPr="00232DFF">
        <w:rPr>
          <w:rFonts w:eastAsia="Times New Roman"/>
          <w:b/>
          <w:bCs/>
        </w:rPr>
        <w:t>Low</w:t>
      </w:r>
      <w:r w:rsidRPr="00232DFF">
        <w:rPr>
          <w:rFonts w:eastAsia="Times New Roman"/>
        </w:rPr>
        <w:t xml:space="preserve"> discount band, suggesting that the increase was not due to heavy discounting but rather strong demand.</w:t>
      </w:r>
    </w:p>
    <w:p w:rsidR="00C60D0A" w:rsidRPr="00232DFF" w:rsidRDefault="00C60D0A" w:rsidP="00C60D0A">
      <w:pPr>
        <w:pStyle w:val="ListBullet"/>
        <w:rPr>
          <w:rFonts w:eastAsia="Times New Roman"/>
        </w:rPr>
      </w:pPr>
      <w:r w:rsidRPr="00232DFF">
        <w:rPr>
          <w:rFonts w:eastAsia="Times New Roman"/>
          <w:b/>
          <w:bCs/>
        </w:rPr>
        <w:t>Geographic Performance:</w:t>
      </w:r>
      <w:r w:rsidRPr="00232DFF">
        <w:rPr>
          <w:rFonts w:eastAsia="Times New Roman"/>
        </w:rPr>
        <w:t xml:space="preserve"> The sales spikes were most prominent in </w:t>
      </w:r>
      <w:r w:rsidRPr="00232DFF">
        <w:rPr>
          <w:rFonts w:eastAsia="Times New Roman"/>
          <w:b/>
          <w:bCs/>
        </w:rPr>
        <w:t>Canada, France, and Germany</w:t>
      </w:r>
      <w:r w:rsidRPr="00232DFF">
        <w:rPr>
          <w:rFonts w:eastAsia="Times New Roman"/>
        </w:rPr>
        <w:t>.</w:t>
      </w:r>
    </w:p>
    <w:p w:rsidR="00C60D0A" w:rsidRPr="00232DFF" w:rsidRDefault="00C60D0A" w:rsidP="00C60D0A">
      <w:pPr>
        <w:pStyle w:val="Heading2"/>
        <w:spacing w:line="276" w:lineRule="auto"/>
        <w:rPr>
          <w:rFonts w:eastAsia="Times New Roman"/>
        </w:rPr>
      </w:pPr>
      <w:r w:rsidRPr="00232DFF">
        <w:rPr>
          <w:rFonts w:eastAsia="Times New Roman"/>
        </w:rPr>
        <w:t>Profitability Analysis</w:t>
      </w:r>
    </w:p>
    <w:p w:rsidR="00C60D0A" w:rsidRPr="00232DFF" w:rsidRDefault="00C60D0A" w:rsidP="00C60D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FF">
        <w:rPr>
          <w:rFonts w:ascii="Times New Roman" w:eastAsia="Times New Roman" w:hAnsi="Times New Roman" w:cs="Times New Roman"/>
          <w:sz w:val="24"/>
          <w:szCs w:val="24"/>
        </w:rPr>
        <w:t>The profitability dashboards highlight significant differences in performance across segments, products, and countries.</w:t>
      </w:r>
    </w:p>
    <w:p w:rsidR="00C60D0A" w:rsidRPr="00232DFF" w:rsidRDefault="00C60D0A" w:rsidP="00C60D0A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Segment Profitability: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segment was the most profitable, generating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$11.4 million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in profit. In contrast, the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segment had a negative profit of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-$0.6 million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>, indicating that sales in this segment were not profitable and were likely sacrificing profit for volume.</w:t>
      </w:r>
    </w:p>
    <w:p w:rsidR="00C60D0A" w:rsidRPr="00232DFF" w:rsidRDefault="00C60D0A" w:rsidP="00C60D0A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Profitability: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Paseo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was the leading product in terms of profitability. The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Velo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Montana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products, while contributing to sales, were performing poorly in some countries, particularly in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Mexico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>, where their sales were nearly half of what they were in other countries.</w:t>
      </w:r>
    </w:p>
    <w:p w:rsidR="00C60D0A" w:rsidRPr="00232DFF" w:rsidRDefault="00C60D0A" w:rsidP="00C60D0A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Geographic Profitability: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Germany, France, and Canada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had the highest profit margins, while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USA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Mexico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had lower margins. This suggests that while Mexico may not be a major driver of sales, it is highly profitable at 14% margin, compared to the USA which only has a margin of 12%.</w:t>
      </w:r>
    </w:p>
    <w:p w:rsidR="00C60D0A" w:rsidRPr="00232DFF" w:rsidRDefault="00C60D0A" w:rsidP="00C60D0A">
      <w:pPr>
        <w:pStyle w:val="Heading2"/>
        <w:spacing w:line="276" w:lineRule="auto"/>
        <w:rPr>
          <w:rFonts w:eastAsia="Times New Roman"/>
        </w:rPr>
      </w:pPr>
      <w:r w:rsidRPr="00232DFF">
        <w:rPr>
          <w:rFonts w:eastAsia="Times New Roman"/>
        </w:rPr>
        <w:t>Recommendations</w:t>
      </w:r>
    </w:p>
    <w:p w:rsidR="00C60D0A" w:rsidRPr="00232DFF" w:rsidRDefault="00C60D0A" w:rsidP="00C60D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To improve overall profitability, it is recommended to investigate the root causes of the negative profit in the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segment. Additionally, a deeper analysis into the performance of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Velo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32DFF">
        <w:rPr>
          <w:rFonts w:ascii="Times New Roman" w:eastAsia="Times New Roman" w:hAnsi="Times New Roman" w:cs="Times New Roman"/>
          <w:b/>
          <w:bCs/>
          <w:sz w:val="24"/>
          <w:szCs w:val="24"/>
        </w:rPr>
        <w:t>Montana</w:t>
      </w:r>
      <w:r w:rsidRPr="00232DFF">
        <w:rPr>
          <w:rFonts w:ascii="Times New Roman" w:eastAsia="Times New Roman" w:hAnsi="Times New Roman" w:cs="Times New Roman"/>
          <w:sz w:val="24"/>
          <w:szCs w:val="24"/>
        </w:rPr>
        <w:t xml:space="preserve"> in different regions could help uncover strategies to improve their sales and profitability in underperforming markets like Mexico.</w:t>
      </w:r>
    </w:p>
    <w:p w:rsidR="00C60D0A" w:rsidRDefault="00C60D0A" w:rsidP="00C60D0A">
      <w:pPr>
        <w:spacing w:line="276" w:lineRule="auto"/>
      </w:pPr>
    </w:p>
    <w:p w:rsidR="009F5E2B" w:rsidRPr="00C60D0A" w:rsidRDefault="009F5E2B" w:rsidP="00C60D0A">
      <w:pPr>
        <w:spacing w:line="276" w:lineRule="auto"/>
      </w:pPr>
    </w:p>
    <w:sectPr w:rsidR="009F5E2B" w:rsidRPr="00C60D0A" w:rsidSect="00C60D0A">
      <w:headerReference w:type="default" r:id="rId8"/>
      <w:footerReference w:type="default" r:id="rId9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671" w:rsidRDefault="008E3671">
      <w:pPr>
        <w:spacing w:after="0" w:line="240" w:lineRule="auto"/>
      </w:pPr>
      <w:r>
        <w:separator/>
      </w:r>
    </w:p>
    <w:p w:rsidR="008E3671" w:rsidRDefault="008E3671"/>
  </w:endnote>
  <w:endnote w:type="continuationSeparator" w:id="0">
    <w:p w:rsidR="008E3671" w:rsidRDefault="008E3671">
      <w:pPr>
        <w:spacing w:after="0" w:line="240" w:lineRule="auto"/>
      </w:pPr>
      <w:r>
        <w:continuationSeparator/>
      </w:r>
    </w:p>
    <w:p w:rsidR="008E3671" w:rsidRDefault="008E3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04F" w:rsidRDefault="008E3671" w:rsidP="00C60D0A">
    <w:pPr>
      <w:pStyle w:val="Footer"/>
      <w:tabs>
        <w:tab w:val="left" w:pos="5903"/>
      </w:tabs>
    </w:pPr>
    <w:sdt>
      <w:sdtPr>
        <w:id w:val="-17411717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51B9">
          <w:fldChar w:fldCharType="begin"/>
        </w:r>
        <w:r w:rsidR="00D651B9">
          <w:instrText xml:space="preserve"> PAGE   \* MERGEFORMAT </w:instrText>
        </w:r>
        <w:r w:rsidR="00D651B9">
          <w:fldChar w:fldCharType="separate"/>
        </w:r>
        <w:r w:rsidR="00C60D0A">
          <w:rPr>
            <w:noProof/>
          </w:rPr>
          <w:t>1</w:t>
        </w:r>
        <w:r w:rsidR="00D651B9">
          <w:rPr>
            <w:noProof/>
          </w:rPr>
          <w:fldChar w:fldCharType="end"/>
        </w:r>
      </w:sdtContent>
    </w:sdt>
    <w:r w:rsidR="00C60D0A">
      <w:rPr>
        <w:noProof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671" w:rsidRDefault="008E3671">
      <w:pPr>
        <w:spacing w:after="0" w:line="240" w:lineRule="auto"/>
      </w:pPr>
      <w:r>
        <w:separator/>
      </w:r>
    </w:p>
    <w:p w:rsidR="008E3671" w:rsidRDefault="008E3671"/>
  </w:footnote>
  <w:footnote w:type="continuationSeparator" w:id="0">
    <w:p w:rsidR="008E3671" w:rsidRDefault="008E3671">
      <w:pPr>
        <w:spacing w:after="0" w:line="240" w:lineRule="auto"/>
      </w:pPr>
      <w:r>
        <w:continuationSeparator/>
      </w:r>
    </w:p>
    <w:p w:rsidR="008E3671" w:rsidRDefault="008E36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D0A" w:rsidRDefault="00C60D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17FB9"/>
    <w:multiLevelType w:val="multilevel"/>
    <w:tmpl w:val="560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D69F6"/>
    <w:multiLevelType w:val="multilevel"/>
    <w:tmpl w:val="A210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7"/>
  </w:num>
  <w:num w:numId="5">
    <w:abstractNumId w:val="15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0A"/>
    <w:rsid w:val="0000795A"/>
    <w:rsid w:val="00227DF5"/>
    <w:rsid w:val="002D22E0"/>
    <w:rsid w:val="003008EC"/>
    <w:rsid w:val="003112E5"/>
    <w:rsid w:val="0075279C"/>
    <w:rsid w:val="008E3671"/>
    <w:rsid w:val="009F5E2B"/>
    <w:rsid w:val="00B71C13"/>
    <w:rsid w:val="00C52FC2"/>
    <w:rsid w:val="00C60D0A"/>
    <w:rsid w:val="00D4304F"/>
    <w:rsid w:val="00D651B9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0F6E27-DBF7-4136-AC81-4E7C1784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0A"/>
    <w:pPr>
      <w:spacing w:before="0" w:after="160" w:line="300" w:lineRule="auto"/>
    </w:pPr>
    <w:rPr>
      <w:rFonts w:eastAsiaTheme="minorEastAsia"/>
      <w:color w:val="auto"/>
      <w:sz w:val="21"/>
      <w:szCs w:val="21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720" w:line="240" w:lineRule="auto"/>
      <w:contextualSpacing/>
    </w:pPr>
    <w:rPr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after="0" w:line="240" w:lineRule="auto"/>
    </w:pPr>
    <w:rPr>
      <w:rFonts w:ascii="Consolas" w:hAnsi="Consolas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8E"/>
    <w:rsid w:val="00E5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4AC3A32C4A4F84A5F037AC52542DE7">
    <w:name w:val="3E4AC3A32C4A4F84A5F037AC52542DE7"/>
  </w:style>
  <w:style w:type="paragraph" w:customStyle="1" w:styleId="CF1F1047979847229A120B68961E1B53">
    <w:name w:val="CF1F1047979847229A120B68961E1B53"/>
  </w:style>
  <w:style w:type="paragraph" w:customStyle="1" w:styleId="98EC035C07A044068D1CD83D9869C4CA">
    <w:name w:val="98EC035C07A044068D1CD83D9869C4CA"/>
  </w:style>
  <w:style w:type="paragraph" w:customStyle="1" w:styleId="2D4B1BFAF88448C3A61C7CAE37E88947">
    <w:name w:val="2D4B1BFAF88448C3A61C7CAE37E88947"/>
  </w:style>
  <w:style w:type="paragraph" w:customStyle="1" w:styleId="435785C763D94EC291A228E2B12A9961">
    <w:name w:val="435785C763D94EC291A228E2B12A9961"/>
  </w:style>
  <w:style w:type="paragraph" w:customStyle="1" w:styleId="C337B5EE7A2B4743B76B8F7EFD109D81">
    <w:name w:val="C337B5EE7A2B4743B76B8F7EFD109D81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595959" w:themeColor="text1" w:themeTint="A6"/>
      <w:sz w:val="24"/>
      <w:szCs w:val="24"/>
      <w:lang w:eastAsia="ja-JP"/>
    </w:rPr>
  </w:style>
  <w:style w:type="paragraph" w:customStyle="1" w:styleId="D91001F91C854351AD5481989B441B74">
    <w:name w:val="D91001F91C854351AD5481989B441B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30808-6245-456C-BF85-6ACCA45F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9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2025-09-12T13:39:00Z</dcterms:created>
  <dcterms:modified xsi:type="dcterms:W3CDTF">2025-09-12T13:48:00Z</dcterms:modified>
</cp:coreProperties>
</file>