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3 家鸡的祖先来源</w:t>
      </w:r>
    </w:p>
    <w:p>
      <w:pPr>
        <w:pStyle w:val="Heading1"/>
      </w:pPr>
      <w:r>
        <w:t xml:space="preserve">3.1 线粒体研究与家鸡的母系来源</w:t>
      </w:r>
    </w:p>
    <w:p>
      <w:pPr>
        <w:jc w:val="both"/>
      </w:pPr>
      <w:r>
        <w:t>线粒体研究对家鸡母系来源的认识经历了三步：最初提出单一起源，扩大取样后提出多地起源的解释，完整线粒体基因组又修正了单倍群归类和来源解释。此外，现代母系分布也受到驯化后传播和育种的改造。</w:t>
      </w:r>
    </w:p>
    <w:p>
      <w:pPr>
        <w:jc w:val="both"/>
      </w:pPr>
      <w:r>
        <w:t>早期研究依据形态比较和杂交结果推断家鸡的祖先，一种观点认为是红原鸡（</w:t>
      </w:r>
      <w:r>
        <w:rPr>
          <w:i/>
        </w:rPr>
        <w:t>Gallus gallus</w:t>
      </w:r>
      <w:r>
        <w:t>），另一种观点则考虑多个原鸡物种的贡献</w:t>
      </w:r>
      <w:r>
        <w:rPr>
          <w:vertAlign w:val="superscript"/>
        </w:rPr>
        <w:t>[1,2]</w:t>
      </w:r>
      <w:r>
        <w:t>。线粒体证据最初支持单一起源。控制区的限制性片段长度多态性（RFLP）和部分序列显示，家鸡与泰国</w:t>
      </w:r>
      <w:r>
        <w:rPr>
          <w:i/>
        </w:rPr>
        <w:t>G. g. gallus</w:t>
      </w:r>
      <w:r>
        <w:t>差异很小，研究据此提出家鸡源于该亚种分布区内的一次驯化</w:t>
      </w:r>
      <w:r>
        <w:rPr>
          <w:vertAlign w:val="superscript"/>
        </w:rPr>
        <w:t>[3]</w:t>
      </w:r>
      <w:r>
        <w:t>。覆盖原鸡属4个物种和红原鸡3个亚种的比较进一步显示，家鸡与大陆</w:t>
      </w:r>
      <w:r>
        <w:rPr>
          <w:i/>
        </w:rPr>
        <w:t>G. g. gallus</w:t>
      </w:r>
      <w:r>
        <w:t>、</w:t>
      </w:r>
      <w:r>
        <w:rPr>
          <w:i/>
        </w:rPr>
        <w:t>G. g. spadiceus</w:t>
      </w:r>
      <w:r>
        <w:t>聚为一簇，</w:t>
      </w:r>
      <w:r>
        <w:rPr>
          <w:i/>
        </w:rPr>
        <w:t>G. g. bankiva</w:t>
      </w:r>
      <w:r>
        <w:t>则自成一支</w:t>
      </w:r>
      <w:r>
        <w:rPr>
          <w:vertAlign w:val="superscript"/>
        </w:rPr>
        <w:t>[4]</w:t>
      </w:r>
      <w:r>
        <w:t>。这一阶段确立了家鸡与大陆红原鸡的母系联系，但上述研究所用序列未能清楚区分</w:t>
      </w:r>
      <w:r>
        <w:rPr>
          <w:i/>
        </w:rPr>
        <w:t>G. g. gallus</w:t>
      </w:r>
      <w:r>
        <w:t>与</w:t>
      </w:r>
      <w:r>
        <w:rPr>
          <w:i/>
        </w:rPr>
        <w:t>G. g. spadiceus</w:t>
      </w:r>
      <w:r>
        <w:t>，野生参照也未覆盖红原鸡的全部亚种。</w:t>
      </w:r>
    </w:p>
    <w:p>
      <w:pPr>
        <w:jc w:val="both"/>
      </w:pPr>
      <w:r>
        <w:t>扩大取样后，单一起源的结论受到挑战。834只欧亚家鸡和66只红原鸡的控制区序列可分为A～I共9个母系单倍群，其中7个同时见于家鸡和红原鸡。这些单倍群的分布有明显的地域差异：A、B、E广布欧亚，C主要见于日本和中国东南部，F、G几乎只见于云南。依据这些地域差异、地区特有单倍型和群体扩张信号，研究者提出家鸡在南亚和东南亚多地起源</w:t>
      </w:r>
      <w:r>
        <w:rPr>
          <w:vertAlign w:val="superscript"/>
        </w:rPr>
        <w:t>[5]</w:t>
      </w:r>
      <w:r>
        <w:t>。此后，争论集中在一个问题上：具有地域差异的母系单倍群，是否意味着各地分别驯化了红原鸡。</w:t>
      </w:r>
    </w:p>
    <w:p>
      <w:pPr>
        <w:jc w:val="both"/>
      </w:pPr>
      <w:r>
        <w:t xml:space="preserve">完整线粒体基因组提高了单倍群归类的精度，也为单倍群的地域差异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H、I采用了与早期控制区研究不同的单倍群定义</w:t>
      </w:r>
      <w:r>
        <w:rPr>
          <w:vertAlign w:val="superscript"/>
        </w:rPr>
        <w:t xml:space="preserve">[6]</w:t>
      </w:r>
      <w:r>
        <w:t xml:space="preserve">。地域集中的单倍群仍然存在：E2、E3主要见于南亚，H见于中国西南及部分冲绳斗鸡，研究者据此提出这些地区发生过局部独立驯化。同一研究还提出，驯化前母系变异的保留和驯化后的杂交均可解释家鸡与红原鸡共享的常见单倍群</w:t>
      </w:r>
      <w:r>
        <w:rPr>
          <w:vertAlign w:val="superscript"/>
        </w:rPr>
        <w:t xml:space="preserve">[6]</w:t>
      </w:r>
      <w:r>
        <w:t xml:space="preserve">。印度的独立驯化主张同样主要依据母系资料。印度家鸡与不同的红原鸡群体共享单倍型</w:t>
      </w:r>
      <w:r>
        <w:rPr>
          <w:vertAlign w:val="superscript"/>
        </w:rPr>
        <w:t xml:space="preserve">[7]</w:t>
      </w:r>
      <w:r>
        <w:t xml:space="preserve">；印度6个地方品种及圈养红原鸡的完整线粒体比较发现，印度红原鸡与家鸡在系统树上分开，作者结合只含印度样本的分组提出了独立驯化的解释</w:t>
      </w:r>
      <w:r>
        <w:rPr>
          <w:vertAlign w:val="superscript"/>
        </w:rPr>
        <w:t xml:space="preserve">[8]</w:t>
      </w:r>
      <w:r>
        <w:t xml:space="preserve">。该研究采用每组5只个体的混合样本，未比较独立驯化与家鸡传入后杂交两种情景，其系统树上的A—F分组也未与常用母系单倍群体系建立对应关系</w:t>
      </w:r>
      <w:r>
        <w:rPr>
          <w:vertAlign w:val="superscript"/>
        </w:rPr>
        <w:t xml:space="preserve">[8]</w:t>
      </w:r>
      <w:r>
        <w:t xml:space="preserve">。</w:t>
      </w:r>
    </w:p>
    <w:p>
      <w:pPr>
        <w:jc w:val="both"/>
      </w:pPr>
      <w:r>
        <w:t xml:space="preserve">后续研究显示，驯化后的育种和传播也会影响母系分布。C1亚单倍群和A单倍群在黄淮流域多样性较高，并在东亚斗鸡中富集，其较晚扩张可能与斗鸡的育种和传播有关</w:t>
      </w:r>
      <w:r>
        <w:rPr>
          <w:vertAlign w:val="superscript"/>
        </w:rPr>
        <w:t xml:space="preserve">[9]</w:t>
      </w:r>
      <w:r>
        <w:t xml:space="preserve">。在完整序列比较中，一只日本德地地鸡的D单倍群序列归入D2亚单倍群，东南亚岛屿和太平洋样本的D单倍群序列归入D1亚单倍群。日本这一母系由此被联系到中国北方及邻近地区；该研究的D2样本来自日本和新疆各一个体</w:t>
      </w:r>
      <w:r>
        <w:rPr>
          <w:vertAlign w:val="superscript"/>
        </w:rPr>
        <w:t xml:space="preserve">[10]</w:t>
      </w:r>
      <w:r>
        <w:t xml:space="preserve">。</w:t>
      </w:r>
    </w:p>
    <w:p>
      <w:pPr>
        <w:jc w:val="both"/>
      </w:pPr>
      <w:r>
        <w:t xml:space="preserve">线粒体资料确立了家鸡与红原鸡的主要母系联系。祖先母系变异的保留和驯化后杂交共同影响家鸡的母系多样性；选择和性别偏向的基因交流则可造成母系与核基因组亲缘关系的差异</w:t>
      </w:r>
      <w:r>
        <w:rPr>
          <w:vertAlign w:val="superscript"/>
        </w:rPr>
        <w:t xml:space="preserve">[11,12]</w:t>
      </w:r>
      <w:r>
        <w:t xml:space="preserve">。</w:t>
      </w:r>
    </w:p>
    <w:p>
      <w:pPr>
        <w:pStyle w:val="Heading1"/>
      </w:pPr>
      <w:r>
        <w:t xml:space="preserve">3.2 核遗传证据与主要祖先群体</w:t>
      </w:r>
    </w:p>
    <w:p>
      <w:pPr>
        <w:jc w:val="both"/>
      </w:pPr>
      <w:r>
        <w:t xml:space="preserve">核DNA由父母双方传递。跨群体比较和群体历史分析可以区分祖先变异保留与后期基因交流，补充母系来源的判断。基于少数亚种和区域样本的比较，所得亲缘结果并不一致。微卫星分析显示，中国地方鸡与中国</w:t>
      </w:r>
      <w:r>
        <w:rPr>
          <w:i w:val="1"/>
        </w:rPr>
        <w:t xml:space="preserve">G. g. spadiceus</w:t>
      </w:r>
      <w:r>
        <w:t xml:space="preserve">的亲缘关系比与泰国</w:t>
      </w:r>
      <w:r>
        <w:rPr>
          <w:i w:val="1"/>
        </w:rPr>
        <w:t xml:space="preserve">G. g. gallus</w:t>
      </w:r>
      <w:r>
        <w:t xml:space="preserve">更近</w:t>
      </w:r>
      <w:r>
        <w:rPr>
          <w:vertAlign w:val="superscript"/>
        </w:rPr>
        <w:t xml:space="preserve">[13]</w:t>
      </w:r>
      <w:r>
        <w:t xml:space="preserve">。泰国取样的12个红原鸡群体（298只，来自11个保护中心，含</w:t>
      </w:r>
      <w:r>
        <w:rPr>
          <w:i w:val="1"/>
        </w:rPr>
        <w:t xml:space="preserve">G. g. gallus</w:t>
      </w:r>
      <w:r>
        <w:t xml:space="preserve">和</w:t>
      </w:r>
      <w:r>
        <w:rPr>
          <w:i w:val="1"/>
        </w:rPr>
        <w:t xml:space="preserve">G. g. spadiceus</w:t>
      </w:r>
      <w:r>
        <w:t xml:space="preserve">）与10个鸡品种（138只）的微卫星比较未清楚区分两个红原鸡亚种，家鸡与</w:t>
      </w:r>
      <w:r>
        <w:rPr>
          <w:i w:val="1"/>
        </w:rPr>
        <w:t xml:space="preserve">G. g. spadiceus</w:t>
      </w:r>
      <w:r>
        <w:t xml:space="preserve">的亲缘也未比与</w:t>
      </w:r>
      <w:r>
        <w:rPr>
          <w:i w:val="1"/>
        </w:rPr>
        <w:t xml:space="preserve">G. g. gallus</w:t>
      </w:r>
      <w:r>
        <w:t xml:space="preserve">更近。红原鸡群体的遗传多样性较高，作者结合原鸡中特有的母系变异，推测驯化涉及部分原鸡基因库；亚洲其他地区所见的部分线粒体单倍群未在这些泰国样本中出现，作者据此提出东南亚多地独立驯化的解释</w:t>
      </w:r>
      <w:r>
        <w:rPr>
          <w:vertAlign w:val="superscript"/>
        </w:rPr>
        <w:t xml:space="preserve">[14]</w:t>
      </w:r>
      <w:r>
        <w:t xml:space="preserve">。25个核基因座的30个内含子序列分析，将家鸡与红原鸡共享的单倍型解释为祖先多态保留和后期渗入共同作用的结果；模型估计两者于58,000±16,000年前分化，远早于考古记录的驯化年代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在覆盖原鸡属各物种的全基因组比较中，红原鸡是家鸡的主要祖先物种，其他物种的贡献以渗入形式存在，其中家鸡与灰原鸡之间的双向渗入较为广泛（见第3.3节）</w:t>
      </w:r>
      <w:r>
        <w:rPr>
          <w:vertAlign w:val="superscript"/>
        </w:rPr>
        <w:t xml:space="preserve">[16]</w:t>
      </w:r>
      <w:r>
        <w:t xml:space="preserve">。覆盖红原鸡全部5个亚种的863个基因组进一步把主要祖源定位到</w:t>
      </w:r>
      <w:r>
        <w:rPr>
          <w:i w:val="1"/>
        </w:rPr>
        <w:t xml:space="preserve">G. g. spadiceus</w:t>
      </w:r>
      <w:r>
        <w:t xml:space="preserve">：696只家鸡中，除2只外都与部分</w:t>
      </w:r>
      <w:r>
        <w:rPr>
          <w:i w:val="1"/>
        </w:rPr>
        <w:t xml:space="preserve">G. g. spadiceus</w:t>
      </w:r>
      <w:r>
        <w:t xml:space="preserve">构成单系群，群体结构、等位基因共享和群体混合图（TreeMix）</w:t>
      </w:r>
      <w:r>
        <w:rPr>
          <w:vertAlign w:val="superscript"/>
        </w:rPr>
        <w:t xml:space="preserve">[17]</w:t>
      </w:r>
      <w:r>
        <w:t xml:space="preserve">分析也都指向</w:t>
      </w:r>
      <w:r>
        <w:rPr>
          <w:i w:val="1"/>
        </w:rPr>
        <w:t xml:space="preserve">G. g. spadiceus</w:t>
      </w:r>
      <w:r>
        <w:rPr>
          <w:vertAlign w:val="superscript"/>
        </w:rPr>
        <w:t xml:space="preserve">[18]</w:t>
      </w:r>
      <w:r>
        <w:t xml:space="preserve">。约一个世纪前的历史</w:t>
      </w:r>
      <w:r>
        <w:rPr>
          <w:i w:val="1"/>
        </w:rPr>
        <w:t xml:space="preserve">G. g. spadiceus</w:t>
      </w:r>
      <w:r>
        <w:t xml:space="preserve">标本也比其他亚种更接近家鸡，支持现生基因组的主要祖源判断</w:t>
      </w:r>
      <w:r>
        <w:rPr>
          <w:vertAlign w:val="superscript"/>
        </w:rPr>
        <w:t xml:space="preserve">[19]</w:t>
      </w:r>
      <w:r>
        <w:t xml:space="preserve">。</w:t>
      </w:r>
    </w:p>
    <w:p>
      <w:pPr>
        <w:jc w:val="both"/>
      </w:pPr>
      <w:r>
        <w:t xml:space="preserve">家鸡在驯化后的传播和育种中还吸收了其他亚种与品种的遗传成分。全基因组研究比较了印度鸡来源的两种情景：</w:t>
      </w:r>
      <w:r>
        <w:rPr>
          <w:i w:val="1"/>
        </w:rPr>
        <w:t xml:space="preserve">G. g. spadiceus</w:t>
      </w:r>
      <w:r>
        <w:t xml:space="preserve">来源的鸡群传入后吸收当地</w:t>
      </w:r>
      <w:r>
        <w:rPr>
          <w:i w:val="1"/>
        </w:rPr>
        <w:t xml:space="preserve">G. g. murghi</w:t>
      </w:r>
      <w:r>
        <w:t xml:space="preserve">变异，或</w:t>
      </w:r>
      <w:r>
        <w:rPr>
          <w:i w:val="1"/>
        </w:rPr>
        <w:t xml:space="preserve">G. g. murghi</w:t>
      </w:r>
      <w:r>
        <w:t xml:space="preserve">先被独立驯化、其后代再被外来鸡群大量替代。印度鸡与</w:t>
      </w:r>
      <w:r>
        <w:rPr>
          <w:i w:val="1"/>
        </w:rPr>
        <w:t xml:space="preserve">G. g. murghi</w:t>
      </w:r>
      <w:r>
        <w:t xml:space="preserve">共享的单倍型片段长于与</w:t>
      </w:r>
      <w:r>
        <w:rPr>
          <w:i w:val="1"/>
        </w:rPr>
        <w:t xml:space="preserve">G. g. spadiceus</w:t>
      </w:r>
      <w:r>
        <w:t xml:space="preserve">共享的片段，群体历史模型也更支持前一种解释</w:t>
      </w:r>
      <w:r>
        <w:rPr>
          <w:vertAlign w:val="superscript"/>
        </w:rPr>
        <w:t xml:space="preserve">[18]</w:t>
      </w:r>
      <w:r>
        <w:t xml:space="preserve">。多国商业白来航样本中，</w:t>
      </w:r>
      <w:r>
        <w:rPr>
          <w:i w:val="1"/>
        </w:rPr>
        <w:t xml:space="preserve">G. g. murghi</w:t>
      </w:r>
      <w:r>
        <w:t xml:space="preserve">祖源约占25%；印度尼西亚鸡含</w:t>
      </w:r>
      <w:r>
        <w:rPr>
          <w:i w:val="1"/>
        </w:rPr>
        <w:t xml:space="preserve">G. g. bankiva</w:t>
      </w:r>
      <w:r>
        <w:t xml:space="preserve">和</w:t>
      </w:r>
      <w:r>
        <w:rPr>
          <w:i w:val="1"/>
        </w:rPr>
        <w:t xml:space="preserve">G. g. gallus</w:t>
      </w:r>
      <w:r>
        <w:t xml:space="preserve">相关祖源，中国鸡含</w:t>
      </w:r>
      <w:r>
        <w:rPr>
          <w:i w:val="1"/>
        </w:rPr>
        <w:t xml:space="preserve">G. g. jabouillei</w:t>
      </w:r>
      <w:r>
        <w:t xml:space="preserve">相关祖源</w:t>
      </w:r>
      <w:r>
        <w:rPr>
          <w:vertAlign w:val="superscript"/>
        </w:rPr>
        <w:t xml:space="preserve">[18]</w:t>
      </w:r>
      <w:r>
        <w:t xml:space="preserve">。印度57只野生红原鸡与79只邻近家鸡的比较识别出混合个体，共享母系单倍型的频率提示家鸡向野生群体的输入</w:t>
      </w:r>
      <w:r>
        <w:rPr>
          <w:vertAlign w:val="superscript"/>
        </w:rPr>
        <w:t xml:space="preserve">[20]</w:t>
      </w:r>
      <w:r>
        <w:t xml:space="preserve">。商业鸡的输入同样改变了地方鸡：8个中国地方品种平均约15%的基因组来自商业肉鸡渗入，范围从藏鸡的0.64%到惠阳胡须鸡的21.52%</w:t>
      </w:r>
      <w:r>
        <w:rPr>
          <w:vertAlign w:val="superscript"/>
        </w:rPr>
        <w:t xml:space="preserve">[21]</w:t>
      </w:r>
      <w:r>
        <w:t xml:space="preserve">。现代鸡群的亲缘关系是主要祖源与后期交流共同作用的结果。</w:t>
      </w:r>
    </w:p>
    <w:p>
      <w:pPr>
        <w:jc w:val="both"/>
      </w:pPr>
      <w:r>
        <w:t xml:space="preserve">全基因组比较和历史标本资料支持</w:t>
      </w:r>
      <w:r>
        <w:rPr>
          <w:i w:val="1"/>
        </w:rPr>
        <w:t xml:space="preserve">G. g. spadiceus</w:t>
      </w:r>
      <w:r>
        <w:t xml:space="preserve">相关群体为家鸡的主要祖先</w:t>
      </w:r>
      <w:r>
        <w:rPr>
          <w:vertAlign w:val="superscript"/>
        </w:rPr>
        <w:t xml:space="preserve">[18,19]</w:t>
      </w:r>
      <w:r>
        <w:t xml:space="preserve">。多个地域母系单倍群与共同的主要核祖源并存。该亚种内部参与驯化的群体数、地点和驯化次数仍需结合考古记录判断（见第4节）。</w:t>
      </w:r>
    </w:p>
    <w:p>
      <w:pPr>
        <w:pStyle w:val="Heading1"/>
      </w:pPr>
      <w:r>
        <w:t xml:space="preserve">3.3 其他原鸡物种的遗传贡献</w:t>
      </w:r>
    </w:p>
    <w:p>
      <w:pPr>
        <w:jc w:val="both"/>
      </w:pPr>
      <w:r>
        <w:t xml:space="preserve">其他原鸡物种对家鸡的贡献以局部核片段为主。最清楚的实例是黄色皮肤：该性状被定位到包含</w:t>
      </w:r>
      <w:r>
        <w:rPr>
          <w:i w:val="1"/>
        </w:rPr>
        <w:t xml:space="preserve">BCO2</w:t>
      </w:r>
      <w:r>
        <w:t xml:space="preserve">的23.8 kb片段，黄皮家鸡的该片段与灰原鸡（</w:t>
      </w:r>
      <w:r>
        <w:rPr>
          <w:i w:val="1"/>
        </w:rPr>
        <w:t xml:space="preserve">G. sonneratii</w:t>
      </w:r>
      <w:r>
        <w:t xml:space="preserve">）接近，线粒体和另外5个核标记则支持家鸡与红原鸡的亲缘关系，该片段最可能经杂交来自灰原鸡</w:t>
      </w:r>
      <w:r>
        <w:rPr>
          <w:vertAlign w:val="superscript"/>
        </w:rPr>
        <w:t xml:space="preserve">[22]</w:t>
      </w:r>
      <w:r>
        <w:t xml:space="preserve">。这一等位型还影响类胡萝卜素的储存与分配。连续回交实验在近似相同的白来航背景下比较两种等位型，发现黄皮型鸡皮肤、肌肉和脂肪中的</w:t>
      </w:r>
      <w:r>
        <w:rPr>
          <w:i w:val="1"/>
        </w:rPr>
        <w:t xml:space="preserve">BCO2</w:t>
      </w:r>
      <w:r>
        <w:t xml:space="preserve">表达较低，腿部皮肤积累的类胡萝卜素较多；停止补喂胡萝卜和苜蓿后，其母鸡产蛋早期的蛋黄叶黄素也高于红原鸡型母鸡</w:t>
      </w:r>
      <w:r>
        <w:rPr>
          <w:vertAlign w:val="superscript"/>
        </w:rPr>
        <w:t xml:space="preserve">[23]</w:t>
      </w:r>
      <w:r>
        <w:t xml:space="preserve">。全基因组分析在多个鸡群中又识别出8处灰原鸡来源的候选区域，并检出家鸡或红原鸡向灰原鸡的反向输入</w:t>
      </w:r>
      <w:r>
        <w:rPr>
          <w:vertAlign w:val="superscript"/>
        </w:rPr>
        <w:t xml:space="preserve">[16]</w:t>
      </w:r>
      <w:r>
        <w:t xml:space="preserve">。此外，含</w:t>
      </w:r>
      <w:r>
        <w:rPr>
          <w:i w:val="1"/>
        </w:rPr>
        <w:t xml:space="preserve">IGFBP2</w:t>
      </w:r>
      <w:r>
        <w:t xml:space="preserve">、</w:t>
      </w:r>
      <w:r>
        <w:rPr>
          <w:i w:val="1"/>
        </w:rPr>
        <w:t xml:space="preserve">TKT</w:t>
      </w:r>
      <w:r>
        <w:t xml:space="preserve">、</w:t>
      </w:r>
      <w:r>
        <w:rPr>
          <w:i w:val="1"/>
        </w:rPr>
        <w:t xml:space="preserve">MYBPHL</w:t>
      </w:r>
      <w:r>
        <w:t xml:space="preserve">等基因的候选片段可能与生长或肌肉性状有关，但效应尚未验证</w:t>
      </w:r>
      <w:r>
        <w:rPr>
          <w:vertAlign w:val="superscript"/>
        </w:rPr>
        <w:t xml:space="preserve">[24,25]</w:t>
      </w:r>
      <w:r>
        <w:t xml:space="preserve">。斯里兰卡原鸡（</w:t>
      </w:r>
      <w:r>
        <w:rPr>
          <w:i w:val="1"/>
        </w:rPr>
        <w:t xml:space="preserve">G. lafayettii</w:t>
      </w:r>
      <w:r>
        <w:t xml:space="preserve">）和绿原鸡（</w:t>
      </w:r>
      <w:r>
        <w:rPr>
          <w:i w:val="1"/>
        </w:rPr>
        <w:t xml:space="preserve">G. varius</w:t>
      </w:r>
      <w:r>
        <w:t xml:space="preserve">）的核片段实例较少。斯里兰卡地方鸡的线粒体比较未显示斯里兰卡原鸡的母系贡献</w:t>
      </w:r>
      <w:r>
        <w:rPr>
          <w:vertAlign w:val="superscript"/>
        </w:rPr>
        <w:t xml:space="preserve">[26]</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。局部分析在斯里兰卡家鸡中检出4处斯里兰卡原鸡来源的候选区域，并在狼山鸡中检出约100 kb的绿原鸡来源片段</w:t>
      </w:r>
      <w:r>
        <w:rPr>
          <w:vertAlign w:val="superscript"/>
        </w:rPr>
        <w:t xml:space="preserve">[16]</w:t>
      </w:r>
      <w:r>
        <w:t xml:space="preserve">。其他物种的局部贡献与家鸡以红原鸡为主的祖源并存。多数片段进入家鸡的具体时期仍不清楚</w:t>
      </w:r>
      <w:r>
        <w:rPr>
          <w:vertAlign w:val="superscript"/>
        </w:rPr>
        <w:t xml:space="preserve">[16,24,25]</w:t>
      </w:r>
      <w:r>
        <w:t xml:space="preserve">。</w:t>
      </w:r>
    </w:p>
    <w:p>
      <w:pPr>
        <w:pStyle w:val="Title"/>
      </w:pPr>
      <w:r>
        <w:t xml:space="preserve">4 初始驯化的地点与过程</w:t>
      </w:r>
    </w:p>
    <w:p>
      <w:pPr>
        <w:pStyle w:val="Heading1"/>
      </w:pPr>
      <w:r>
        <w:t xml:space="preserve">4.1 初始驯化的地点与年代</w:t>
      </w:r>
    </w:p>
    <w:p>
      <w:pPr>
        <w:jc w:val="both"/>
      </w:pPr>
      <w:r>
        <w:t xml:space="preserve">中国北方早全新世驯化的主张受到重新检验后，现有较可靠的证据更多指向中国西南和东南亚大陆，但具体驯化地点仍未完全确定。古线粒体DNA研究曾提出中国北方距今约1万年的驯化解释</w:t>
      </w:r>
      <w:r>
        <w:rPr>
          <w:vertAlign w:val="superscript"/>
        </w:rPr>
        <w:t xml:space="preserve">[28]</w:t>
      </w:r>
      <w:r>
        <w:t xml:space="preserve">，随后引发了围绕序列、骨骼鉴定和遗址背景的讨论</w:t>
      </w:r>
      <w:r>
        <w:rPr>
          <w:vertAlign w:val="superscript"/>
        </w:rPr>
        <w:t xml:space="preserve">[29,30,31,32,33]</w:t>
      </w:r>
      <w:r>
        <w:t xml:space="preserve">。骨骼重鉴表明，中国中北部18处遗址原报的429件鸡骨均非鸡骨</w:t>
      </w:r>
      <w:r>
        <w:rPr>
          <w:vertAlign w:val="superscript"/>
        </w:rPr>
        <w:t xml:space="preserve">[34]</w:t>
      </w:r>
      <w:r>
        <w:t xml:space="preserve">；大地湾的疑似鸡骨则属于以谷物为食的雉鸡</w:t>
      </w:r>
      <w:r>
        <w:rPr>
          <w:vertAlign w:val="superscript"/>
        </w:rPr>
        <w:t xml:space="preserve">[35,36]</w:t>
      </w:r>
      <w:r>
        <w:t xml:space="preserve">。这些重鉴结果使中国北方早全新世驯化的主张失去了主要考古支撑。南亚考古资料也未为较早的印度独立驯化提供可靠支持。公元前2千纪以前的原鸡属遗存，物种鉴定和家养属性都难以确认；Daimabad的哈拉帕期地层未见原鸡属，至约公元前1500～1200年的早Jorwe期才出现</w:t>
      </w:r>
      <w:r>
        <w:rPr>
          <w:vertAlign w:val="superscript"/>
        </w:rPr>
        <w:t xml:space="preserve">[37]</w:t>
      </w:r>
      <w:r>
        <w:t xml:space="preserve">。核基因组分析也更支持家鸡传入印度后吸收当地</w:t>
      </w:r>
      <w:r>
        <w:rPr>
          <w:i w:val="1"/>
        </w:rPr>
        <w:t xml:space="preserve">G. g. murghi</w:t>
      </w:r>
      <w:r>
        <w:t xml:space="preserve">变异的解释（见第3.2节）</w:t>
      </w:r>
      <w:r>
        <w:rPr>
          <w:vertAlign w:val="superscript"/>
        </w:rPr>
        <w:t xml:space="preserve">[18]</w:t>
      </w:r>
      <w:r>
        <w:t xml:space="preserve">。泰国Ban Non Wat发现了候选鸡骨</w:t>
      </w:r>
      <w:r>
        <w:rPr>
          <w:vertAlign w:val="superscript"/>
        </w:rPr>
        <w:t xml:space="preserve">[38]</w:t>
      </w:r>
      <w:r>
        <w:t xml:space="preserve">，较晚阶段遗存的古线粒体序列也确认了原鸡属身份</w:t>
      </w:r>
      <w:r>
        <w:rPr>
          <w:vertAlign w:val="superscript"/>
        </w:rPr>
        <w:t xml:space="preserve">[39]</w:t>
      </w:r>
      <w:r>
        <w:t xml:space="preserve">。Peters等将该遗址约公元前1650～1250年的遗存列为其综合评估中最早的明确家鸡记录</w:t>
      </w:r>
      <w:r>
        <w:rPr>
          <w:vertAlign w:val="superscript"/>
        </w:rPr>
        <w:t xml:space="preserve">[37]</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；菜园子的鸡骨缺少可复核的形态描述，大墩子的标本在原报告中则被列为可能家养，目前仍作为候选记录</w:t>
      </w:r>
      <w:r>
        <w:rPr>
          <w:vertAlign w:val="superscript"/>
        </w:rPr>
        <w:t xml:space="preserve">[42]</w:t>
      </w:r>
      <w:r>
        <w:t xml:space="preserve">。泰国与云南的候选地点位于</w:t>
      </w:r>
      <w:r>
        <w:rPr>
          <w:i w:val="1"/>
        </w:rPr>
        <w:t xml:space="preserve">G. g. spadiceus</w:t>
      </w:r>
      <w:r>
        <w:t xml:space="preserve">现今的分布区（中国西南、泰国北部和缅甸）内或其附近，与遗传证据指向的区域相接</w:t>
      </w:r>
      <w:r>
        <w:rPr>
          <w:vertAlign w:val="superscript"/>
        </w:rPr>
        <w:t xml:space="preserve">[18]</w:t>
      </w:r>
      <w:r>
        <w:t xml:space="preserve">。Wang等用多重序列马尔可夫溯祖模型（MSMC）估计，家鸡与</w:t>
      </w:r>
      <w:r>
        <w:rPr>
          <w:i w:val="1"/>
        </w:rPr>
        <w:t xml:space="preserve">G. g. spadiceus</w:t>
      </w:r>
      <w:r>
        <w:t xml:space="preserve">约在（9500±3300）年前分化</w:t>
      </w:r>
      <w:r>
        <w:rPr>
          <w:vertAlign w:val="superscript"/>
        </w:rPr>
        <w:t xml:space="preserve">[18]</w:t>
      </w:r>
      <w:r>
        <w:t xml:space="preserve">；这一节点可能对应开始饲养前祖先群体的分化。</w:t>
      </w:r>
    </w:p>
    <w:p>
      <w:pPr>
        <w:pStyle w:val="Heading1"/>
      </w:pPr>
      <w:r>
        <w:t xml:space="preserve">4.2 农业共栖与持续饲养</w:t>
      </w:r>
    </w:p>
    <w:p>
      <w:pPr>
        <w:jc w:val="both"/>
      </w:pPr>
      <w:r>
        <w:t xml:space="preserve">这一带早期家鸡的出现，与稻、粟农业的扩散有关。农业共栖模型认为，稻、粟种植进入原鸡分布区后，开垦和休耕形成的次生灌丛扩大了适宜生境，收获、加工和储藏留下的谷物又提供了食物，原鸡因此反复接近聚落</w:t>
      </w:r>
      <w:r>
        <w:rPr>
          <w:vertAlign w:val="superscript"/>
        </w:rPr>
        <w:t xml:space="preserve">[37]</w:t>
      </w:r>
      <w:r>
        <w:t xml:space="preserve">。这一过程符合动物驯化的共栖路径：人类先改变动物的食物和生境，再逐步加强对其繁殖和生存的管理</w:t>
      </w:r>
      <w:r>
        <w:rPr>
          <w:vertAlign w:val="superscript"/>
        </w:rPr>
        <w:t xml:space="preserve">[43]</w:t>
      </w:r>
      <w:r>
        <w:t xml:space="preserve">。现代生态观察支持其中的食物和生境联系。泰国的红原鸡利用开垦地及其边缘，嗉囊和肌胃中既有栽培稻、玉米，也有野外食物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。不过，接近聚落还不等于被饲养，大地湾以谷物为食的雉鸡就是一例</w:t>
      </w:r>
      <w:r>
        <w:rPr>
          <w:vertAlign w:val="superscript"/>
        </w:rPr>
        <w:t xml:space="preserve">[35]</w:t>
      </w:r>
      <w:r>
        <w:t xml:space="preserve">。原鸡还需经过人类的容纳和留养才能进入持续饲养。图1概括了农业共栖、持续饲养、传播和后续变化之间的联系。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rPr>
          <w:rFonts w:ascii="Times New Roman" w:hAnsi="Times New Roman" w:eastAsia="宋体"/>
          <w:b w:val="0"/>
          <w:i w:val="0"/>
          <w:color w:val="000000"/>
          <w:sz w:val="20"/>
        </w:rPr>
        <w:t>农业改变食物与生境，可能促进原鸡反复接近聚落，持续饲养和繁殖管理进一步改变人鸡关系</w:t>
      </w:r>
      <w:r>
        <w:rPr>
          <w:rFonts w:ascii="Times New Roman" w:hAnsi="Times New Roman" w:eastAsia="宋体"/>
          <w:b w:val="0"/>
          <w:i w:val="0"/>
          <w:color w:val="000000"/>
          <w:sz w:val="20"/>
          <w:vertAlign w:val="superscript"/>
        </w:rPr>
        <w:t>[37,43]</w:t>
      </w:r>
      <w:r>
        <w:rPr>
          <w:rFonts w:ascii="Times New Roman" w:hAnsi="Times New Roman" w:eastAsia="宋体"/>
          <w:b w:val="0"/>
          <w:i w:val="0"/>
          <w:color w:val="000000"/>
          <w:sz w:val="20"/>
        </w:rPr>
        <w:t>。四部分概括可以相互重叠的过程，不表示严格分离的年代阶段。家鸡主要核祖源与</w:t>
      </w:r>
      <w:r>
        <w:rPr>
          <w:rFonts w:ascii="Times New Roman" w:hAnsi="Times New Roman" w:eastAsia="宋体"/>
          <w:b w:val="0"/>
          <w:i/>
          <w:color w:val="000000"/>
          <w:sz w:val="20"/>
        </w:rPr>
        <w:t>G. g. spadiceus</w:t>
      </w:r>
      <w:r>
        <w:rPr>
          <w:rFonts w:ascii="Times New Roman" w:hAnsi="Times New Roman" w:eastAsia="宋体"/>
          <w:b w:val="0"/>
          <w:i w:val="0"/>
          <w:color w:val="000000"/>
          <w:sz w:val="20"/>
        </w:rPr>
        <w:t>相关；其他原鸡的局部渗入及后续家鸡间的基因交流继续影响其遗传组成</w:t>
      </w:r>
      <w:r>
        <w:rPr>
          <w:rFonts w:ascii="Times New Roman" w:hAnsi="Times New Roman" w:eastAsia="宋体"/>
          <w:b w:val="0"/>
          <w:i w:val="0"/>
          <w:color w:val="000000"/>
          <w:sz w:val="20"/>
          <w:vertAlign w:val="superscript"/>
        </w:rPr>
        <w:t>[16,18,21,22]</w:t>
      </w:r>
      <w:r>
        <w:rPr>
          <w:rFonts w:ascii="Times New Roman" w:hAnsi="Times New Roman" w:eastAsia="宋体"/>
          <w:b w:val="0"/>
          <w:i w:val="0"/>
          <w:color w:val="000000"/>
          <w:sz w:val="20"/>
        </w:rPr>
        <w:t>。</w:t>
      </w:r>
    </w:p>
    <w:p>
      <w:pPr>
        <w:pStyle w:val="Title"/>
      </w:pPr>
      <w:r>
        <w:t xml:space="preserve">5 家鸡的全球传播</w:t>
      </w:r>
    </w:p>
    <w:p>
      <w:pPr>
        <w:jc w:val="both"/>
      </w:pPr>
      <w:r>
        <w:t xml:space="preserve">家鸡从东南亚半岛和中国西南向外传播，于公元前2千纪后期到达中国中部、南亚和美索不达米亚</w:t>
      </w:r>
      <w:r>
        <w:rPr>
          <w:vertAlign w:val="superscript"/>
        </w:rPr>
        <w:t xml:space="preserve">[37]</w:t>
      </w:r>
      <w:r>
        <w:t xml:space="preserve">。直接测年修正了不少依据层位给出的早期年代。欧洲及西北非16处遗址的23件候选早期鸡骨经直接测年，有18件晚于原报层位年代，地中海欧洲的可靠记录因此落在公元前1千纪</w:t>
      </w:r>
      <w:r>
        <w:rPr>
          <w:vertAlign w:val="superscript"/>
        </w:rPr>
        <w:t xml:space="preserve">[48]</w:t>
      </w:r>
      <w:r>
        <w:t xml:space="preserve">。向南，非洲之角Mezber的鸡骨直接年代为公元前820～595年，研究将其与南阿拉伯和红海的交流联系起来</w:t>
      </w:r>
      <w:r>
        <w:rPr>
          <w:vertAlign w:val="superscript"/>
        </w:rPr>
        <w:t xml:space="preserve">[49]</w:t>
      </w:r>
      <w:r>
        <w:t xml:space="preserve">；下埃及、内尼日尔三角洲和东非沿海的记录则展示了后续区域传播</w:t>
      </w:r>
      <w:r>
        <w:rPr>
          <w:vertAlign w:val="superscript"/>
        </w:rPr>
        <w:t xml:space="preserve">[50,51,52,53]</w:t>
      </w:r>
      <w:r>
        <w:t xml:space="preserve">。东非Unguja Ukuu和马达加斯加Mahilaka经古DNA确认的鸡骨，分别出自公元7～8世纪和11～13世纪参与印度洋贸易的港口背景</w:t>
      </w:r>
      <w:r>
        <w:rPr>
          <w:vertAlign w:val="superscript"/>
        </w:rPr>
        <w:t xml:space="preserve">[53]</w:t>
      </w:r>
      <w:r>
        <w:t xml:space="preserve">。这些区域记录反映了较早的红海联系和较晚的印度洋交流，各地的最早记录只代表目前能够确认的出现时间。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；现代日本鸡群则由多个亚洲来源形成，后来的输入持续改变其组成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，随后到达夏威夷和Rapa Nui；Niue、夏威夷和Rapa Nui复核所得的22条可重复古鸡母系序列均属D单倍群</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；英国较早的鸡多为完整埋葬，并有老龄个体和骨折愈合的记录，说明部分鸡受到长期照护</w:t>
      </w:r>
      <w:r>
        <w:rPr>
          <w:vertAlign w:val="superscript"/>
        </w:rPr>
        <w:t xml:space="preserve">[48]</w:t>
      </w:r>
      <w:r>
        <w:t xml:space="preserve">。Mezber较早鸡骨的食物废弃背景也提供了食用线索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。在东亚，C1亚单倍群和A单倍群在斗鸡中富集，其较晚扩张可能与斗鸡的育种和传播有关</w:t>
      </w:r>
      <w:r>
        <w:rPr>
          <w:vertAlign w:val="superscript"/>
        </w:rPr>
        <w:t xml:space="preserve">[9]</w:t>
      </w:r>
      <w:r>
        <w:t xml:space="preserve">。这些记录表明，鸡的出现与集中的蛋肉生产并不总是同步。</w:t>
      </w:r>
    </w:p>
    <w:p>
      <w:pPr>
        <w:jc w:val="both"/>
      </w:pPr>
      <w:r>
        <w:t xml:space="preserve">古DNA复核和遗址重评改变了部分跨洋路线的解释。智利El Arenal-1的鸡骨曾被视为前哥伦布时期波利尼西亚人把鸡带入南美的证据</w:t>
      </w:r>
      <w:r>
        <w:rPr>
          <w:vertAlign w:val="superscript"/>
        </w:rPr>
        <w:t xml:space="preserve">[63]</w:t>
      </w:r>
      <w:r>
        <w:t xml:space="preserve">，后续母系比较质疑了这一解释</w:t>
      </w:r>
      <w:r>
        <w:rPr>
          <w:vertAlign w:val="superscript"/>
        </w:rPr>
        <w:t xml:space="preserve">[64]</w:t>
      </w:r>
      <w:r>
        <w:t xml:space="preserve">，太平洋比较样本的去污染复测又改变了原有遗传依据</w:t>
      </w:r>
      <w:r>
        <w:rPr>
          <w:vertAlign w:val="superscript"/>
        </w:rPr>
        <w:t xml:space="preserve">[59]</w:t>
      </w:r>
      <w:r>
        <w:t xml:space="preserve">；新的遗址研究支持该地存在前哥伦布时期的活动，却未发现明确的波利尼西亚接触证据</w:t>
      </w:r>
      <w:r>
        <w:rPr>
          <w:vertAlign w:val="superscript"/>
        </w:rPr>
        <w:t xml:space="preserve">[65]</w:t>
      </w:r>
      <w:r>
        <w:t xml:space="preserve">。目前更清楚的是殖民时期伊比利亚鸡与加勒比地区古鸡之间的母系联系</w:t>
      </w:r>
      <w:r>
        <w:rPr>
          <w:vertAlign w:val="superscript"/>
        </w:rPr>
        <w:t xml:space="preserve">[39]</w:t>
      </w:r>
      <w:r>
        <w:t xml:space="preserve">。马达加斯加的情况类似：依据现代母系的相近程度，曾有研究提出南亚鸡经东非传入</w:t>
      </w:r>
      <w:r>
        <w:rPr>
          <w:vertAlign w:val="superscript"/>
        </w:rPr>
        <w:t xml:space="preserve">[66]</w:t>
      </w:r>
      <w:r>
        <w:t xml:space="preserve">；后续研究扩大岛内取样，用完整线粒体基因组建立亲缘框架，再重新归类控制区序列，发现岛内以C2亚单倍群为主，来源模型比较更支持东非与马达加斯加分别接受外来种源</w:t>
      </w:r>
      <w:r>
        <w:rPr>
          <w:vertAlign w:val="superscript"/>
        </w:rPr>
        <w:t xml:space="preserve">[67]</w:t>
      </w:r>
      <w:r>
        <w:t xml:space="preserve">。扩大取样、改进谱系归类和模型比较共同改变了原来的路线解释。各地区的主要记录见表1，传播联系见图2。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rPr>
          <w:rFonts w:ascii="Times New Roman" w:hAnsi="Times New Roman" w:eastAsia="宋体"/>
          <w:b w:val="0"/>
          <w:i w:val="0"/>
          <w:color w:val="000000"/>
          <w:sz w:val="20"/>
        </w:rPr>
        <w:t>实线概括现有考古时序、历史交流及亲缘资料支持的区域联系；虚线表示候选路线或来源模型；灰色点线表示有争议的前哥伦布时期波利尼西亚—南美联系</w:t>
      </w:r>
      <w:r>
        <w:rPr>
          <w:rFonts w:ascii="Times New Roman" w:hAnsi="Times New Roman" w:eastAsia="宋体"/>
          <w:b w:val="0"/>
          <w:i w:val="0"/>
          <w:color w:val="000000"/>
          <w:sz w:val="20"/>
          <w:vertAlign w:val="superscript"/>
        </w:rPr>
        <w:t>[37,39,48,54,55,56,58,59]</w:t>
      </w:r>
      <w:r>
        <w:rPr>
          <w:rFonts w:ascii="Times New Roman" w:hAnsi="Times New Roman" w:eastAsia="宋体"/>
          <w:b w:val="0"/>
          <w:i w:val="0"/>
          <w:color w:val="000000"/>
          <w:sz w:val="20"/>
        </w:rPr>
        <w:t>。阴影为现生</w:t>
      </w:r>
      <w:r>
        <w:rPr>
          <w:rFonts w:ascii="Times New Roman" w:hAnsi="Times New Roman" w:eastAsia="宋体"/>
          <w:b w:val="0"/>
          <w:i/>
          <w:color w:val="000000"/>
          <w:sz w:val="20"/>
        </w:rPr>
        <w:t>G. g. spadiceus</w:t>
      </w:r>
      <w:r>
        <w:rPr>
          <w:rFonts w:ascii="Times New Roman" w:hAnsi="Times New Roman" w:eastAsia="宋体"/>
          <w:b w:val="0"/>
          <w:i w:val="0"/>
          <w:color w:val="000000"/>
          <w:sz w:val="20"/>
        </w:rPr>
        <w:t>分布范围的示意</w:t>
      </w:r>
      <w:r>
        <w:rPr>
          <w:rFonts w:ascii="Times New Roman" w:hAnsi="Times New Roman" w:eastAsia="宋体"/>
          <w:b w:val="0"/>
          <w:i w:val="0"/>
          <w:color w:val="000000"/>
          <w:sz w:val="20"/>
          <w:vertAlign w:val="superscript"/>
        </w:rPr>
        <w:t>[18]</w:t>
      </w:r>
      <w:r>
        <w:rPr>
          <w:rFonts w:ascii="Times New Roman" w:hAnsi="Times New Roman" w:eastAsia="宋体"/>
          <w:b w:val="0"/>
          <w:i w:val="0"/>
          <w:color w:val="000000"/>
          <w:sz w:val="20"/>
        </w:rPr>
        <w:t>。北非沿海及萨赫勒—苏丹带向西非的虚线均为候选路径</w:t>
      </w:r>
      <w:r>
        <w:rPr>
          <w:rFonts w:ascii="Times New Roman" w:hAnsi="Times New Roman" w:eastAsia="宋体"/>
          <w:b w:val="0"/>
          <w:i w:val="0"/>
          <w:color w:val="000000"/>
          <w:sz w:val="20"/>
          <w:vertAlign w:val="superscript"/>
        </w:rPr>
        <w:t>[52]</w:t>
      </w:r>
      <w:r>
        <w:rPr>
          <w:rFonts w:ascii="Times New Roman" w:hAnsi="Times New Roman" w:eastAsia="宋体"/>
          <w:b w:val="0"/>
          <w:i w:val="0"/>
          <w:color w:val="000000"/>
          <w:sz w:val="20"/>
        </w:rPr>
        <w:t>。M1表示南亚经东非传入马达加斯加的旧假说，M2表示东非与马达加斯加分别接受外来种源的模型；M2的来源参照包含印度和非洲大陆群体，起点为来源集合的示意位置</w:t>
      </w:r>
      <w:r>
        <w:rPr>
          <w:rFonts w:ascii="Times New Roman" w:hAnsi="Times New Roman" w:eastAsia="宋体"/>
          <w:b w:val="0"/>
          <w:i w:val="0"/>
          <w:color w:val="000000"/>
          <w:sz w:val="20"/>
          <w:vertAlign w:val="superscript"/>
        </w:rPr>
        <w:t>[66,67]</w:t>
      </w:r>
      <w:r>
        <w:rPr>
          <w:rFonts w:ascii="Times New Roman" w:hAnsi="Times New Roman" w:eastAsia="宋体"/>
          <w:b w:val="0"/>
          <w:i w:val="0"/>
          <w:color w:val="000000"/>
          <w:sz w:val="20"/>
        </w:rPr>
        <w:t>。两侧A续接殖民时期伊比利亚与海地、佛罗里达的联系</w:t>
      </w:r>
      <w:r>
        <w:rPr>
          <w:rFonts w:ascii="Times New Roman" w:hAnsi="Times New Roman" w:eastAsia="宋体"/>
          <w:b w:val="0"/>
          <w:i w:val="0"/>
          <w:color w:val="000000"/>
          <w:sz w:val="20"/>
          <w:vertAlign w:val="superscript"/>
        </w:rPr>
        <w:t>[39]</w:t>
      </w:r>
      <w:r>
        <w:rPr>
          <w:rFonts w:ascii="Times New Roman" w:hAnsi="Times New Roman" w:eastAsia="宋体"/>
          <w:b w:val="0"/>
          <w:i w:val="0"/>
          <w:color w:val="000000"/>
          <w:sz w:val="20"/>
        </w:rPr>
        <w:t>。编号与表1对应，15a/15b分别为Unguja Ukuu/Mahilaka，16a/16b分别为Nenumbo/Tongoleleka。具体年代及证据对象见表1。海岸线依据Natural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Peters等综合评估将最早阶段遗存列为早期家鸡记录；较晚阶段古DNA仅确认原鸡属身份，不能直接验证最早阶段的家养属性。幼鸟及繁殖候选仍需按各自分期判断。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原文认为两件鸡骨与相应遗址背景年代相符，但原论文表2所列直接校准区间与原报背景年代未见重叠，二者的对应关系尚需核实，不宜据此确定具体传入年份。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Buto：相关层位跨赛特至罗马时期；Tell el-Maskhuta：约公元前320～200年组合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两地鸡骨提供下埃及存在记录；Buto只能定位较宽时期，Tell el-Maskhuta所列组合属于希腊化背景。</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Nenumbo为Peters等转引的海洋储库校正日期；Tongoleleka为原研究对6个个体的加权合并区间。支持太平洋西南部较早已有鸡。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公元前1千纪早期；鸡骨食性校正与遗址沉积模型年代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后续定年结合食性偏移及贝叶斯沉积模型，支持拉皮塔时期已有鸡；不以遗址占居期给全部鸡骨赋同一日期。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个体年代、遗址背景与传播来源分别受到检验；现有证据尚不足以确定前哥伦布时期的波利尼西亚传入。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古线粒体短片段与中世纪伊比利亚鸡共享单倍型，结合殖民背景支持跨大西洋输入。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rPr>
          <w:rFonts w:ascii="Times New Roman" w:hAnsi="Times New Roman" w:eastAsia="宋体"/>
          <w:b w:val="0"/>
          <w:i w:val="0"/>
          <w:color w:val="000000"/>
          <w:sz w:val="19"/>
        </w:rPr>
        <w:t>cal BP以公元1950年为基准。Nenumbo沿用Peters等所载储库校正区间（95%概率）；Tongoleleka沿用Steadman等原研究对6个个体的加权合并区间，不能视为每个个体均获得同一精确日期</w:t>
      </w:r>
      <w:r>
        <w:rPr>
          <w:rFonts w:ascii="Times New Roman" w:hAnsi="Times New Roman" w:eastAsia="宋体"/>
          <w:b w:val="0"/>
          <w:i w:val="0"/>
          <w:color w:val="000000"/>
          <w:sz w:val="19"/>
          <w:vertAlign w:val="superscript"/>
        </w:rPr>
        <w:t>[37,56]</w:t>
      </w:r>
      <w:r>
        <w:rPr>
          <w:rFonts w:ascii="Times New Roman" w:hAnsi="Times New Roman" w:eastAsia="宋体"/>
          <w:b w:val="0"/>
          <w:i w:val="0"/>
          <w:color w:val="000000"/>
          <w:sz w:val="19"/>
        </w:rPr>
        <w:t>。</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Title"/>
      </w:pPr>
      <w:r>
        <w:t xml:space="preserve">6 家鸡的性状分化与选育</w:t>
      </w:r>
    </w:p>
    <w:p>
      <w:pPr>
        <w:pStyle w:val="Heading1"/>
      </w:pPr>
      <w:r>
        <w:t xml:space="preserve">6.1 环境适应与抗病性</w:t>
      </w:r>
    </w:p>
    <w:p>
      <w:pPr>
        <w:jc w:val="both"/>
      </w:pPr>
      <w:r>
        <w:rPr>
          <w:b/>
        </w:rPr>
        <w:t xml:space="preserve">高海拔适应。</w:t>
      </w:r>
      <w:r>
        <w:t xml:space="preserve">高海拔环境中的低氧直接影响鸡胚发育和孵化。在海拔2900 m的孵化试验中，藏鸡和低地矮小鸡的孵化率分别为79.72%和31.69%，补氧提高了孵化率</w:t>
      </w:r>
      <w:r>
        <w:rPr>
          <w:vertAlign w:val="superscript"/>
        </w:rPr>
        <w:t xml:space="preserve">[72]</w:t>
      </w:r>
      <w:r>
        <w:t xml:space="preserve">。藏鸡的供氧适应涉及血红蛋白的氧结合特性和组织释氧能力。αD珠蛋白Met32Leu变异与较高氧亲和力相关</w:t>
      </w:r>
      <w:r>
        <w:rPr>
          <w:vertAlign w:val="superscript"/>
        </w:rPr>
        <w:t xml:space="preserve">[73]</w:t>
      </w:r>
      <w:r>
        <w:t xml:space="preserve">；另一项晚期胚胎研究发现，低氧孵化的藏鸡血红蛋白具有更强的协同性和释氧能力</w:t>
      </w:r>
      <w:r>
        <w:rPr>
          <w:vertAlign w:val="superscript"/>
        </w:rPr>
        <w:t xml:space="preserve">[74]</w:t>
      </w:r>
      <w:r>
        <w:t xml:space="preserve">。选择扫描和胚胎转录组研究涉及的主要功能包括氧运输与缺氧应答（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），以及DNA修复和辐射应答（</w:t>
      </w:r>
      <w:r>
        <w:rPr>
          <w:i/>
        </w:rPr>
        <w:t xml:space="preserve">VCP</w:t>
      </w:r>
      <w:r>
        <w:t xml:space="preserve">、</w:t>
      </w:r>
      <w:r>
        <w:rPr>
          <w:i/>
        </w:rPr>
        <w:t xml:space="preserve">FANCG</w:t>
      </w:r>
      <w:r>
        <w:t xml:space="preserve">）</w:t>
      </w:r>
      <w:r>
        <w:rPr>
          <w:vertAlign w:val="superscript"/>
        </w:rPr>
        <w:t xml:space="preserve">[77]</w:t>
      </w:r>
      <w:r>
        <w:t xml:space="preserve">；肝脏表达差异还集中在脂肪酸代谢、能量生成和谷胱甘肽抗氧化过程</w:t>
      </w:r>
      <w:r>
        <w:rPr>
          <w:vertAlign w:val="superscript"/>
        </w:rPr>
        <w:t xml:space="preserve">[76]</w:t>
      </w:r>
      <w:r>
        <w:t xml:space="preserve">。</w:t>
      </w:r>
    </w:p>
    <w:p>
      <w:pPr>
        <w:jc w:val="both"/>
      </w:pPr>
      <w:r>
        <w:t xml:space="preserve">青藏高原和埃塞俄比亚高原地方鸡的选择信号均涉及钙信号通路。早期藏鸡基因组研究在两个遗传群体中发现了这一信号</w:t>
      </w:r>
      <w:r>
        <w:rPr>
          <w:vertAlign w:val="superscript"/>
        </w:rPr>
        <w:t xml:space="preserve">[78]</w:t>
      </w:r>
      <w:r>
        <w:t xml:space="preserve">；埃塞俄比亚26个地方鸡群体、513只鸡的比较也在高海拔群体中检出钙信号通路（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随祖源而异。对1054个鸡全基因组的分析识别出与中国西北、川滇邻近地区和喜马拉雅山南麓相关的三个祖源；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高温抑制肉鸡生长和胸肉产量，其影响随日龄和遗传背景而改变</w:t>
      </w:r>
      <w:r>
        <w:rPr>
          <w:vertAlign w:val="superscript"/>
        </w:rPr>
        <w:t xml:space="preserve">[81]</w:t>
      </w:r>
      <w:r>
        <w:t xml:space="preserve">。耐热性也能响应人工选择：在40.6℃、75%相对湿度下按存活时间进行4代双向选择后，5周龄白来航高、低耐热系的存活时间分别为86和58 min</w:t>
      </w:r>
      <w:r>
        <w:rPr>
          <w:vertAlign w:val="superscript"/>
        </w:rPr>
        <w:t xml:space="preserve">[82]</w:t>
      </w:r>
      <w:r>
        <w:t xml:space="preserve">。减少羽毛覆盖改善了散热。在35℃试验中，无羽鸡维持了接近25℃时的生长，而裸颈鸡的生长优势较小</w:t>
      </w:r>
      <w:r>
        <w:rPr>
          <w:vertAlign w:val="superscript"/>
        </w:rPr>
        <w:t xml:space="preserve">[83]</w:t>
      </w:r>
      <w:r>
        <w:t xml:space="preserve">。热带与温带鸡的基因组比较进一步检出代谢调节（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）相关候选基因。在淮南鸡分离群体中，携带</w:t>
      </w:r>
      <w:r>
        <w:rPr>
          <w:i/>
        </w:rPr>
        <w:t xml:space="preserve">TSHR</w:t>
      </w:r>
      <w:r>
        <w:t xml:space="preserve"> Gly558Arg变异的纯合子经35±1℃、12 h热应激试验后，血清丙氨酸氨基转移酶、乳酸脱氢酶和肌酸激酶水平低于野生型</w:t>
      </w:r>
      <w:r>
        <w:rPr>
          <w:vertAlign w:val="superscript"/>
        </w:rPr>
        <w:t xml:space="preserve">[84]</w:t>
      </w:r>
      <w:r>
        <w:t xml:space="preserve">。该基因与光周期及繁殖反应的关系见第6.2节。</w:t>
      </w:r>
    </w:p>
    <w:p>
      <w:pPr>
        <w:jc w:val="both"/>
      </w:pPr>
      <w:r>
        <w:t xml:space="preserve">在低温条件下，品种间的产蛋表现出现逆转。在温暖与自然寒冷环境中比较坝上长尾鸡、洛岛红鸡及其正反交后代发现，洛岛红鸡在温暖环境下产蛋表现最好，在寒冷环境下却低于其余三组；两类杂交后代在寒冷环境下的产蛋表现又高于坝上长尾鸡</w:t>
      </w:r>
      <w:r>
        <w:rPr>
          <w:vertAlign w:val="superscript"/>
        </w:rPr>
        <w:t xml:space="preserve">[85]</w:t>
      </w:r>
      <w:r>
        <w:t xml:space="preserve">。同一试验体系的甲状腺研究显示，坝上长尾鸡在两种环境下的血清甲状腺激素水平均高于洛岛红鸡；比较寒冷与温暖环境时，两品种分别检出402个和46个甲状腺差异表达基因</w:t>
      </w:r>
      <w:r>
        <w:rPr>
          <w:vertAlign w:val="superscript"/>
        </w:rPr>
        <w:t xml:space="preserve">[86]</w:t>
      </w:r>
      <w:r>
        <w:t xml:space="preserve">。不同耐寒品种的候选基因涉及不同生理环节：加拿大Chantecler鸡中检出的</w:t>
      </w:r>
      <w:r>
        <w:rPr>
          <w:i/>
        </w:rPr>
        <w:t xml:space="preserve">ME3</w:t>
      </w:r>
      <w:r>
        <w:t xml:space="preserve">和</w:t>
      </w:r>
      <w:r>
        <w:rPr>
          <w:i/>
        </w:rPr>
        <w:t xml:space="preserve">ZNF536</w:t>
      </w:r>
      <w:r>
        <w:t xml:space="preserve">分别与脂质代谢、神经调节有关</w:t>
      </w:r>
      <w:r>
        <w:rPr>
          <w:vertAlign w:val="superscript"/>
        </w:rPr>
        <w:t xml:space="preserve">[87]</w:t>
      </w:r>
      <w:r>
        <w:t xml:space="preserve">；林甸鸡中具有较强选择信号的</w:t>
      </w:r>
      <w:r>
        <w:rPr>
          <w:i/>
        </w:rPr>
        <w:t xml:space="preserve">NDUFS4</w:t>
      </w:r>
      <w:r>
        <w:t xml:space="preserve">参与线粒体氧化磷酸化，其多个位点在不同温度地区的鸡群间呈频率分化；波兰和芬兰鸡群也显示出与寒冷地区中国鸡群相近的分化模式</w:t>
      </w:r>
      <w:r>
        <w:rPr>
          <w:vertAlign w:val="superscript"/>
        </w:rPr>
        <w:t xml:space="preserve">[88]</w:t>
      </w:r>
      <w:r>
        <w:t xml:space="preserve">。</w:t>
      </w:r>
    </w:p>
    <w:p>
      <w:pPr>
        <w:jc w:val="both"/>
      </w:pPr>
      <w:r>
        <w:rPr>
          <w:b/>
        </w:rPr>
        <w:t xml:space="preserve">抗病性。</w:t>
      </w:r>
      <w:r>
        <w:t xml:space="preserve">鸡的抗病性差异表现为感染后的生长受损、组织病变和病原负荷不同。在抗性法尤米鸡与易感白来航鸡的F₂群体中，研究定位到与柔嫩艾美耳球虫感染后增重、血细胞比容和肠道病变等性状相关的数量性状基因座（QTL），其中增重相关基因座分布于多个染色体</w:t>
      </w:r>
      <w:r>
        <w:rPr>
          <w:vertAlign w:val="superscript"/>
        </w:rPr>
        <w:t xml:space="preserve">[89]</w:t>
      </w:r>
      <w:r>
        <w:t xml:space="preserve">。空肠弯曲杆菌肠道定植抗性的14号染色体QTL在回交群体和F₉高级互交群体中得到定位与细化，14号和16号染色体上的两个抗性区域与既有沙门氏菌抗性QTL重叠</w:t>
      </w:r>
      <w:r>
        <w:rPr>
          <w:vertAlign w:val="superscript"/>
        </w:rPr>
        <w:t xml:space="preserve">[90]</w:t>
      </w:r>
      <w:r>
        <w:t xml:space="preserve">。对沙门氏菌相关细胞表型的研究，将抗性基因座与异嗜性粒细胞功能联系起来。在肉鸡×白来航和肉鸡×法尤米两组F₁₃高级互交群体中，</w:t>
      </w:r>
      <w:r>
        <w:rPr>
          <w:i/>
        </w:rPr>
        <w:t xml:space="preserve">SLC11A1</w:t>
      </w:r>
      <w:r>
        <w:t xml:space="preserve">区域分别与吞噬和胞外诱捕网形成相关；在后一群体中，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。马立克病抗性品系与易感品系的基因组比较则检出含有</w:t>
      </w:r>
      <w:r>
        <w:rPr>
          <w:i/>
        </w:rPr>
        <w:t xml:space="preserve">AKT1</w:t>
      </w:r>
      <w:r>
        <w:t xml:space="preserve">、</w:t>
      </w:r>
      <w:r>
        <w:rPr>
          <w:i/>
        </w:rPr>
        <w:t xml:space="preserve">API5</w:t>
      </w:r>
      <w:r>
        <w:t xml:space="preserve">、</w:t>
      </w:r>
      <w:r>
        <w:rPr>
          <w:i/>
        </w:rPr>
        <w:t xml:space="preserve">TNFSF13B</w:t>
      </w:r>
      <w:r>
        <w:t xml:space="preserve">等基因的候选区域，涉及细胞存活、凋亡及B细胞调节</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没有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。品系差异还影响病毒传播：在低致病性H7N7禽流感病毒感染试验中，0系鸡经鼻感染后缺少持续的泄殖腔排毒，也未将病毒传给接触鸡，而C-B12系鸡持续排毒并发生传播</w:t>
      </w:r>
      <w:r>
        <w:rPr>
          <w:vertAlign w:val="superscript"/>
        </w:rPr>
        <w:t xml:space="preserve">[96]</w:t>
      </w:r>
      <w:r>
        <w:t xml:space="preserve">。同一品种的抗性优势又随病原而变。越南Ri鸡对鸡蛔虫和肠炎沙门氏菌的抗性高于商业Luong Phuong鸡，却对多杀性巴氏杆菌更易感；这一比较还发现，主要组织相容性复合体（MHC）单倍型分别与鸡蛔虫感染强度和抗沙门氏菌抗体反应相关</w:t>
      </w:r>
      <w:r>
        <w:rPr>
          <w:vertAlign w:val="superscript"/>
        </w:rPr>
        <w:t xml:space="preserve">[97]</w:t>
      </w:r>
      <w:r>
        <w:t xml:space="preserve">。</w:t>
      </w:r>
    </w:p>
    <w:p>
      <w:pPr>
        <w:pStyle w:val="Heading1"/>
      </w:pPr>
      <w:r>
        <w:t xml:space="preserve">6.2 人工选择与用途性状分化</w:t>
      </w:r>
    </w:p>
    <w:p>
      <w:pPr>
        <w:jc w:val="both"/>
      </w:pPr>
      <w:r>
        <w:rPr>
          <w:b/>
        </w:rPr>
        <w:t xml:space="preserve">生长。</w:t>
      </w:r>
      <w:r>
        <w:t xml:space="preserve">肉用选择加快了家鸡生长，并改变了肌肉与脂肪的分配。1957年、1978年保存品系与2005年商业肉鸡在相同营养条件下的比较显示，近半个世纪的选育使料重比降低约50%，胸肌产量增加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上游缺失提高调控活性，并与较大体型相关</w:t>
      </w:r>
      <w:r>
        <w:rPr>
          <w:vertAlign w:val="superscript"/>
        </w:rPr>
        <w:t xml:space="preserve">[100]</w:t>
      </w:r>
      <w:r>
        <w:t xml:space="preserve">。Connecticut伴性矮小鸡的</w:t>
      </w:r>
      <w:r>
        <w:rPr>
          <w:i/>
        </w:rPr>
        <w:t xml:space="preserve">GHR</w:t>
      </w:r>
      <w:r>
        <w:t xml:space="preserve">基因3′端1773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的表达，影响前脂肪细胞增殖与分化</w:t>
      </w:r>
      <w:r>
        <w:rPr>
          <w:vertAlign w:val="superscript"/>
        </w:rPr>
        <w:t xml:space="preserve">[102]</w:t>
      </w:r>
      <w:r>
        <w:t xml:space="preserve">。弗吉尼亚长期选择系的研究显示，多个原有遗传变异共同贡献了体重选择响应</w:t>
      </w:r>
      <w:r>
        <w:rPr>
          <w:vertAlign w:val="superscript"/>
        </w:rPr>
        <w:t xml:space="preserve">[103]</w:t>
      </w:r>
      <w:r>
        <w:t xml:space="preserve">。该系列的互交研究还识别出Growth9与另外三个基因座组成的互作网络，其他基因座的促生长效应取决于Growth9的基因型</w:t>
      </w:r>
      <w:r>
        <w:rPr>
          <w:vertAlign w:val="superscript"/>
        </w:rPr>
        <w:t xml:space="preserve">[104]</w:t>
      </w:r>
      <w:r>
        <w:t xml:space="preserve">。另在优质鸡系HQLA与惠阳胡须鸡建立的F₁₆高级互交群体中，多组织分析识别了与生长性状相关的组织特异调控关系</w:t>
      </w:r>
      <w:r>
        <w:rPr>
          <w:vertAlign w:val="superscript"/>
        </w:rPr>
        <w:t xml:space="preserve">[105]</w:t>
      </w:r>
      <w:r>
        <w:t xml:space="preserve">。在斯洛文尼亚Prelux-bro品系34代双向选择中，模型估计高体重系约在6～8代达到总选择响应的一半，低体重系则需20～28代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。在红原鸡与白来航互交群体中，携带家鸡型</w:t>
      </w:r>
      <w:r>
        <w:rPr>
          <w:i/>
        </w:rPr>
        <w:t xml:space="preserve">TSHR</w:t>
      </w:r>
      <w:r>
        <w:t xml:space="preserve">等位基因（558Arg）的纯合雄鸡对日长缩短的睾丸反应较弱；在白来航与丝羽鸡互交群体中，不孵抱亲本来源的等位基因在不同基因座分别促进或抑制孵抱</w:t>
      </w:r>
      <w:r>
        <w:rPr>
          <w:vertAlign w:val="superscript"/>
        </w:rPr>
        <w:t xml:space="preserve">[108,109]</w:t>
      </w:r>
      <w:r>
        <w:t xml:space="preserve">。产蛋调控随阶段变化：对1004只鸡全基因组及至700日龄产蛋记录的联合分析，检出了分期产蛋的加性和显性效应</w:t>
      </w:r>
      <w:r>
        <w:rPr>
          <w:vertAlign w:val="superscript"/>
        </w:rPr>
        <w:t xml:space="preserve">[111]</w:t>
      </w:r>
      <w:r>
        <w:t xml:space="preserve">。另一项研究对商业白洛克母鸡在20、30和58周龄采集的下丘脑、垂体、卵巢及肝脏样本进行分析，显示调控效应具有组织和阶段特异性</w:t>
      </w:r>
      <w:r>
        <w:rPr>
          <w:vertAlign w:val="superscript"/>
        </w:rPr>
        <w:t xml:space="preserve">[112]</w:t>
      </w:r>
      <w:r>
        <w:t xml:space="preserve">。地方鸡长期选择资料中，开产日龄与产蛋量的遗传相关因品系和代次而异</w:t>
      </w:r>
      <w:r>
        <w:rPr>
          <w:vertAlign w:val="superscript"/>
        </w:rPr>
        <w:t xml:space="preserve">[113]</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家鸡在羽色、羽型、皮肤色素及头部和四肢外形上形成了丰富的品种差异。这些性状涉及羽色和羽内图案（</w:t>
      </w:r>
      <w:r>
        <w:rPr>
          <w:i/>
        </w:rPr>
        <w:t xml:space="preserve">MC1R</w:t>
      </w:r>
      <w:r>
        <w:t xml:space="preserve">、</w:t>
      </w:r>
      <w:r>
        <w:rPr>
          <w:i/>
        </w:rPr>
        <w:t xml:space="preserve">GJA5</w:t>
      </w:r>
      <w:r>
        <w:t xml:space="preserve">）</w:t>
      </w:r>
      <w:r>
        <w:rPr>
          <w:vertAlign w:val="superscript"/>
        </w:rPr>
        <w:t xml:space="preserve">[116,117]</w:t>
      </w:r>
      <w:r>
        <w:t xml:space="preserve">，真皮与结缔组织黑色素沉着（</w:t>
      </w:r>
      <w:r>
        <w:rPr>
          <w:i/>
        </w:rPr>
        <w:t xml:space="preserve">EDN3</w:t>
      </w:r>
      <w:r>
        <w:t xml:space="preserve">）</w:t>
      </w:r>
      <w:r>
        <w:rPr>
          <w:vertAlign w:val="superscript"/>
        </w:rPr>
        <w:t xml:space="preserve">[118]</w:t>
      </w:r>
      <w:r>
        <w:t xml:space="preserve">，羽毛结构（</w:t>
      </w:r>
      <w:r>
        <w:rPr>
          <w:i/>
        </w:rPr>
        <w:t xml:space="preserve">PDSS2</w:t>
      </w:r>
      <w:r>
        <w:t xml:space="preserve">及角蛋白相关基因）</w:t>
      </w:r>
      <w:r>
        <w:rPr>
          <w:vertAlign w:val="superscript"/>
        </w:rPr>
        <w:t xml:space="preserve">[119,120,121]</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。不同氨基酸替换的组合对</w:t>
      </w:r>
      <w:r>
        <w:rPr>
          <w:i/>
        </w:rPr>
        <w:t xml:space="preserve">MC1R</w:t>
      </w:r>
      <w:r>
        <w:t xml:space="preserve">信号产生增强或抑制作用，</w:t>
      </w:r>
      <w:r>
        <w:rPr>
          <w:i/>
        </w:rPr>
        <w:t xml:space="preserve">PDSS2</w:t>
      </w:r>
      <w:r>
        <w:t xml:space="preserve">调控变异降低其表达，</w:t>
      </w:r>
      <w:r>
        <w:rPr>
          <w:i/>
        </w:rPr>
        <w:t xml:space="preserve">HOXC10</w:t>
      </w:r>
      <w:r>
        <w:t xml:space="preserve">内含子的195 bp重复与头部</w:t>
      </w:r>
      <w:r>
        <w:rPr>
          <w:i/>
        </w:rPr>
        <w:t xml:space="preserve">HOXC</w:t>
      </w:r>
      <w:r>
        <w:t xml:space="preserve">基因簇异位表达及羽冠形成相关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。44个品种的517只纤维黑色素沉着鸡共享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；鸡群关联与成肌细胞实验将该基因另一编码变异与肌纤维肥大及稳定性联系起来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。争斗方式涉及神经发育和运动调控：大军鸡的进攻型与防御型亚群开始争斗所需的时间相近，却分别表现出较多踢击或缠颈行为。群体基因组筛查检出</w:t>
      </w:r>
      <w:r>
        <w:rPr>
          <w:i/>
        </w:rPr>
        <w:t xml:space="preserve">FOXP1</w:t>
      </w:r>
      <w:r>
        <w:t xml:space="preserve">等神经发育候选基因，</w:t>
      </w:r>
      <w:r>
        <w:rPr>
          <w:i/>
        </w:rPr>
        <w:t xml:space="preserve">PPP1R1B</w:t>
      </w:r>
      <w:r>
        <w:t xml:space="preserve">差异表达和行为药理实验支持多巴胺调节的运动通路参与争斗策略差异</w:t>
      </w:r>
      <w:r>
        <w:rPr>
          <w:vertAlign w:val="superscript"/>
        </w:rPr>
        <w:t xml:space="preserve">[130]</w:t>
      </w:r>
      <w:r>
        <w:t xml:space="preserve">。不同地区斗鸡存在遗传分化，其基因组还保留了与其他家鸡及野生原鸡交流的信号</w:t>
      </w:r>
      <w:r>
        <w:rPr>
          <w:vertAlign w:val="superscript"/>
        </w:rPr>
        <w:t xml:space="preserve">[25]</w:t>
      </w:r>
      <w:r>
        <w:t xml:space="preserve">。</w:t>
      </w:r>
    </w:p>
    <w:p>
      <w:pPr>
        <w:pStyle w:val="Title"/>
      </w:pPr>
      <w:r>
        <w:t xml:space="preserve">7 基因交流</w:t>
      </w:r>
    </w:p>
    <w:p>
      <w:pPr>
        <w:pStyle w:val="Heading1"/>
      </w:pPr>
      <w:r>
        <w:t xml:space="preserve">7.1 家鸡与原鸡的基因交流</w:t>
      </w:r>
    </w:p>
    <w:p>
      <w:pPr>
        <w:jc w:val="both"/>
      </w:pPr>
      <w:r>
        <w:t xml:space="preserve">其他原鸡物种对家鸡的局部遗传贡献及相关功能证据已在第3.3节讨论。家鸡传播到不同地区后，还与当地红原鸡发生了基因交流。越南地方鸡的微卫星研究和涵盖863个基因组的跨地区分析，均支持当地红原鸡在驯化后向家鸡输入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家鸡向原鸡的反向输入也改变了野生群体的遗传组成。印度的核标记研究和新加坡的基因组分析均检出家鸡向红原鸡的渗入，个体间的渗入程度不同</w:t>
      </w:r>
      <w:r>
        <w:rPr>
          <w:vertAlign w:val="superscript"/>
        </w:rPr>
        <w:t xml:space="preserve">[20,132]</w:t>
      </w:r>
      <w:r>
        <w:t xml:space="preserve">。以历史标本为参照，51只家鸡与63只原鸡的基因组比较显示，近百年来家鸡输入增加；其中部分现代红原鸡的全局家鸡祖源估计约占20%—50%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原鸡属的系统基因组研究提示，一些种间交流早于家鸡驯化</w:t>
      </w:r>
      <w:r>
        <w:rPr>
          <w:vertAlign w:val="superscript"/>
        </w:rPr>
        <w:t xml:space="preserve">[133]</w:t>
      </w:r>
      <w:r>
        <w:t xml:space="preserve">。圈养与野外样本也存在差别：所研究的圈养灰原鸡常染色体基因组中约10%的成分来自</w:t>
      </w:r>
      <w:r>
        <w:rPr>
          <w:i/>
        </w:rPr>
        <w:t xml:space="preserve">G. gallus</w:t>
      </w:r>
      <w:r>
        <w:t xml:space="preserve">，同一研究的两只野生灰原鸡未检出相应信号</w:t>
      </w:r>
      <w:r>
        <w:rPr>
          <w:vertAlign w:val="superscript"/>
        </w:rPr>
        <w:t xml:space="preserve">[134]</w:t>
      </w:r>
      <w:r>
        <w:t xml:space="preserve">。杂交回交实验还发现，保留家鸡来源的遗传成分的后代仍可呈现典型原鸡外观</w:t>
      </w:r>
      <w:r>
        <w:rPr>
          <w:vertAlign w:val="superscript"/>
        </w:rPr>
        <w:t xml:space="preserve">[135]</w:t>
      </w:r>
      <w:r>
        <w:t xml:space="preserve">。</w:t>
      </w:r>
    </w:p>
    <w:p>
      <w:pPr>
        <w:jc w:val="both"/>
      </w:pPr>
      <w:r>
        <w:t xml:space="preserve">现代原鸡研究中的家鸡参照已包括具体商业品系。新加坡研究采用了Bovan褐壳和白壳蛋鸡，历史标本研究仅使用商业鸡作为家鸡参照时，仍检出家鸡输入趋势</w:t>
      </w:r>
      <w:r>
        <w:rPr>
          <w:vertAlign w:val="superscript"/>
        </w:rPr>
        <w:t xml:space="preserve">[19,132]</w:t>
      </w:r>
      <w:r>
        <w:t xml:space="preserve">。菲律宾原鸡与商业鸡共享线粒体单倍型，显示了两者的母系联系</w:t>
      </w:r>
      <w:r>
        <w:rPr>
          <w:vertAlign w:val="superscript"/>
        </w:rPr>
        <w:t xml:space="preserve">[136]</w:t>
      </w:r>
      <w:r>
        <w:t xml:space="preserve">。迁移模型还检出上海新杨蛋鸡指向红原鸡参照群体，以及日本圈养红原鸡指向白来航的迁移边</w:t>
      </w:r>
      <w:r>
        <w:rPr>
          <w:vertAlign w:val="superscript"/>
        </w:rPr>
        <w:t xml:space="preserve">[137,138]</w:t>
      </w:r>
      <w:r>
        <w:t xml:space="preserve">。这些研究尚未确定输入原生野生原鸡的具体商业供体与传播路径。</w:t>
      </w:r>
    </w:p>
    <w:p>
      <w:pPr>
        <w:pStyle w:val="Heading1"/>
      </w:pPr>
      <w:r>
        <w:t xml:space="preserve">7.2 商业种源与地方群体的交流</w:t>
      </w:r>
    </w:p>
    <w:p>
      <w:pPr>
        <w:jc w:val="both"/>
      </w:pPr>
      <w:r>
        <w:t xml:space="preserve">地方和传统品种参与商业鸡的育成，商业种源又向地方群体输入遗传成分。线粒体研究显示，东亚鸡曾多次参与荷兰传统品种及西方商业鸡的母系构成；涵盖636个基因组、43个群体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。华南微卫星研究较早检出了商业鸡与地方鸡的混合信号</w:t>
      </w:r>
      <w:r>
        <w:rPr>
          <w:vertAlign w:val="superscript"/>
        </w:rPr>
        <w:t xml:space="preserve">[143]</w:t>
      </w:r>
      <w:r>
        <w:t xml:space="preserve">。随后，针对1187只鸡的基因组芯片分析以白洛克肉鸡为参照，在八个中国地方品种中识别出商业相关的候选渗入区段</w:t>
      </w:r>
      <w:r>
        <w:rPr>
          <w:vertAlign w:val="superscript"/>
        </w:rPr>
        <w:t xml:space="preserve">[21]</w:t>
      </w:r>
      <w:r>
        <w:t xml:space="preserve">。商业成分的输入也见于其他地方群体：部分藏鸡带有白来航相关成分，贵州部分地方品种显示上海新杨蛋鸡相关输入，江西部分品种则检出欧洲商业鸡混合信号</w:t>
      </w:r>
      <w:r>
        <w:rPr>
          <w:vertAlign w:val="superscript"/>
        </w:rPr>
        <w:t xml:space="preserve">[137,144,145]</w:t>
      </w:r>
      <w:r>
        <w:t xml:space="preserve">。</w:t>
      </w:r>
    </w:p>
    <w:p>
      <w:pPr>
        <w:jc w:val="both"/>
      </w:pPr>
      <w:r>
        <w:t xml:space="preserve">商业输入还表现出区段和地域差异。白羽文昌鸡的局部单倍型和结构变异支持白羽蛋鸡成分的输入，拜城油鸡也检出白来航相关候选渗入区段</w:t>
      </w:r>
      <w:r>
        <w:rPr>
          <w:vertAlign w:val="superscript"/>
        </w:rPr>
        <w:t xml:space="preserve">[146,147]</w:t>
      </w:r>
      <w:r>
        <w:t xml:space="preserve">。摩洛哥、喀麦隆和阿尔及利亚的部分地方群体存在商业相关基因交流，贝宁、加纳和科特迪瓦受检群体中的影响则有限</w:t>
      </w:r>
      <w:r>
        <w:rPr>
          <w:vertAlign w:val="superscript"/>
        </w:rPr>
        <w:t xml:space="preserve">[148,149]</w:t>
      </w:r>
      <w:r>
        <w:t xml:space="preserve">。东非657只村落鸡中，仅少数个体具有较高的商业簇归属，商业输入不足以解释该区域主要的遗传结构</w:t>
      </w:r>
      <w:r>
        <w:rPr>
          <w:vertAlign w:val="superscript"/>
        </w:rPr>
        <w:t xml:space="preserve">[150]</w:t>
      </w:r>
      <w:r>
        <w:t xml:space="preserve">。卢旺达部分地方鸡表现出与SASSO的混合特征，南美多个地方群体则带有现代蛋鸡相关祖源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rPr>
          <w:rFonts w:ascii="Times New Roman" w:hAnsi="Times New Roman" w:eastAsia="宋体"/>
          <w:b w:val="0"/>
          <w:i w:val="0"/>
          <w:color w:val="000000"/>
          <w:sz w:val="20"/>
        </w:rPr>
        <w:t xml:space="preserve">红色、棕色和蓝色箭头分别表示红原鸡、地方与传统家鸡、商业鸡的遗传成分输出，箭头由输出群体指向接受群体。实线概括群体遗传与历史证据支持的祖源联系和后续渗入</w:t>
      </w:r>
      <w:r>
        <w:rPr>
          <w:rFonts w:ascii="Times New Roman" w:hAnsi="Times New Roman" w:eastAsia="宋体"/>
          <w:b w:val="0"/>
          <w:i w:val="0"/>
          <w:color w:val="000000"/>
          <w:sz w:val="20"/>
          <w:vertAlign w:val="superscript"/>
        </w:rPr>
        <w:t xml:space="preserve">[18,19,21,131,139,140,142]</w:t>
      </w:r>
      <w:r>
        <w:rPr>
          <w:rFonts w:ascii="Times New Roman" w:hAnsi="Times New Roman" w:eastAsia="宋体"/>
          <w:b w:val="0"/>
          <w:i w:val="0"/>
          <w:color w:val="000000"/>
          <w:sz w:val="20"/>
        </w:rPr>
        <w:t xml:space="preserve">；虚线概括模型推断或假说，包括以参照或圈养红原鸡为对象的商业相关联系</w:t>
      </w:r>
      <w:r>
        <w:rPr>
          <w:rFonts w:ascii="Times New Roman" w:hAnsi="Times New Roman" w:eastAsia="宋体"/>
          <w:b w:val="0"/>
          <w:i w:val="0"/>
          <w:color w:val="000000"/>
          <w:sz w:val="20"/>
          <w:vertAlign w:val="superscript"/>
        </w:rPr>
        <w:t xml:space="preserve">[137,138]</w:t>
      </w:r>
      <w:r>
        <w:rPr>
          <w:rFonts w:ascii="Times New Roman" w:hAnsi="Times New Roman" w:eastAsia="宋体"/>
          <w:b w:val="0"/>
          <w:i w:val="0"/>
          <w:color w:val="000000"/>
          <w:sz w:val="20"/>
        </w:rPr>
        <w:t xml:space="preserve">。图中的直接渗入和育种利用仍保留可能性表述，传播和逸生标注概括潜在接触情境。商业鸡属于家鸡，在图中按用途单列；鸡图表示类别，箭头宽度不表示交流量。</w:t>
      </w:r>
    </w:p>
    <w:p>
      <w:pPr>
        <w:pStyle w:val="Heading1"/>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考艾岛逸生鸡的线粒体、核基因组单核苷酸多态性（SNP）及表型资料共同支持早期波利尼西亚引入谱系与近代家鸡的混合；单倍型分析显示，其家鸡来源的遗传成分与白来航蛋鸡的联系比所比较的肉鸡更密切</w:t>
      </w:r>
      <w:r>
        <w:rPr>
          <w:vertAlign w:val="superscript"/>
        </w:rPr>
        <w:t xml:space="preserve">[154,155]</w:t>
      </w:r>
      <w:r>
        <w:t xml:space="preserve">。考艾岛逸生鸡的候选选择区段大多不同于已报道的驯化选择区段。在红原鸡与白来航F₈互交群体中，这些区段内或邻近的部分基因的表达水平与鸡冠大小、产蛋性状及孵抱相关指标存在关联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。考艾岛与百慕大两个独立建立的逸生群体共享三个经多种方法支持的候选选择区段，提示两个群体的逸生适应具有部分共同的遗传基础</w:t>
      </w:r>
      <w:r>
        <w:rPr>
          <w:vertAlign w:val="superscript"/>
        </w:rPr>
        <w:t xml:space="preserve">[157]</w:t>
      </w:r>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195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