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总之，这些适应性差异既见于地方鸡，也见于实验品系；除少数位点有功能验证外，多数证据来自选择扫描、关联定位或表达比较，相关变异出现的时间大多尚未确定。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pPr>
      <w:r>
        <w:t xml:space="preserve">驯化以后，家鸡、原鸡和商业种源之间的基因交流仍在持续。本节依次讨论家鸡与原鸡（7.1）、商业种源与地方群体（7.2），以及逸生群体（7.3）之间的交流。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jc w:val="both"/>
      </w:pPr>
      <w:r>
        <w:t xml:space="preserve">这些交流带来两方面影响。其一，现代红原鸡已不宜直接作为野生参照：以历史标本为参照检出的部分驯化候选基因，在多数现代红原鸡中已带有家鸡来源的拷贝，若改用现代个体作参照，这些基因将无法被检出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