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【请作者按实际情况填写】本文检索了【数据库，如Web of Science核心合集、PubMed、Scopus和中国知网】中截至【检索截止日期】发表的文献，检索词包括【如chicken、</w:t>
      </w:r>
      <w:r>
        <w:rPr>
          <w:i/>
        </w:rPr>
        <w:t xml:space="preserve">Gallus gallus</w:t>
      </w:r>
      <w:r>
        <w:t xml:space="preserve">、red junglefowl、domestication、zooarchaeology、ancient DNA、introgression，以及“家鸡”“原鸡”“驯化”等中文检索词】。纳入标准为【……】，排除标准为【……】。【如适用：此外，还通过已纳入文献的参考文献追溯补充了相关研究。】</w:t>
      </w:r>
    </w:p>
    <w:p>
      <w:pPr>
        <w:jc w:val="both"/>
      </w:pPr>
      <w:r>
        <w:t xml:space="preserve">本文最终引用文献1</w:t>
      </w:r>
      <w:r>
        <w:t xml:space="preserve">65篇，其中期刊论文160篇，专著2部，论文集章节、学位论文和统计数据库各1项；发表年份为1868～2026年，其中2010年及以后发表的有132篇（80</w:t>
      </w:r>
      <w:r>
        <w:t xml:space="preserve">%）。</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pPr>
      <w:r>
        <w:t xml:space="preserve">综合遗传与考古证据，可以得出以下认识。</w:t>
      </w:r>
    </w:p>
    <w:p>
      <w:pPr>
        <w:jc w:val="both"/>
      </w:pPr>
      <w:r>
        <w:t xml:space="preserve">（1）祖先来源。母系单倍群的地域差异不足以单独判断驯化的次数和地点。全基因组和历史标本资料表明，家鸡的主要祖源是与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w:t>
      </w:r>
    </w:p>
    <w:p>
      <w:pPr>
        <w:jc w:val="both"/>
      </w:pPr>
      <w:r>
        <w:t xml:space="preserve">（2）初始驯化。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3）传播。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并不同步。</w:t>
      </w:r>
    </w:p>
    <w:p>
      <w:pPr>
        <w:jc w:val="both"/>
      </w:pPr>
      <w:r>
        <w:t xml:space="preserve">（4）性状分化与基因交流。环境适应和人工选择造成了各地鸡群的性状分化，近代定向选择显著改变了生长和繁殖性状。家鸡、原鸡、商业鸡和逸生群体之间的基因交流至今仍在持续，现代红原鸡和地方鸡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