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但其祖先来源、驯化地点与年代以及传播路线长期存在争议。本文综合线粒体与核基因组、动物考古、直接测年和古DNA证据，梳理家鸡起源与演化研究的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而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t>
      </w:r>
      <w:r>
        <w:rPr>
          <w:vertAlign w:val="superscript"/>
        </w:rPr>
        <w:t xml:space="preserve">[1]</w:t>
      </w:r>
      <w:r>
        <w:t xml:space="preserve">。家鸡能适应多样的环境条件，在不同文化和宗教中也很少受到饮食禁忌的限制，因此分布几乎遍及所有人类社会</w:t>
      </w:r>
      <w:r>
        <w:rPr>
          <w:vertAlign w:val="superscript"/>
        </w:rPr>
        <w:t xml:space="preserve">[2]</w:t>
      </w:r>
      <w:r>
        <w:t xml:space="preserve">，其用途也从展示、随葬、斗鸡到蛋肉生产各不相同。</w:t>
      </w:r>
    </w:p>
    <w:p>
      <w:pPr>
        <w:jc w:val="both"/>
      </w:pPr>
      <w:r>
        <w:t xml:space="preserve">动植物驯化是人类历史上影响最为深远的事件之一，驯化在何时、何地发生以及发生过几次，一直是遗传学、动物考古学和考古学共同关注的问题</w:t>
      </w:r>
      <w:r>
        <w:rPr>
          <w:vertAlign w:val="superscript"/>
        </w:rPr>
        <w:t xml:space="preserve">[3]</w:t>
      </w:r>
      <w:r>
        <w:t xml:space="preserve">。近年来，古DNA和古基因组技术的发展，使研究者能够直接追踪驯化动物进入人类环境后受到的新的选择压力</w:t>
      </w:r>
      <w:r>
        <w:rPr>
          <w:vertAlign w:val="superscript"/>
        </w:rPr>
        <w:t xml:space="preserve">[4]</w:t>
      </w:r>
      <w:r>
        <w:t xml:space="preserve">。家鸡起源问题同样讨论已久。早期研究依据形态比较和杂交结果，一种观点认为家鸡源于红原鸡，另一种观点则认为多个原鸡物种都有贡献</w:t>
      </w:r>
      <w:r>
        <w:rPr>
          <w:vertAlign w:val="superscript"/>
        </w:rPr>
        <w:t xml:space="preserve">[5,6]</w:t>
      </w:r>
      <w:r>
        <w:t xml:space="preserve">。此后，线粒体研究先后提出了单一起源</w:t>
      </w:r>
      <w:r>
        <w:rPr>
          <w:vertAlign w:val="superscript"/>
        </w:rPr>
        <w:t xml:space="preserve">[7]</w:t>
      </w:r>
      <w:r>
        <w:t xml:space="preserve">和南亚、东南亚多地起源</w:t>
      </w:r>
      <w:r>
        <w:rPr>
          <w:vertAlign w:val="superscript"/>
        </w:rPr>
        <w:t xml:space="preserve">[8]</w:t>
      </w:r>
      <w:r>
        <w:t xml:space="preserve">的解释，较早的综述据此认为家鸡存在多个驯化中心，灰原鸡也对家鸡有遗传贡献</w:t>
      </w:r>
      <w:r>
        <w:rPr>
          <w:vertAlign w:val="superscript"/>
        </w:rPr>
        <w:t xml:space="preserve">[9]</w:t>
      </w:r>
      <w:r>
        <w:t xml:space="preserve">；古线粒体DNA研究还曾提出中国北方约1万年前驯化的解释</w:t>
      </w:r>
      <w:r>
        <w:rPr>
          <w:vertAlign w:val="superscript"/>
        </w:rPr>
        <w:t xml:space="preserve">[10]</w:t>
      </w:r>
      <w:r>
        <w:t xml:space="preserve">。近年来，全基因组研究把家鸡的主要祖源定位到红原鸡</w:t>
      </w:r>
      <w:r>
        <w:rPr>
          <w:i/>
        </w:rPr>
        <w:t xml:space="preserve">G. g. spadiceus</w:t>
      </w:r>
      <w:r>
        <w:t xml:space="preserve">亚种</w:t>
      </w:r>
      <w:r>
        <w:rPr>
          <w:vertAlign w:val="superscript"/>
        </w:rPr>
        <w:t xml:space="preserve">[11]</w:t>
      </w:r>
      <w:r>
        <w:t xml:space="preserve">，而动物考古重评和直接测年则大幅推迟了许多地区家鸡出现的年代</w:t>
      </w:r>
      <w:r>
        <w:rPr>
          <w:vertAlign w:val="superscript"/>
        </w:rPr>
        <w:t xml:space="preserve">[12,13,14]</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[15]</w:t>
      </w:r>
      <w:r>
        <w:t xml:space="preserve">；就家鸡而言，这一过程包括共栖、持续饲养、传播和传播后的持续选择。古DNA研究还表明，一些在现代家鸡中普遍存在的性状形成得很晚：全基因组重测序在所有受检家鸡群体中检出了</w:t>
      </w:r>
      <w:r>
        <w:rPr>
          <w:i/>
        </w:rPr>
        <w:t xml:space="preserve">TSHR</w:t>
      </w:r>
      <w:r>
        <w:t xml:space="preserve">位点的强选择信号</w:t>
      </w:r>
      <w:r>
        <w:rPr>
          <w:vertAlign w:val="superscript"/>
        </w:rPr>
        <w:t xml:space="preserve">[16]</w:t>
      </w:r>
      <w:r>
        <w:t xml:space="preserve">，但欧洲古鸡DNA显示，该位点在现代鸡中近乎固定只是近500年的事</w:t>
      </w:r>
      <w:r>
        <w:rPr>
          <w:vertAlign w:val="superscript"/>
        </w:rPr>
        <w:t xml:space="preserve">[17]</w:t>
      </w:r>
      <w:r>
        <w:t xml:space="preserve">，其派生等位基因约在1100年前才开始受到强选择，与中世纪鸡肉和鸡蛋消费的增加同时发生</w:t>
      </w:r>
      <w:r>
        <w:rPr>
          <w:vertAlign w:val="superscript"/>
        </w:rPr>
        <w:t xml:space="preserve">[18]</w:t>
      </w:r>
      <w:r>
        <w:t xml:space="preserve">。与此同时，家鸡与原鸡之间、地方鸡与商业鸡之间的基因交流从未中断</w:t>
      </w:r>
      <w:r>
        <w:rPr>
          <w:vertAlign w:val="superscript"/>
        </w:rPr>
        <w:t xml:space="preserve">[11,19]</w:t>
      </w:r>
      <w:r>
        <w:t xml:space="preserve">，现代鸡群的遗传组成因此同时记录了初始驯化和此后数千年的历史。</w:t>
      </w:r>
    </w:p>
    <w:p>
      <w:pPr>
        <w:jc w:val="both"/>
      </w:pPr>
      <w:r>
        <w: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[19]</w:t>
      </w:r>
      <w:r>
        <w:t xml:space="preserve">。为此，本文综合遗传学、动物考古和直接测年证据，在说明文献检索与证据评估方法的基础上，依次讨论家鸡的祖先来源、初始驯化的地点与过程、全球传播、性状分化与选育以及驯化后的基因交流，最后总结主要认识和未来研究方向。</w:t>
      </w:r>
    </w:p>
    <w:p>
      <w:pPr>
        <w:pStyle w:val="Heading1"/>
      </w:pPr>
      <w:r>
        <w:t xml:space="preserve">2 文献检索与证据评估</w:t>
      </w:r>
    </w:p>
    <w:p>
      <w:pPr>
        <w:pStyle w:val="Heading2"/>
      </w:pPr>
      <w:r>
        <w:t xml:space="preserve">2.1 文献检索与筛选</w:t>
      </w:r>
    </w:p>
    <w:p>
      <w:pPr>
        <w:jc w:val="both"/>
      </w:pPr>
      <w:r>
        <w:t xml:space="preserve">【请作者按实际情况填写】本文检索了【数据库，如Web of Science核心合集、PubMed、Scopus和中国知网】中截至【检索截止日期】发表的文献，检索词包括【如chicken、</w:t>
      </w:r>
      <w:r>
        <w:rPr>
          <w:i/>
        </w:rPr>
        <w:t xml:space="preserve">Gallus gallus</w:t>
      </w:r>
      <w:r>
        <w:t xml:space="preserve">、red junglefowl、domestication、zooarchaeology、ancient DNA、introgression，以及“家鸡”“原鸡”“驯化”等中文检索词】。纳入标准为【……】，排除标准为【……】。【如适用：此外，还通过已纳入文献的参考文献追溯补充了相关研究。】</w:t>
      </w:r>
    </w:p>
    <w:p>
      <w:pPr>
        <w:jc w:val="both"/>
      </w:pPr>
      <w:r>
        <w:t xml:space="preserve">本文最终引用文献1</w:t>
      </w:r>
      <w:r>
        <w:t xml:space="preserve">65篇，其中期刊论文160篇，专著2部，论文集章节、学位论文和统计数据库各1项；发表年份为1868～2026年，其中2010年及以后发表的有132篇（80</w:t>
      </w:r>
      <w:r>
        <w:t xml:space="preserve">%）。</w:t>
      </w:r>
    </w:p>
    <w:p>
      <w:pPr>
        <w:pStyle w:val="Heading2"/>
      </w:pPr>
      <w:r>
        <w:t xml:space="preserve">2.2 证据评估</w:t>
      </w:r>
    </w:p>
    <w:p>
      <w:pPr>
        <w:jc w:val="both"/>
      </w:pPr>
      <w:r>
        <w:t xml:space="preserve">考古证据按物种身份、个体年代和家养属性三项分别评估</w:t>
      </w:r>
      <w:r>
        <w:t xml:space="preserve">。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[5,6]</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[7]</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[20]</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[8]</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[21]</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[21]</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[22]</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[23]</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[23]</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[24]</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[25]</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[21]</w:t>
      </w:r>
      <w:r>
        <w:t xml:space="preserve">；在动物中，选择和性别偏向的基因交流</w:t>
      </w:r>
      <w:r>
        <w:t xml:space="preserve">还</w:t>
      </w:r>
      <w:r>
        <w:t xml:space="preserve">会造成母</w:t>
      </w:r>
      <w:r>
        <w:t xml:space="preserve">系与核基因组亲缘关系不一致</w:t>
      </w:r>
      <w:r>
        <w:rPr>
          <w:vertAlign w:val="superscript"/>
        </w:rPr>
        <w:t xml:space="preserve">[26,27]</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[28]</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[29]</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[30]</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w:t>
      </w:r>
      <w:r>
        <w:rPr>
          <w:vertAlign w:val="superscript"/>
        </w:rPr>
        <w:t xml:space="preserve">[31]</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[32]</w:t>
      </w:r>
      <w:r>
        <w:t xml:space="preserve">分析也都指向</w:t>
      </w:r>
      <w:r>
        <w:rPr>
          <w:i/>
        </w:rPr>
        <w:t xml:space="preserve">G. g. spadiceus</w:t>
      </w:r>
      <w:r>
        <w:rPr>
          <w:vertAlign w:val="superscript"/>
        </w:rPr>
        <w:t xml:space="preserve">[11]</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[29]</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[19]</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[11]</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[11]</w:t>
      </w:r>
      <w:r>
        <w:t xml:space="preserve">。</w:t>
      </w:r>
      <w:r>
        <w:t xml:space="preserve">此外，</w:t>
      </w:r>
      <w:r>
        <w:t xml:space="preserve">家鸡向野生红原鸡、商业鸡向地方鸡的近期输入也已检出</w:t>
      </w:r>
      <w:r>
        <w:rPr>
          <w:vertAlign w:val="superscript"/>
        </w:rPr>
        <w:t xml:space="preserve">[33,34]</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[11,19]</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w:t>
      </w:r>
      <w:r>
        <w:t xml:space="preserve">。</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[35]</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[36]</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[31]</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[37,38]</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[39]</w:t>
      </w:r>
      <w:r>
        <w:t xml:space="preserve">；</w:t>
      </w:r>
      <w:r>
        <w:t xml:space="preserve">但该研究的灰原鸡参照只取自GenBank公开序列，且灰原鸡中常见家鸡型线粒体</w:t>
      </w:r>
      <w:r>
        <w:rPr>
          <w:vertAlign w:val="superscript"/>
        </w:rPr>
        <w:t xml:space="preserve">[35]</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[40]</w:t>
      </w:r>
      <w:r>
        <w:t xml:space="preserve">。局部分析在斯里兰卡家鸡中检出4处斯里兰卡原鸡来源的候选区域，并在狼山鸡中检出一段约100 kb的绿原鸡来源片段</w:t>
      </w:r>
      <w:r>
        <w:rPr>
          <w:vertAlign w:val="superscript"/>
        </w:rPr>
        <w:t xml:space="preserve">[31]</w:t>
      </w:r>
      <w:r>
        <w:t xml:space="preserve">。这些局部贡献与以红原鸡为主的家鸡祖源并存</w:t>
      </w:r>
      <w:r>
        <w:t xml:space="preserve">，但</w:t>
      </w:r>
      <w:r>
        <w:t xml:space="preserve">多数片段进入家鸡的具体时期仍不清楚</w:t>
      </w:r>
      <w:r>
        <w:rPr>
          <w:vertAlign w:val="superscript"/>
        </w:rPr>
        <w:t xml:space="preserve">[31,37,38]</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[10]</w:t>
      </w:r>
      <w:r>
        <w:t xml:space="preserve">，随后引发了围绕序列、骨骼鉴定和遗址背景的讨论</w:t>
      </w:r>
      <w:r>
        <w:rPr>
          <w:vertAlign w:val="superscript"/>
        </w:rPr>
        <w:t xml:space="preserve">[41,42,43,44,45]</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[13]</w:t>
      </w:r>
      <w:r>
        <w:t xml:space="preserve">；大地湾经古DNA检测的8件</w:t>
      </w:r>
      <w:r>
        <w:t xml:space="preserve">疑似鸡骨则属于以谷物为食的雉鸡</w:t>
      </w:r>
      <w:r>
        <w:rPr>
          <w:vertAlign w:val="superscript"/>
        </w:rPr>
        <w:t xml:space="preserve">[46,47]</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[12]</w:t>
      </w:r>
      <w:r>
        <w:t xml:space="preserve">。核基因组分析也更支持家鸡传入印度后吸收当地</w:t>
      </w:r>
      <w:r>
        <w:rPr>
          <w:i/>
        </w:rPr>
        <w:t xml:space="preserve">G. g. murghi</w:t>
      </w:r>
      <w:r>
        <w:t xml:space="preserve">变异的解释</w:t>
      </w:r>
      <w:r>
        <w:rPr>
          <w:vertAlign w:val="superscript"/>
        </w:rPr>
        <w:t xml:space="preserve">[11]</w:t>
      </w:r>
      <w:r>
        <w:t xml:space="preserve">。</w:t>
      </w:r>
    </w:p>
    <w:p>
      <w:pPr>
        <w:jc w:val="both"/>
      </w:pPr>
      <w:r>
        <w:t xml:space="preserve">泰国Ban Non Wat发现了候选鸡骨</w:t>
      </w:r>
      <w:r>
        <w:rPr>
          <w:vertAlign w:val="superscript"/>
        </w:rPr>
        <w:t xml:space="preserve">[48]</w:t>
      </w:r>
      <w:r>
        <w:t xml:space="preserve">，部分遗存的古线粒体序列也确认了原鸡属身份，但两项研究对这些测序样本层位的记载不一</w:t>
      </w:r>
      <w:r>
        <w:t xml:space="preserve">致</w:t>
      </w:r>
      <w:r>
        <w:rPr>
          <w:vertAlign w:val="superscript"/>
        </w:rPr>
        <w:t xml:space="preserve">[48,49]</w:t>
      </w:r>
      <w:r>
        <w:t xml:space="preserve">。</w:t>
      </w:r>
      <w:r>
        <w:t xml:space="preserve">一项全球综合评估将该遗址约公元前1650～1250年的遗存列为最早的明确家鸡记录，同时承认其家养属性仍有争议</w:t>
      </w:r>
      <w:r>
        <w:rPr>
          <w:vertAlign w:val="superscript"/>
        </w:rPr>
        <w:t xml:space="preserve">[12]</w:t>
      </w:r>
      <w:r>
        <w:t xml:space="preserve">；</w:t>
      </w:r>
      <w:r>
        <w:t xml:space="preserve">这一年代对应遗址的新石器1期</w:t>
      </w:r>
      <w:r>
        <w:rPr>
          <w:vertAlign w:val="superscript"/>
        </w:rPr>
        <w:t xml:space="preserve">[50]</w:t>
      </w:r>
      <w:r>
        <w:t xml:space="preserve">。云南菜园子和大墩子的鸡骨年代可能更早，有研究据此主张把云南纳入驯化区域</w:t>
      </w:r>
      <w:r>
        <w:rPr>
          <w:vertAlign w:val="superscript"/>
        </w:rPr>
        <w:t xml:space="preserve">[51]</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[52]</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[11]</w:t>
      </w:r>
      <w:r>
        <w:t xml:space="preserve">；不过，泰国境内两个红原鸡亚种的界线并不清楚</w:t>
      </w:r>
      <w:r>
        <w:rPr>
          <w:vertAlign w:val="superscript"/>
        </w:rPr>
        <w:t xml:space="preserve">[29]</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[11]</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[12]</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[15]</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[53]</w:t>
      </w:r>
      <w:r>
        <w:t xml:space="preserve">；桂西南的红原鸡利用多种灌丛，繁殖季会到村落附近与放养家鸡交配</w:t>
      </w:r>
      <w:r>
        <w:rPr>
          <w:vertAlign w:val="superscript"/>
        </w:rPr>
        <w:t xml:space="preserve">[54]</w:t>
      </w:r>
      <w:r>
        <w:t xml:space="preserve">。云南白羊村和大墩子出土的稻、粟、黍遗存，说明候选驯化区当时已具备这类农业条件</w:t>
      </w:r>
      <w:r>
        <w:rPr>
          <w:vertAlign w:val="superscript"/>
        </w:rPr>
        <w:t xml:space="preserve">[55,56]</w:t>
      </w:r>
      <w:r>
        <w:t xml:space="preserve">；但也有研究指出，云南新石器时代以水田稻作为主，而为原鸡提供共栖生境的主要是休耕粟田，因此当地的共栖机会可能少于东南亚半岛</w:t>
      </w:r>
      <w:r>
        <w:rPr>
          <w:vertAlign w:val="superscript"/>
        </w:rPr>
        <w:t xml:space="preserve">[52]</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[46]</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[12,15]</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[11,31,34,35]</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[12]</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[14]</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[57]</w:t>
      </w:r>
      <w:r>
        <w:t xml:space="preserve">；下埃及、内尼日尔三角洲和东非沿海的记录则展示了</w:t>
      </w:r>
      <w:r>
        <w:t xml:space="preserve">此后</w:t>
      </w:r>
      <w:r>
        <w:t xml:space="preserve">的区域传播</w:t>
      </w:r>
      <w:r>
        <w:rPr>
          <w:vertAlign w:val="superscript"/>
        </w:rPr>
        <w:t xml:space="preserve">[58,59,60,61]</w:t>
      </w:r>
      <w:r>
        <w:t xml:space="preserve">。东非Unguja Ukuu和马达加斯加Mahilaka经古DNA确认的鸡骨，分别出自公元7～8世纪和11～13世纪参与印度洋贸易的港口</w:t>
      </w:r>
      <w:r>
        <w:t xml:space="preserve">遗址</w:t>
      </w:r>
      <w:r>
        <w:rPr>
          <w:vertAlign w:val="superscript"/>
        </w:rPr>
        <w:t xml:space="preserve">[61]</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[62]</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[63]</w:t>
      </w:r>
      <w:r>
        <w:t xml:space="preserve">。拉皮塔文化遗址显示，公元前1千纪早期鸡已进入汤加、瓦努阿图等太平洋西南部岛屿</w:t>
      </w:r>
      <w:r>
        <w:rPr>
          <w:vertAlign w:val="superscript"/>
        </w:rPr>
        <w:t xml:space="preserve">[64,65,66]</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[67]</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[68]</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[14]</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[57]</w:t>
      </w:r>
      <w:r>
        <w:t xml:space="preserve">。南黎凡特Maresha公元前4～2世纪的组合中，1092件鸡骨占所比较家畜骨骼的29%，成熟雌鸟、髓质骨和屠宰分割痕迹并见，支持当时已有集中的蛋肉利用</w:t>
      </w:r>
      <w:r>
        <w:rPr>
          <w:vertAlign w:val="superscript"/>
        </w:rPr>
        <w:t xml:space="preserve">[69]</w:t>
      </w:r>
      <w:r>
        <w:t xml:space="preserve">；中亚多个聚落从公元前1千纪后半叶到中世纪反复出土大量鸡蛋壳，反映了鸡蛋的常规利用，作者据此推测产蛋季节性有所减弱</w:t>
      </w:r>
      <w:r>
        <w:rPr>
          <w:vertAlign w:val="superscript"/>
        </w:rPr>
        <w:t xml:space="preserve">[70]</w:t>
      </w:r>
      <w:r>
        <w:t xml:space="preserve">。在</w:t>
      </w:r>
      <w:r>
        <w:t xml:space="preserve">中国北方，斗鸡的育种和传播可能影响</w:t>
      </w:r>
      <w:r>
        <w:t xml:space="preserve">了当地鸡群的母系组成</w:t>
      </w:r>
      <w:r>
        <w:rPr>
          <w:vertAlign w:val="superscript"/>
        </w:rPr>
        <w:t xml:space="preserve">[24]</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[71]</w:t>
      </w:r>
      <w:r>
        <w:t xml:space="preserve">，后续母系比较</w:t>
      </w:r>
      <w:r>
        <w:t xml:space="preserve">对此提出质疑</w:t>
      </w:r>
      <w:r>
        <w:rPr>
          <w:vertAlign w:val="superscript"/>
        </w:rPr>
        <w:t xml:space="preserve">[72]</w:t>
      </w:r>
      <w:r>
        <w:t xml:space="preserve">，太平洋比较样本的去污染复测又改变了原有</w:t>
      </w:r>
      <w:r>
        <w:t xml:space="preserve">的</w:t>
      </w:r>
      <w:r>
        <w:t xml:space="preserve">遗传依据</w:t>
      </w:r>
      <w:r>
        <w:rPr>
          <w:vertAlign w:val="superscript"/>
        </w:rPr>
        <w:t xml:space="preserve">[67]</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[73]</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[49]</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[74]</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[75]</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[12,14,49,62,63,64,66,67]</w:t>
      </w:r>
      <w:r>
        <w:t xml:space="preserve">。阴影示意现生</w:t>
      </w:r>
      <w:r>
        <w:rPr>
          <w:i/>
        </w:rPr>
        <w:t xml:space="preserve">G. g. spadiceus</w:t>
      </w:r>
      <w:r>
        <w:t xml:space="preserve">的分布范围</w:t>
      </w:r>
      <w:r>
        <w:rPr>
          <w:vertAlign w:val="superscript"/>
        </w:rPr>
        <w:t xml:space="preserve">[11]</w:t>
      </w:r>
      <w:r>
        <w:t xml:space="preserve">。北非沿海及萨赫勒—苏丹带通向西非的虚线均为候选路径</w:t>
      </w:r>
      <w:r>
        <w:rPr>
          <w:vertAlign w:val="superscript"/>
        </w:rPr>
        <w:t xml:space="preserve">[60]</w:t>
      </w:r>
      <w:r>
        <w:t xml:space="preserve">，</w:t>
      </w:r>
      <w:r>
        <w:t xml:space="preserve">经红海通向非洲之角的虚线</w:t>
      </w:r>
      <w:r>
        <w:t xml:space="preserve">也是</w:t>
      </w:r>
      <w:r>
        <w:t xml:space="preserve">候选路线</w:t>
      </w:r>
      <w:r>
        <w:rPr>
          <w:vertAlign w:val="superscript"/>
        </w:rPr>
        <w:t xml:space="preserve">[57]</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[74,75]</w:t>
      </w:r>
      <w:r>
        <w:t xml:space="preserve">。图两侧的A表示殖民时期伊比利亚与海地、佛罗里达之间联系的续接</w:t>
      </w:r>
      <w:r>
        <w:rPr>
          <w:vertAlign w:val="superscript"/>
        </w:rPr>
        <w:t xml:space="preserve">[49]</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[12,48,49,50]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[14,77,78]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[12,58,59]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[67,71,72,73]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[12,64]</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w:t>
      </w:r>
      <w:r>
        <w:t xml:space="preserve">需要说明的是，下文所述</w:t>
      </w:r>
      <w:r>
        <w:t xml:space="preserve">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[80]</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[81]</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[82]</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[83,84]</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[85]</w:t>
      </w:r>
      <w:r>
        <w:t xml:space="preserve">；肝脏的表达差异还集中</w:t>
      </w:r>
      <w:r>
        <w:t xml:space="preserve">于</w:t>
      </w:r>
      <w:r>
        <w:t xml:space="preserve">脂肪酸代谢、能量生成和谷胱甘肽抗氧化过程</w:t>
      </w:r>
      <w:r>
        <w:rPr>
          <w:vertAlign w:val="superscript"/>
        </w:rPr>
        <w:t xml:space="preserve">[84]</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[86]</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[87]</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[88]</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[89]</w:t>
      </w:r>
      <w:r>
        <w:t xml:space="preserve">。耐热性也能响应人工选择：在40.6℃、75%相对湿度下按存活时间进行4代双向选择后，5周龄白来航高、低耐热系的存活时间分别为86 min和58 min</w:t>
      </w:r>
      <w:r>
        <w:rPr>
          <w:vertAlign w:val="superscript"/>
        </w:rPr>
        <w:t xml:space="preserve">[90]</w:t>
      </w:r>
      <w:r>
        <w:t xml:space="preserve">。减少羽毛覆盖有利于散热</w:t>
      </w:r>
      <w:r>
        <w:t xml:space="preserve">：</w:t>
      </w:r>
      <w:r>
        <w:t xml:space="preserve">在35℃试验中，无羽鸡维持了接近25℃时的生长，而裸颈鸡的生长优势较小</w:t>
      </w:r>
      <w:r>
        <w:rPr>
          <w:vertAlign w:val="superscript"/>
        </w:rPr>
        <w:t xml:space="preserve">[91]</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[92]</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[92]</w:t>
      </w:r>
      <w:r>
        <w:t xml:space="preserve">。</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[93]</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[94]</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[95]</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[96]</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[97]</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[98]</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[99]</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[100]</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[101,102]</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[103]</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[104]</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[105]</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[106]</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[107]</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[108]</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[109]</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[110]</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[111]</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[112]</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[113]</w:t>
      </w:r>
      <w:r>
        <w:t xml:space="preserve">。</w:t>
      </w:r>
      <w:r>
        <w:t xml:space="preserve">斯洛文尼亚Prelux-bro品系34代双向选择中，模型估计高体重系约在6～8代达到总选择响应的一半，低体重系则需20～28代</w:t>
      </w:r>
      <w:r>
        <w:rPr>
          <w:vertAlign w:val="superscript"/>
        </w:rPr>
        <w:t xml:space="preserve">[114]</w:t>
      </w:r>
      <w:r>
        <w:t xml:space="preserve">；中国肉鸡经13代剩余采食量选择，低剩余采食量系在降低采食量和料重比的同时维持了生长表现</w:t>
      </w:r>
      <w:r>
        <w:rPr>
          <w:vertAlign w:val="superscript"/>
        </w:rPr>
        <w:t xml:space="preserve">[115]</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[116]</w:t>
      </w:r>
      <w:r>
        <w:t xml:space="preserve">、孵抱行为相关基因座</w:t>
      </w:r>
      <w:r>
        <w:rPr>
          <w:vertAlign w:val="superscript"/>
        </w:rPr>
        <w:t xml:space="preserve">[117]</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[118]</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[116,117]</w:t>
      </w:r>
      <w:r>
        <w:t xml:space="preserve">。</w:t>
      </w:r>
      <w:r>
        <w:t xml:space="preserve">欧洲古鸡的时间序列显示，</w:t>
      </w:r>
      <w:r>
        <w:rPr>
          <w:i/>
        </w:rPr>
        <w:t xml:space="preserve">TSHR</w:t>
      </w:r>
      <w:r>
        <w:t xml:space="preserve">派生等位基因直到中世纪才受到强选择</w:t>
      </w:r>
      <w:r>
        <w:rPr>
          <w:vertAlign w:val="superscript"/>
        </w:rPr>
        <w:t xml:space="preserve">[17,18]</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[79]</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[119]</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[120]</w:t>
      </w:r>
      <w:r>
        <w:t xml:space="preserve">。</w:t>
      </w:r>
      <w:r>
        <w:t xml:space="preserve">在</w:t>
      </w:r>
      <w:r>
        <w:t xml:space="preserve">地方鸡长期选择资料中，开产日龄与产蛋量的遗传相关因品系和代次而异</w:t>
      </w:r>
      <w:r>
        <w:rPr>
          <w:vertAlign w:val="superscript"/>
        </w:rPr>
        <w:t xml:space="preserve">[121]</w:t>
      </w:r>
      <w:r>
        <w:t xml:space="preserve">；</w:t>
      </w:r>
      <w:r>
        <w:t xml:space="preserve">在</w:t>
      </w:r>
      <w:r>
        <w:t xml:space="preserve">弗吉尼亚鸡54代8周龄体重双向选择中，低体重选择系的性成熟延迟更明显</w:t>
      </w:r>
      <w:r>
        <w:rPr>
          <w:vertAlign w:val="superscript"/>
        </w:rPr>
        <w:t xml:space="preserve">[122]</w:t>
      </w:r>
      <w:r>
        <w:t xml:space="preserve">。雄鸡的精子运动能力具有遗传基础，并影响雌体储精后的受精效率</w:t>
      </w:r>
      <w:r>
        <w:rPr>
          <w:vertAlign w:val="superscript"/>
        </w:rPr>
        <w:t xml:space="preserve">[123]</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[124,125]</w:t>
      </w:r>
      <w:r>
        <w:t xml:space="preserve">、</w:t>
      </w:r>
      <w:r>
        <w:t xml:space="preserve">真皮与结缔组织黑色素沉着（</w:t>
      </w:r>
      <w:r>
        <w:rPr>
          <w:i/>
        </w:rPr>
        <w:t xml:space="preserve">EDN3</w:t>
      </w:r>
      <w:r>
        <w:t xml:space="preserve">）</w:t>
      </w:r>
      <w:r>
        <w:rPr>
          <w:vertAlign w:val="superscript"/>
        </w:rPr>
        <w:t xml:space="preserve">[126]</w:t>
      </w:r>
      <w:r>
        <w:t xml:space="preserve">、</w:t>
      </w:r>
      <w:r>
        <w:t xml:space="preserve">羽毛结构（</w:t>
      </w:r>
      <w:r>
        <w:rPr>
          <w:i/>
        </w:rPr>
        <w:t xml:space="preserve">PDSS2</w:t>
      </w:r>
      <w:r>
        <w:t xml:space="preserve">及角蛋白相关基因）</w:t>
      </w:r>
      <w:r>
        <w:rPr>
          <w:vertAlign w:val="superscript"/>
        </w:rPr>
        <w:t xml:space="preserve">[127,128,129]</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[130,131]</w:t>
      </w:r>
      <w:r>
        <w:t xml:space="preserve">以及鸡冠发育（</w:t>
      </w:r>
      <w:r>
        <w:rPr>
          <w:i/>
        </w:rPr>
        <w:t xml:space="preserve">SOX5</w:t>
      </w:r>
      <w:r>
        <w:t xml:space="preserve">、</w:t>
      </w:r>
      <w:r>
        <w:rPr>
          <w:i/>
        </w:rPr>
        <w:t xml:space="preserve">MNR2</w:t>
      </w:r>
      <w:r>
        <w:t xml:space="preserve">）</w:t>
      </w:r>
      <w:r>
        <w:rPr>
          <w:vertAlign w:val="superscript"/>
        </w:rPr>
        <w:t xml:space="preserve">[132,133]</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[124,127,130]</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[128,129]</w:t>
      </w:r>
      <w:r>
        <w:t xml:space="preserve">。44个群体的517只纤维黑色素沉着鸡共享</w:t>
      </w:r>
      <w:r>
        <w:rPr>
          <w:i/>
        </w:rPr>
        <w:t xml:space="preserve">EDN3</w:t>
      </w:r>
      <w:r>
        <w:t xml:space="preserve">区域的复杂重排</w:t>
      </w:r>
      <w:r>
        <w:rPr>
          <w:vertAlign w:val="superscript"/>
        </w:rPr>
        <w:t xml:space="preserve">[126,134]</w:t>
      </w:r>
      <w:r>
        <w:t xml:space="preserve">。玫瑰冠R1等位型的结构重排改变鸡冠形态，并与R1纯合雄鸡精子运动能力下降相关</w:t>
      </w:r>
      <w:r>
        <w:rPr>
          <w:vertAlign w:val="superscript"/>
        </w:rPr>
        <w:t xml:space="preserve">[133]</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[135]</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[136]</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[137]</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[138]</w:t>
      </w:r>
      <w:r>
        <w:t xml:space="preserve">。不同地区</w:t>
      </w:r>
      <w:r>
        <w:t xml:space="preserve">的斗鸡之间</w:t>
      </w:r>
      <w:r>
        <w:t xml:space="preserve">存在遗传分化，其基因组还保留了与其他家鸡及野生原鸡交流的信号</w:t>
      </w:r>
      <w:r>
        <w:rPr>
          <w:vertAlign w:val="superscript"/>
        </w:rPr>
        <w:t xml:space="preserve">[38]</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[108,110,111,133]</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w:t>
      </w:r>
      <w:r>
        <w:t xml:space="preserve">。实线表示有多项群体遗传与历史证据支持的联系；虚线表示尚缺直接证据的可能联系，即商业鸡是否直接向野生红原鸡渗入</w:t>
      </w:r>
      <w:r>
        <w:t xml:space="preserve">，以及红原鸡是否被直接用于商业品系育成</w:t>
      </w:r>
      <w:r>
        <w:t xml:space="preserve">。“传播”和“逸生”标注表示潜在的接触情境。商业鸡属于家鸡，图中按用途单列；鸡的图标只表示群体类别，箭头宽度不代表交流量。</w:t>
      </w:r>
    </w:p>
    <w:p>
      <w:pPr>
        <w:pStyle w:val="Heading2"/>
      </w:pPr>
      <w:r>
        <w:t xml:space="preserve">7.1 家鸡与原鸡的基因交流</w:t>
      </w:r>
    </w:p>
    <w:p>
      <w:pPr>
        <w:jc w:val="both"/>
      </w:pPr>
      <w:r>
        <w:t xml:space="preserve">在地方尺度上，越南河江省1082只地方鸡的微卫星分析显示，当地鸡群遗传多样性高，并与野生红原鸡聚为一类，支持当地红原鸡向家鸡输入了遗传成分</w:t>
      </w:r>
      <w:r>
        <w:rPr>
          <w:vertAlign w:val="superscript"/>
        </w:rPr>
        <w:t xml:space="preserve">[139]</w:t>
      </w:r>
      <w:r>
        <w:t xml:space="preserve">；涵盖863个基因组的跨地区分析也支持这一点</w:t>
      </w:r>
      <w:r>
        <w:rPr>
          <w:vertAlign w:val="superscript"/>
        </w:rPr>
        <w:t xml:space="preserve">[11]</w:t>
      </w:r>
      <w:r>
        <w:t xml:space="preserve">。</w:t>
      </w:r>
    </w:p>
    <w:p>
      <w:pPr>
        <w:jc w:val="both"/>
      </w:pPr>
      <w:r>
        <w:t xml:space="preserve">家鸡向原鸡的反向输入则直接改变了野生群体的遗传组成</w:t>
      </w:r>
      <w:r>
        <w:t xml:space="preserve">。印度的核标记研究和新加坡的基因组分析都检出了家鸡向红原鸡的渗入，且个体间的渗入程度不同</w:t>
      </w:r>
      <w:r>
        <w:rPr>
          <w:vertAlign w:val="superscript"/>
        </w:rPr>
        <w:t xml:space="preserve">[33,140]</w:t>
      </w:r>
      <w:r>
        <w:t xml:space="preserve">。以历史标本为参照，对51只家鸡与63只红原鸡的基因组比较显示，近百年来家鸡输入增加，多数现代红原鸡的全局家鸡祖源估计约占20%～50%</w:t>
      </w:r>
      <w:r>
        <w:rPr>
          <w:vertAlign w:val="superscript"/>
        </w:rPr>
        <w:t xml:space="preserve">[19]</w:t>
      </w:r>
      <w:r>
        <w:t xml:space="preserve">。30个核内含子的分析还支持家鸡向绿原鸡的输入</w:t>
      </w:r>
      <w:r>
        <w:rPr>
          <w:vertAlign w:val="superscript"/>
        </w:rPr>
        <w:t xml:space="preserve">[30]</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[141]</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[142]</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[143]</w:t>
      </w:r>
      <w:r>
        <w:t xml:space="preserve">。再次，原鸡属部分谱系之间还存在较古老的种间渗入</w:t>
      </w:r>
      <w:r>
        <w:rPr>
          <w:vertAlign w:val="superscript"/>
        </w:rPr>
        <w:t xml:space="preserve">[144]</w:t>
      </w:r>
      <w:r>
        <w:t xml:space="preserve">，需要与近期的家鸡输入区分开来。</w:t>
      </w:r>
    </w:p>
    <w:p>
      <w:pPr>
        <w:jc w:val="both"/>
      </w:pPr>
      <w:r>
        <w:t xml:space="preserve">商业鸡与野生原鸡之间是否存在直接交流，目前仍难以确定</w:t>
      </w:r>
      <w:r>
        <w:t xml:space="preserve">。新加坡研究以Bovan褐壳和白壳蛋鸡作为家鸡参照，历史标本研究在仅以商业鸡为参照时也检出了家鸡输入的趋势</w:t>
      </w:r>
      <w:r>
        <w:rPr>
          <w:vertAlign w:val="superscript"/>
        </w:rPr>
        <w:t xml:space="preserve">[19,140]</w:t>
      </w:r>
      <w:r>
        <w:t xml:space="preserve">；但以商业鸡为参照检出的信号，并不能说明供体就是商业鸡。菲律宾红原鸡与商业鸡共享线粒体单倍型</w:t>
      </w:r>
      <w:r>
        <w:rPr>
          <w:vertAlign w:val="superscript"/>
        </w:rPr>
        <w:t xml:space="preserve">[145]</w:t>
      </w:r>
      <w:r>
        <w:t xml:space="preserve">，而共享单倍型既不能指示交流方向，也不能区分近期渗入与祖先变异的保留。贵州鸡群的迁移模型检出由其他鸡群指向红原鸡参照群体的迁移边</w:t>
      </w:r>
      <w:r>
        <w:rPr>
          <w:vertAlign w:val="superscript"/>
        </w:rPr>
        <w:t xml:space="preserve">[146]</w:t>
      </w:r>
      <w:r>
        <w:t xml:space="preserve">，动物园圈养红原鸡的分析则检出由圈养红原鸡指向白来航的迁移边</w:t>
      </w:r>
      <w:r>
        <w:rPr>
          <w:vertAlign w:val="superscript"/>
        </w:rPr>
        <w:t xml:space="preserve">[143]</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w:t>
      </w:r>
      <w:r>
        <w:t xml:space="preserve">。线粒体研究显示，东亚鸡曾多次参与荷兰传统品种及西方商业鸡的母系构成；涵盖43个群体636个基因组的分析进一步表明，亚洲重型品种是现代肉鸡的重要祖源</w:t>
      </w:r>
      <w:r>
        <w:rPr>
          <w:vertAlign w:val="superscript"/>
        </w:rPr>
        <w:t xml:space="preserve">[147,148]</w:t>
      </w:r>
      <w:r>
        <w:t xml:space="preserve">。迁移模型还支持中国斗鸡向商业洛岛红鸡</w:t>
      </w:r>
      <w:r>
        <w:rPr>
          <w:vertAlign w:val="superscript"/>
        </w:rPr>
        <w:t xml:space="preserve">[149]</w:t>
      </w:r>
      <w:r>
        <w:t xml:space="preserve">、沙栏鸡向商业麻黄鸡</w:t>
      </w:r>
      <w:r>
        <w:rPr>
          <w:vertAlign w:val="superscript"/>
        </w:rPr>
        <w:t xml:space="preserve">[150]</w:t>
      </w:r>
      <w:r>
        <w:t xml:space="preserve">的基因交流。</w:t>
      </w:r>
    </w:p>
    <w:p>
      <w:pPr>
        <w:jc w:val="both"/>
      </w:pPr>
      <w:r>
        <w:t xml:space="preserve">商业种源又反过来向地方群体输入遗传成分</w:t>
      </w:r>
      <w:r>
        <w:t xml:space="preserve">，这在中国地方鸡中已有较多报道。对华南12个地方品种和2个商业品种共587只鸡的微卫星分析，较早检出了商业鸡向地方鸡的潜在渗入</w:t>
      </w:r>
      <w:r>
        <w:rPr>
          <w:vertAlign w:val="superscript"/>
        </w:rPr>
        <w:t xml:space="preserve">[151]</w:t>
      </w:r>
      <w:r>
        <w:t xml:space="preserve">；迁移模型也支持商业小白鸡向阳山鸡和惠阳胡须鸡的基因交流</w:t>
      </w:r>
      <w:r>
        <w:rPr>
          <w:vertAlign w:val="superscript"/>
        </w:rPr>
        <w:t xml:space="preserve">[150]</w:t>
      </w:r>
      <w:r>
        <w:t xml:space="preserve">。一项针对1187只鸡的基因组芯片分析以白洛克肉鸡为参照，在8个中国地方品种中识别出商业相关的候选渗入区段</w:t>
      </w:r>
      <w:r>
        <w:rPr>
          <w:vertAlign w:val="superscript"/>
        </w:rPr>
        <w:t xml:space="preserve">[34]</w:t>
      </w:r>
      <w:r>
        <w:t xml:space="preserve">。此外，部分藏鸡带有白来航相关成分</w:t>
      </w:r>
      <w:r>
        <w:rPr>
          <w:vertAlign w:val="superscript"/>
        </w:rPr>
        <w:t xml:space="preserve">[152]</w:t>
      </w:r>
      <w:r>
        <w:t xml:space="preserve">，贵州部分地方品种显示出上海新杨蛋鸡相关输入</w:t>
      </w:r>
      <w:r>
        <w:rPr>
          <w:vertAlign w:val="superscript"/>
        </w:rPr>
        <w:t xml:space="preserve">[146]</w:t>
      </w:r>
      <w:r>
        <w:t xml:space="preserve">，江西部分品种检出欧洲商业鸡的混合信号</w:t>
      </w:r>
      <w:r>
        <w:rPr>
          <w:vertAlign w:val="superscript"/>
        </w:rPr>
        <w:t xml:space="preserve">[153]</w:t>
      </w:r>
      <w:r>
        <w:t xml:space="preserve">；白羽文昌鸡的局部单倍型和结构变异支持白羽蛋鸡成分的输入，拜城油鸡也检出白来航相关的候选渗入区段</w:t>
      </w:r>
      <w:r>
        <w:rPr>
          <w:vertAlign w:val="superscript"/>
        </w:rPr>
        <w:t xml:space="preserve">[154,155]</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[156]</w:t>
      </w:r>
      <w:r>
        <w:t xml:space="preserve">。阿尔及利亚西部地方鸡在遗传上与部分商业品系最为接近</w:t>
      </w:r>
      <w:r>
        <w:rPr>
          <w:vertAlign w:val="superscript"/>
        </w:rPr>
        <w:t xml:space="preserve">[157]</w:t>
      </w:r>
      <w:r>
        <w:t xml:space="preserve">。在东非657只村落鸡中，仅10只对商业鸡簇的归属系数高于0.2，商业输入不足以解释该区域主要的遗传结构</w:t>
      </w:r>
      <w:r>
        <w:rPr>
          <w:vertAlign w:val="superscript"/>
        </w:rPr>
        <w:t xml:space="preserve">[158]</w:t>
      </w:r>
      <w:r>
        <w:t xml:space="preserve">。卢旺达部分地方鸡表现出与商业品系SASSO的混合特征，南美多个地方群体则带有现代蛋鸡相关祖源</w:t>
      </w:r>
      <w:r>
        <w:rPr>
          <w:vertAlign w:val="superscript"/>
        </w:rPr>
        <w:t xml:space="preserve">[159,160]</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[161]</w:t>
      </w:r>
      <w:r>
        <w:t xml:space="preserve">。</w:t>
      </w:r>
    </w:p>
    <w:p>
      <w:pPr>
        <w:pStyle w:val="Heading2"/>
      </w:pPr>
      <w:r>
        <w:t xml:space="preserve">7.3 逸生群体的混合与选择</w:t>
      </w:r>
    </w:p>
    <w:p>
      <w:pPr>
        <w:jc w:val="both"/>
      </w:pPr>
      <w:r>
        <w:t xml:space="preserve">逸生群体是家鸡与原鸡型谱系混合的另一类实例</w:t>
      </w:r>
      <w:r>
        <w:t xml:space="preserve">。考艾岛逸生鸡的线粒体、核基因组单核苷酸多态性（SNP）及表型资料共同支持早期波利尼西亚引入谱系与近代家鸡的混合；单倍型分析显示，其家鸡来源的遗传成分与白来航蛋鸡的联系比与所比较的肉鸡更密切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[162,163]</w:t>
      </w:r>
      <w:r>
        <w:t xml:space="preserve">。这一早期谱系与</w:t>
      </w:r>
      <w:r>
        <w:t xml:space="preserve">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[164]</w:t>
      </w:r>
      <w:r>
        <w:t xml:space="preserve">；考艾岛与百慕大两个独立形成的逸生群体还共享三个经多种方法支持的候选选择区段，提示两地的逸生适应有部分共同的遗传基础</w:t>
      </w:r>
      <w:r>
        <w:rPr>
          <w:vertAlign w:val="superscript"/>
        </w:rPr>
        <w:t xml:space="preserve">[165]</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[19]</w:t>
      </w:r>
      <w:r>
        <w:t xml:space="preserve">；圈养个体也存在混合或瓶颈问题</w:t>
      </w:r>
      <w:r>
        <w:rPr>
          <w:vertAlign w:val="superscript"/>
        </w:rPr>
        <w:t xml:space="preserve">[142,143]</w:t>
      </w:r>
      <w:r>
        <w:t xml:space="preserve">。其二，商业渗入改变了地方鸡的遗传组成，并可能干扰适应信号的识别</w:t>
      </w:r>
      <w:r>
        <w:rPr>
          <w:vertAlign w:val="superscript"/>
        </w:rPr>
        <w:t xml:space="preserve">[34,161]</w:t>
      </w:r>
      <w:r>
        <w:t xml:space="preserve">。因此，利用红原鸡和地方鸡研究驯化与适应时，需要先评估近期混合的影响。其三，家鸡成分的持续输入正在侵蚀野生红原鸡的遗传完整性</w:t>
      </w:r>
      <w:r>
        <w:rPr>
          <w:vertAlign w:val="superscript"/>
        </w:rPr>
        <w:t xml:space="preserve">[19,140]</w:t>
      </w:r>
      <w:r>
        <w:t xml:space="preserve">，菲律宾的研究也据此提出了保护当地红原鸡的必要</w:t>
      </w:r>
      <w:r>
        <w:rPr>
          <w:vertAlign w:val="superscript"/>
        </w:rPr>
        <w:t xml:space="preserve">[145]</w:t>
      </w:r>
      <w:r>
        <w:t xml:space="preserve">；商业渗入则可能削弱地方品种的遗传独特性</w:t>
      </w:r>
      <w:r>
        <w:rPr>
          <w:vertAlign w:val="superscript"/>
        </w:rPr>
        <w:t xml:space="preserve">[34]</w:t>
      </w:r>
      <w:r>
        <w:t xml:space="preserve">。对圈养红原鸡的基因组评估表明，基因组方法可用于追溯祖源和评估遗传健康，为保种和育种管理提供依据</w:t>
      </w:r>
      <w:r>
        <w:rPr>
          <w:vertAlign w:val="superscript"/>
        </w:rPr>
        <w:t xml:space="preserve">[143]</w:t>
      </w:r>
      <w:r>
        <w:t xml:space="preserve">。</w:t>
      </w:r>
    </w:p>
    <w:p>
      <w:pPr>
        <w:pStyle w:val="Heading1"/>
      </w:pPr>
      <w:r>
        <w:t xml:space="preserve">8 结论</w:t>
      </w:r>
    </w:p>
    <w:p>
      <w:pPr>
        <w:jc w:val="both"/>
      </w:pPr>
      <w:r>
        <w:t xml:space="preserve">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p>
    <w:p>
      <w:pPr>
        <w:jc w:val="both"/>
      </w:pPr>
      <w:r>
        <w:t xml:space="preserve">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也并不同步。传播之后，环境适应和人工选择造成了各地鸡群的性状分化，一些在现代家鸡中普遍存在的驯化相关变异直到传播后才大幅升频，近代定向选择又显著改变了生长和繁殖性状。家鸡、原鸡、商业鸡和逸生群体之间的基因交流至今仍在持续，现代红原鸡和地方鸡因此已不宜直接作为驯化研究的参照，野生和地方遗传资源也面临侵蚀。</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pPr>
      <w:r>
        <w:rPr>
          <w:rFonts w:ascii="Times New Roman" w:hAnsi="Times New Roman" w:eastAsia="宋体"/>
          <w:color w:val="000000"/>
          <w:sz w:val="20"/>
        </w:rPr>
        <w:t xml:space="preserve">[2] Lawal, R.A.; Hanotte, O. Domestic chicken diversity: Origin, distribution, and adaptation. Animal Genetics 2021, 52, 385–394. DOI: 10.1111/age.13091.</w:t>
      </w:r>
    </w:p>
    <w:p>
      <w:pPr>
        <w:keepLines/>
        <w:spacing w:line="269" w:lineRule="auto" w:after="100"/>
        <w:ind w:hanging="340" w:left="340"/>
      </w:pPr>
      <w:r>
        <w:rPr>
          <w:rFonts w:ascii="Times New Roman" w:hAnsi="Times New Roman" w:eastAsia="宋体"/>
          <w:color w:val="000000"/>
          <w:sz w:val="20"/>
        </w:rPr>
        <w:t xml:space="preserve">[3] Larson, G.; Piperno, D.R.; Allaby, R.G.; Purugganan, M.D.; Andersson, L.; Arroyo-Kalin, M.; Barton, L.; Climer Vigueira, C.; Denham, T.; Dobney, K.; et al. Current perspectives and the future of domestication studies. Proceedings of the National Academy of Sciences of the United States of America 2014, 111, 6139–6146. DOI: 10.1073/pnas.1323964111.</w:t>
      </w:r>
    </w:p>
    <w:p>
      <w:pPr>
        <w:keepLines/>
        <w:spacing w:line="269" w:lineRule="auto" w:after="100"/>
        <w:ind w:hanging="340" w:left="340"/>
      </w:pPr>
      <w:r>
        <w:rPr>
          <w:rFonts w:ascii="Times New Roman" w:hAnsi="Times New Roman" w:eastAsia="宋体"/>
          <w:color w:val="000000"/>
          <w:sz w:val="20"/>
        </w:rPr>
        <w:t xml:space="preserve">[4] Frantz, L.A.F.; Bradley, D.G.; Larson, G.; Orlando, L. Animal domestication in the era of ancient genomics. Nature Reviews Genetics 2020, 21, 449–460. DOI: 10.1038/s41576-020-0225-0.</w:t>
      </w:r>
    </w:p>
    <w:p>
      <w:pPr>
        <w:keepLines/>
        <w:spacing w:line="269" w:lineRule="auto" w:after="100"/>
        <w:ind w:hanging="340" w:left="340"/>
      </w:pPr>
      <w:r>
        <w:rPr>
          <w:rFonts w:ascii="Times New Roman" w:hAnsi="Times New Roman" w:eastAsia="宋体"/>
          <w:color w:val="000000"/>
          <w:sz w:val="20"/>
        </w:rPr>
        <w:t>[5]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[6] Hutt, F.B. Genetics of the Fowl; McGraw-Hill: New York, 1949.</w:t>
      </w:r>
    </w:p>
    <w:p>
      <w:pPr>
        <w:keepLines/>
        <w:spacing w:line="269" w:lineRule="auto" w:after="100"/>
        <w:ind w:hanging="340" w:left="340"/>
      </w:pPr>
      <w:r>
        <w:rPr>
          <w:rFonts w:ascii="Times New Roman" w:hAnsi="Times New Roman" w:eastAsia="宋体"/>
          <w:color w:val="000000"/>
          <w:sz w:val="20"/>
        </w:rPr>
        <w:t>[7]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[8]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[9] Tixier-Boichard, M.; Bed'hom, B.; Rognon, X. Chicken domestication: From archeology to genomics. Comptes Rendus Biologies 2011, 334, 197–204. DOI: 10.1016/j.crvi.2010.12.012.</w:t>
      </w:r>
    </w:p>
    <w:p>
      <w:pPr>
        <w:keepLines/>
        <w:spacing w:line="269" w:lineRule="auto" w:after="100"/>
        <w:ind w:hanging="340" w:left="340"/>
      </w:pPr>
      <w:r>
        <w:rPr>
          <w:rFonts w:ascii="Times New Roman" w:hAnsi="Times New Roman" w:eastAsia="宋体"/>
          <w:color w:val="000000"/>
          <w:sz w:val="20"/>
        </w:rPr>
        <w:t xml:space="preserve">[10]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[11]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[12]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[13]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[14]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[15]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[16] Rubin, C.J.; Zody, M.C.; Eriksson, J.; Meadows, J.R.S.; Sherwood, E.; Webster, M.T.; Jiang, L.; Ingman, M.; Sharpe, T.; Ka, S.; et al. Whole-genome resequencing reveals loci under selection during chicken domestication. Nature 2010, 464, 587–591. DOI: 10.1038/nature08832.</w:t>
      </w:r>
    </w:p>
    <w:p>
      <w:pPr>
        <w:keepLines/>
        <w:spacing w:line="269" w:lineRule="auto" w:after="100"/>
        <w:ind w:hanging="340" w:left="340"/>
      </w:pPr>
      <w:r>
        <w:rPr>
          <w:rFonts w:ascii="Times New Roman" w:hAnsi="Times New Roman" w:eastAsia="宋体"/>
          <w:color w:val="000000"/>
          <w:sz w:val="20"/>
        </w:rPr>
        <w:t xml:space="preserve">[17]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line="269" w:lineRule="auto" w:after="100"/>
        <w:ind w:hanging="340" w:left="340"/>
      </w:pPr>
      <w:r>
        <w:rPr>
          <w:rFonts w:ascii="Times New Roman" w:hAnsi="Times New Roman" w:eastAsia="宋体"/>
          <w:color w:val="000000"/>
          <w:sz w:val="20"/>
        </w:rPr>
        <w:t xml:space="preserve">[18]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[20]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[21]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[22]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[23]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[24]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[25]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[26]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[27]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[28]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[29]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[30]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[31]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[32]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[33]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[34]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[35]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[36]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[37]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[38]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[39]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[40]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[41]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[42]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[43]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[44]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[45]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[46]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[47]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[49]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[50]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[51]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[52]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[53]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[54]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[55]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[56]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[57]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[58]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[59]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[60]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[61]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[62]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[63]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[64]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[65]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[66]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[67]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[68]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[69]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[70]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[71]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[72]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[73]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[74]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[75]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[76]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[77]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[78]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[79]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[80]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[81]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[82]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[83]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[84]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[85]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[86]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[87]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[88]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[89]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[90]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[91]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[92]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[93]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[94]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[95]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[96]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[97]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[98]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[99]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[100]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[101]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[102]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[103]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[104]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[105]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[106]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[107]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[108]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[109]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[110]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[111]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[112]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[113]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[114]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[115]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[116]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[117]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[118]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[119]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[120]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[121]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[122]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[123]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[124]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[125]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[126]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[127]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[128]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[129]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[130]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[131]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[132]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[133]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[134]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[135]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[136]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[137]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[138]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[139]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[140]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[141]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[142]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[143]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[144]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[145]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[146]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[147]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[148]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[149]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[150]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[151]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[152]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[153]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[154]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[155]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[156]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[157]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[158]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[159]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[160]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[161]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[162]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[163]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[164]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[165]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