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w:t>
      </w:r>
      <w:r>
        <w:t xml:space="preserve">其祖先来源、驯化地点与年代以及传播路线长期存在争议。越来越多的证据表明，家鸡驯化并非一次性事件，而是从初始驯化、传播一直延续至今的过程。本文综合线粒体与核基因组、动物考古、直接测年和古DNA证据，并纳入2022年以来的全球综合评估和直接测年结果，梳理家鸡从起源到传播后持续演化的研究</w:t>
      </w:r>
      <w:r>
        <w:t xml:space="preserve">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w:t>
      </w:r>
      <w:r>
        <w:t xml:space="preserve">部分驯化相关变异直到传播后才大幅升频；</w:t>
      </w:r>
      <w:r>
        <w:t xml:space="preserve">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。Eda从现代生物学和动物考古两方面，回顾了截至2021年关于家鸡野生祖先和最早家鸡遗存的研究</w:t>
      </w:r>
      <w:r>
        <w:rPr>
          <w:vertAlign w:val="superscript"/>
        </w:rPr>
        <w:t xml:space="preserve">[15]</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。与此同时，家鸡与原鸡之间、地方鸡与商业鸡之间的基因交流从未中断</w:t>
      </w:r>
      <w:r>
        <w:rPr>
          <w:vertAlign w:val="superscript"/>
        </w:rPr>
        <w:t xml:space="preserve">[11,20]</w:t>
      </w:r>
      <w:r>
        <w:t xml:space="preserve">，现代鸡群的遗传组成因此同时记录了初始驯化和此后数千年的历史。</w:t>
      </w:r>
    </w:p>
    <w:p>
      <w:pPr>
        <w:jc w:val="both"/>
      </w:pPr>
      <w:r>
        <w:t xml:space="preserve">然而，</w:t>
      </w:r>
      <w:r>
        <w:t xml:space="preserve">这些进展尚未得到充分整合。现有综述或侧重家鸡的野生祖先和最早遗存</w:t>
      </w:r>
      <w:r>
        <w:rPr>
          <w:vertAlign w:val="superscript"/>
        </w:rPr>
        <w:t xml:space="preserve">[15]</w:t>
      </w:r>
      <w:r>
        <w:t xml:space="preserve">，或侧重家鸡的起源、分布与适应</w:t>
      </w:r>
      <w:r>
        <w:rPr>
          <w:vertAlign w:val="superscript"/>
        </w:rPr>
        <w:t xml:space="preserve">[2]</w:t>
      </w:r>
      <w:r>
        <w:t xml:space="preserve">，均未纳入2022年以来的全球综合评估和欧洲早期鸡骨直接测年结果</w:t>
      </w:r>
      <w:r>
        <w:rPr>
          <w:vertAlign w:val="superscript"/>
        </w:rPr>
        <w:t xml:space="preserve">[12,14]</w:t>
      </w:r>
      <w:r>
        <w:t xml:space="preserve">；遗传学与考古学证据也</w:t>
      </w:r>
      <w:r>
        <w:t xml:space="preserve">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w:t>
      </w:r>
      <w:r>
        <w:t xml:space="preserve">把家鸡驯化作为一个从初始驯化、传播一直延续至今的过程来讨论，</w:t>
      </w:r>
      <w:r>
        <w:t xml:space="preserve">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r>
        <w:t xml:space="preserve">，并据检索结果补充了9篇相关研究</w:t>
      </w:r>
      <w:r>
        <w:t xml:space="preserve">。</w:t>
      </w:r>
    </w:p>
    <w:p>
      <w:pPr>
        <w:jc w:val="both"/>
      </w:pPr>
      <w:r>
        <w:t xml:space="preserve">本文共引用文献1</w:t>
      </w:r>
      <w:r>
        <w:t xml:space="preserve">74篇，其中期刊论文169</w:t>
      </w:r>
      <w:r>
        <w:t xml:space="preserve">篇，专著2部，论文集章节、学位论文和统计数据库各1项；发表年份为1868～2026年，其中2010年及以后发表的有1</w:t>
      </w:r>
      <w:r>
        <w:t xml:space="preserve">41篇（81%）。在收录于PubMed的147篇中，130</w:t>
      </w:r>
      <w:r>
        <w:t xml:space="preserve">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w:t>
      </w:r>
      <w:r>
        <w:rPr>
          <w:vertAlign w:val="superscript"/>
        </w:rPr>
        <w:t xml:space="preserve">[15]</w:t>
      </w:r>
      <w:r>
        <w:t xml:space="preserve">，以及是否见于随葬背景等。放射性碳年代均采用校准区间，并按原研究报告的概率区间引用（见表1注）。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rPr>
          <w:vertAlign w:val="superscript"/>
        </w:rPr>
        <w:t xml:space="preserve">[15]</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w:t>
      </w:r>
      <w:r>
        <w:t xml:space="preserve">古线粒体序列本身无法区分野生红原鸡与早期家鸡</w:t>
      </w:r>
      <w:r>
        <w:rPr>
          <w:vertAlign w:val="superscript"/>
        </w:rPr>
        <w:t xml:space="preserve">[15]</w:t>
      </w:r>
      <w:r>
        <w:t xml:space="preserve">，且</w:t>
      </w:r>
      <w:r>
        <w:t xml:space="preserve">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r>
        <w:t xml:space="preserve">：髓质骨表明繁殖期当地有成熟雌鸟，幼鸟骨则表明当地已具备孵化条件</w:t>
      </w:r>
      <w:r>
        <w:rPr>
          <w:vertAlign w:val="superscript"/>
        </w:rPr>
        <w:t xml:space="preserve">[15]</w:t>
      </w:r>
      <w:r>
        <w:t xml:space="preserve">。</w:t>
      </w:r>
      <w:r>
        <w:t xml:space="preserve">这类证据</w:t>
      </w:r>
      <w:r>
        <w:t xml:space="preserve">在</w:t>
      </w:r>
      <w:r>
        <w:t xml:space="preserve">各地出现</w:t>
      </w:r>
      <w:r>
        <w:t xml:space="preserve">的</w:t>
      </w:r>
      <w:r>
        <w:t xml:space="preserve">早晚不一（见表1）。</w:t>
      </w:r>
      <w:r>
        <w:t xml:space="preserve">持续饲养也带来了遗传代价：对800多个地方鸡和原鸡全基因组的分析显示，家鸡在早期驯化中经历了明显的群体缩减，有害突变比红原鸡多2.95%，其中62.4%的有害SNP以杂合状态存在，难以通过育种清除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Ukuu和马达加斯加Mahilaka经古DNA确认的鸡骨，分别出自公元7～8世纪和11～13世纪参与印度洋贸易的港口</w:t>
      </w:r>
      <w:r>
        <w:t xml:space="preserve">遗址</w:t>
      </w:r>
      <w:r>
        <w:rPr>
          <w:vertAlign w:val="superscript"/>
        </w:rPr>
        <w:t xml:space="preserve">[64]</w:t>
      </w:r>
      <w:r>
        <w:t xml:space="preserve">。这些区域记录反映了较早的红海联系和较晚的印度洋交流。</w:t>
      </w:r>
      <w:r>
        <w:t xml:space="preserve">母系资料与此相符：伊拉克、沙特阿拉伯、阿尔及利亚、利比亚、埃塞俄比亚和巴基斯坦的706只地方鸡以E单倍群为主，这一单倍群可能源自印度次大陆并经陆路传入；D单倍群见于除阿尔及利亚和利比亚以外的各国，可能是印度洋海上贸易的遗留</w:t>
      </w:r>
      <w:r>
        <w:rPr>
          <w:vertAlign w:val="superscript"/>
        </w:rPr>
        <w:t xml:space="preserve">[65]</w:t>
      </w:r>
      <w:r>
        <w:t xml:space="preserve">。</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r>
        <w:t xml:space="preserve">中国北方，斗鸡的育种和传播可能影响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r>
        <w:t xml:space="preserve">对埃塞俄比亚、沙特阿拉伯和斯里兰卡地方鸡的选择扫描也显示，所有地方鸡共有的候选区域中只有一处含注释基因，即</w:t>
      </w:r>
      <w:r>
        <w:rPr>
          <w:i/>
        </w:rPr>
        <w:t xml:space="preserve">TSHR</w:t>
      </w:r>
      <w:r>
        <w:t xml:space="preserve">和</w:t>
      </w:r>
      <w:r>
        <w:rPr>
          <w:i/>
        </w:rPr>
        <w:t xml:space="preserve">GTF2A1</w:t>
      </w:r>
      <w:r>
        <w:rPr>
          <w:vertAlign w:val="superscript"/>
        </w:rPr>
        <w:t xml:space="preserve">[123]</w:t>
      </w:r>
      <w:r>
        <w:t xml:space="preserve">。</w:t>
      </w:r>
      <w:r>
        <w:t xml:space="preserve">欧洲古鸡的时间序列显示，</w:t>
      </w:r>
      <w:r>
        <w:rPr>
          <w:i/>
        </w:rPr>
        <w:t xml:space="preserve">TSHR</w:t>
      </w:r>
      <w:r>
        <w:t xml:space="preserve">派生等位基因直到中世纪才受到强选择</w:t>
      </w:r>
      <w:r>
        <w:rPr>
          <w:vertAlign w:val="superscript"/>
        </w:rPr>
        <w:t xml:space="preserve">[18,19]</w:t>
      </w:r>
      <w:r>
        <w:t xml:space="preserve">；同时估计选择与基因迁移时间和强度的贝叶斯方法也已应用于古鸡样本</w:t>
      </w:r>
      <w:r>
        <w:rPr>
          <w:vertAlign w:val="superscript"/>
        </w:rPr>
        <w:t xml:space="preserve">[124]</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弗吉尼亚鸡54代8周龄体重双向选择中，低体重选择系的性成熟延迟更明显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[112,114,115,139]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[145]</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r>
        <w:t xml:space="preserve">；而在越南中南部，212只野生红原鸡形成多个小而隔离的群体，空间遗传结构明显，作者此前对MHC B位点的分析也未检出家鸡等位基因渗入</w:t>
      </w:r>
      <w:r>
        <w:rPr>
          <w:vertAlign w:val="superscript"/>
        </w:rPr>
        <w:t xml:space="preserve">[147]</w:t>
      </w:r>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r>
        <w:t xml:space="preserve">；基于49个群体的SNP芯片分析，有研究提出了蛋用、肉用和兼用品种形成的演化模型</w:t>
      </w:r>
      <w:r>
        <w:rPr>
          <w:vertAlign w:val="superscript"/>
        </w:rPr>
        <w:t xml:space="preserve">[156]</w:t>
      </w:r>
      <w:r>
        <w:t xml:space="preserve">。迁移模型还支持中国斗鸡向商业洛岛红鸡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；迁移模型也支持商业小白鸡向阳山鸡和惠阳胡须鸡的基因交流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r>
        <w:t xml:space="preserve">在亚洲，位于华莱士线以东的苏拉威西逸生家鸡也接受了来自</w:t>
      </w:r>
      <w:r>
        <w:rPr>
          <w:i/>
        </w:rPr>
        <w:t xml:space="preserve">G. g. gallus</w:t>
      </w:r>
      <w:r>
        <w:t xml:space="preserve">的基因流</w:t>
      </w:r>
      <w:r>
        <w:rPr>
          <w:vertAlign w:val="superscript"/>
        </w:rPr>
        <w:t xml:space="preserve">[174]</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，菲律宾的研究也据此提出了保护当地红原鸡的必要</w:t>
      </w:r>
      <w:r>
        <w:rPr>
          <w:vertAlign w:val="superscript"/>
        </w:rPr>
        <w:t xml:space="preserve">[152]</w:t>
      </w:r>
      <w:r>
        <w:t xml:space="preserve">，家鸡逸生则使红原鸡的保护和管理更加复杂</w:t>
      </w:r>
      <w:r>
        <w:rPr>
          <w:vertAlign w:val="superscript"/>
        </w:rPr>
        <w:t xml:space="preserve">[174]</w:t>
      </w:r>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p>
    <w:p>
      <w:pPr>
        <w:keepLines/>
        <w:spacing w:line="269" w:lineRule="auto" w:after="100"/>
        <w:ind w:hanging="340" w:left="340"/>
      </w:pPr>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p>
    <w:p>
      <w:pPr>
        <w:keepLines/>
        <w:spacing w:line="269" w:lineRule="auto" w:after="100"/>
        <w:ind w:hanging="340" w:left="340"/>
      </w:pPr>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pPr>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