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w:t>
      </w:r>
      <w:del w:id="90001" w:author="Kiro" w:date="2026-10-11T00:00:00Z">
        <w:r>
          <w:delText xml:space="preserve">单倍群的地域差异</w:delText>
        </w:r>
      </w:del>
      <w:ins w:id="90002" w:author="Kiro" w:date="2026-10-11T00:00:00Z">
        <w:r>
          <w:t xml:space="preserve">家鸡与红原鸡共享单倍群的成因</w:t>
        </w:r>
      </w:ins>
      <w:r>
        <w:t xml:space="preserve">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p>
    <w:p>
      <w:pPr>
        <w:jc w:val="both"/>
      </w:pPr>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w:t>
      </w:r>
      <w:del w:id="90003" w:author="Kiro" w:date="2026-10-11T00:00:00Z">
        <w:r>
          <w:delText xml:space="preserve">共同塑造了家鸡的母系多样性；选择和性别偏向的基因交流，</w:delText>
        </w:r>
      </w:del>
      <w:ins w:id="90004" w:author="Kiro" w:date="2026-10-11T00:00:00Z">
        <w:r>
          <w:t xml:space="preserve">都可能影响家鸡的母系多样性</w:t>
        </w:r>
        <w:r>
          <w:rPr>
            <w:vertAlign w:val="superscript"/>
          </w:rPr>
          <w:t xml:space="preserve">[6]</w:t>
        </w:r>
        <w:r>
          <w:t xml:space="preserve">；在动物中，选择和性别偏向的基因交流</w:t>
        </w:r>
      </w:ins>
      <w:r>
        <w:t xml:space="preserve">还可使母系亲缘关系与核基因组亲缘关系不一致</w:t>
      </w:r>
      <w:r>
        <w:rPr>
          <w:vertAlign w:val="superscript"/>
        </w:rPr>
        <w:t xml:space="preserve">[11,12]</w:t>
      </w:r>
      <w:r>
        <w:t xml:space="preserve">。因此，母系单倍群的地理分布本身不足以判断驯化的次数和地点。</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w:t>
      </w:r>
      <w:del w:id="90005" w:author="Kiro" w:date="2026-10-11T00:00:00Z">
        <w:r>
          <w:delText xml:space="preserve">微卫星</w:delText>
        </w:r>
      </w:del>
      <w:ins w:id="90006" w:author="Kiro" w:date="2026-10-11T00:00:00Z">
        <w:r>
          <w:t xml:space="preserve">线粒体D-loop序列和28个微卫星标记的</w:t>
        </w:r>
      </w:ins>
      <w:r>
        <w:t xml:space="preserve">比较。结果未能清楚区分两个红原鸡亚种，家鸡与</w:t>
      </w:r>
      <w:r>
        <w:rPr>
          <w:i/>
        </w:rPr>
        <w:t xml:space="preserve">G. g. spadiceus</w:t>
      </w:r>
      <w:r>
        <w:t xml:space="preserve">的亲缘关系也不比与</w:t>
      </w:r>
      <w:r>
        <w:rPr>
          <w:i/>
        </w:rPr>
        <w:t xml:space="preserve">G. g. gallus</w:t>
      </w:r>
      <w:r>
        <w:t xml:space="preserve">更近</w:t>
      </w:r>
      <w:del w:id="90007" w:author="Kiro" w:date="2026-10-11T00:00:00Z">
        <w:r>
          <w:delText xml:space="preserve">；作者认为，这与两项研究的亚种采样地点不同有关</w:delText>
        </w:r>
      </w:del>
      <w:ins w:id="90008" w:author="Kiro" w:date="2026-10-11T00:00:00Z">
        <w:r>
          <w:t xml:space="preserve">（与全基因组研究结果的差异见下段）</w:t>
        </w:r>
      </w:ins>
      <w:r>
        <w:t xml:space="preserve">。这些红原鸡群体的遗传多样性较高；作者结合红原鸡中特有的母系变异，推测驯化只涉及红原鸡的部分基因库。</w:t>
      </w:r>
      <w:del w:id="90009" w:author="Kiro" w:date="2026-10-11T00:00:00Z">
        <w:r>
          <w:delText xml:space="preserve">该研究还依据亚洲其他地区所见的部分线粒体单倍群未在这些泰国样本中出现，提出东南亚多地独立驯化的解释</w:delText>
        </w:r>
      </w:del>
      <w:ins w:id="90010" w:author="Kiro" w:date="2026-10-11T00:00:00Z">
        <w:r>
          <w:t xml:space="preserve">亚洲其他地区所见的部分稀有线粒体单倍群未在这些泰国样本中出现；作者认为，如果这些单倍群确为其他地区所特有，而非因抽样偶然缺失，则意味着东南亚多地独立驯化</w:t>
        </w:r>
      </w:ins>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w:t>
      </w:r>
      <w:del w:id="90011" w:author="Kiro" w:date="2026-10-11T00:00:00Z">
        <w:r>
          <w:delText xml:space="preserve">约一个世纪前的历史标本中，红原鸡各</w:delText>
        </w:r>
      </w:del>
      <w:ins w:id="90012" w:author="Kiro" w:date="2026-10-11T00:00:00Z">
        <w:r>
          <w:t xml:space="preserve">不过，该研究的</w:t>
        </w:r>
        <w:r>
          <w:rPr>
            <w:i/>
          </w:rPr>
          <w:t xml:space="preserve">G. g. gallus</w:t>
        </w:r>
        <w:r>
          <w:t xml:space="preserve">样本仅6只，且均采自印度尼西亚；泰国样本的研究未能清楚区分两亚种，作者认为这与采样地点不同有关，并推测泰国两亚种之间可能存在基因流</w:t>
        </w:r>
        <w:r>
          <w:rPr>
            <w:vertAlign w:val="superscript"/>
          </w:rPr>
          <w:t xml:space="preserve">[14]</w:t>
        </w:r>
        <w:r>
          <w:t xml:space="preserve">。约一个世纪前的历史标本中，除</w:t>
        </w:r>
        <w:r>
          <w:rPr>
            <w:i/>
          </w:rPr>
          <w:t xml:space="preserve">G. g. bankiva</w:t>
        </w:r>
        <w:r>
          <w:t xml:space="preserve">单独成簇外，红原鸡其余</w:t>
        </w:r>
      </w:ins>
      <w:r>
        <w:t xml:space="preserve">亚种呈现由印度</w:t>
      </w:r>
      <w:r>
        <w:rPr>
          <w:i/>
        </w:rPr>
        <w:t xml:space="preserve">G. g. murghi</w:t>
      </w:r>
      <w:r>
        <w:t xml:space="preserve">到东南亚</w:t>
      </w:r>
      <w:r>
        <w:rPr>
          <w:i/>
        </w:rPr>
        <w:t xml:space="preserve">G. g. spadiceus</w:t>
      </w:r>
      <w:r>
        <w:t xml:space="preserve">的渐变结构，后者更接近家鸡，</w:t>
      </w:r>
      <w:del w:id="90013" w:author="Kiro" w:date="2026-10-11T00:00:00Z">
        <w:r>
          <w:delText xml:space="preserve">支持了现生基因组得出的主要祖源判断</w:delText>
        </w:r>
      </w:del>
      <w:ins w:id="90014" w:author="Kiro" w:date="2026-10-11T00:00:00Z">
        <w:r>
          <w:t xml:space="preserve">与现生基因组得出的主要祖源判断一致</w:t>
        </w:r>
      </w:ins>
      <w:r>
        <w:rPr>
          <w:vertAlign w:val="superscript"/>
        </w:rPr>
        <w:t xml:space="preserve">[19]</w:t>
      </w:r>
      <w:r>
        <w:t xml:space="preserve">。</w:t>
      </w:r>
    </w:p>
    <w:p>
      <w:pPr>
        <w:jc w:val="both"/>
      </w:pPr>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w:t>
      </w:r>
      <w:del w:id="90015" w:author="Kiro" w:date="2026-10-11T00:00:00Z">
        <w:r>
          <w:delText xml:space="preserve">因此</w:delText>
        </w:r>
      </w:del>
      <w:ins w:id="90016" w:author="Kiro" w:date="2026-10-11T00:00:00Z">
        <w:r>
          <w:t xml:space="preserve">结合驯化后各地亚种的遗传输入（见上段）</w:t>
        </w:r>
      </w:ins>
      <w:r>
        <w:t xml:space="preserve">，家鸡中多个具有地域差异的母系单倍群，与共同的主要祖源并不矛盾。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w:t>
      </w:r>
      <w:del w:id="90017" w:author="Kiro" w:date="2026-10-11T00:00:00Z">
        <w:r>
          <w:delText xml:space="preserve">另外5个</w:delText>
        </w:r>
      </w:del>
      <w:ins w:id="90018" w:author="Kiro" w:date="2026-10-11T00:00:00Z">
        <w:r>
          <w:t xml:space="preserve">4个位于其他染色体的</w:t>
        </w:r>
      </w:ins>
      <w:r>
        <w:t xml:space="preserve">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w:t>
      </w:r>
      <w:del w:id="90019" w:author="Kiro" w:date="2026-10-11T00:00:00Z">
        <w:r>
          <w:delText xml:space="preserve">皮肤积累的类胡萝卜素较多</w:delText>
        </w:r>
      </w:del>
      <w:ins w:id="90020" w:author="Kiro" w:date="2026-10-11T00:00:00Z">
        <w:r>
          <w:t xml:space="preserve">和喙的黄色更深</w:t>
        </w:r>
      </w:ins>
      <w:r>
        <w:t xml:space="preserve">；停止补喂胡萝卜和苜蓿后，黄皮型母鸡产蛋早期的蛋黄叶黄素含量也高于红原鸡型母鸡</w:t>
      </w:r>
      <w:r>
        <w:rPr>
          <w:vertAlign w:val="superscript"/>
        </w:rPr>
        <w:t xml:space="preserve">[23]</w:t>
      </w:r>
      <w:r>
        <w:t xml:space="preserve">。全基因组分析</w:t>
      </w:r>
      <w:del w:id="90021" w:author="Kiro" w:date="2026-10-11T00:00:00Z">
        <w:r>
          <w:delText xml:space="preserve">在多个鸡群中又识别出8处灰原鸡来源的候选区域，并检出家鸡或红原鸡向灰原鸡的反向输入</w:delText>
        </w:r>
      </w:del>
      <w:ins w:id="90022" w:author="Kiro" w:date="2026-10-11T00:00:00Z">
        <w:r>
          <w:t xml:space="preserve">显示，家鸡与灰原鸡之间的渗入信号多数为家鸡或红原鸡向灰原鸡的输入；作者另选出8处灰原鸡向家鸡渗入的候选区域作详细检验</w:t>
        </w:r>
      </w:ins>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del w:id="90023" w:author="Kiro" w:date="2026-10-11T00:00:00Z">
        <w:r>
          <w:delText xml:space="preserve">；</w:delText>
        </w:r>
      </w:del>
      <w:ins w:id="90024" w:author="Kiro" w:date="2026-10-11T00:00:00Z">
        <w:r>
          <w:t xml:space="preserve">，但该研究的灰原鸡参照只取自GenBank公开序列，且灰原鸡中常见家鸡型线粒体</w:t>
        </w:r>
        <w:r>
          <w:rPr>
            <w:vertAlign w:val="superscript"/>
          </w:rPr>
          <w:t xml:space="preserve">[22]</w:t>
        </w:r>
        <w:r>
          <w:t xml:space="preserve">，因此这一结果不能说明灰原鸡有母系贡献。</w:t>
        </w:r>
      </w:ins>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w:t>
      </w:r>
      <w:ins w:id="90025" w:author="Kiro" w:date="2026-10-11T00:00:00Z">
        <w:r>
          <w:t xml:space="preserve">判断早期遗存是否为家鸡，需要依次确认物种身份（形态、胶原肽指纹或古DNA）、个体年代（直接测年）和家养属性（如出现在原鸡分布区以外、成批出现的幼鸟骨或含髓质骨的雌鸟骨、随葬背景；见表1）。</w:t>
        </w:r>
      </w:ins>
      <w:r>
        <w:t xml:space="preserve">骨骼重鉴表明，中国中北部18处遗址原报的429件鸡骨均非鸡骨</w:t>
      </w:r>
      <w:del w:id="90026" w:author="Kiro" w:date="2026-10-11T00:00:00Z">
        <w:r>
          <w:rPr>
            <w:vertAlign w:val="superscript"/>
          </w:rPr>
          <w:delText xml:space="preserve">[34]</w:delText>
        </w:r>
        <w:r>
          <w:delText xml:space="preserve">；大地湾的</w:delText>
        </w:r>
      </w:del>
      <w:ins w:id="90027" w:author="Kiro" w:date="2026-10-11T00:00:00Z">
        <w:r>
          <w:t xml:space="preserve">，另有2处遗址检出共3件候选鸡骨</w:t>
        </w:r>
        <w:r>
          <w:rPr>
            <w:vertAlign w:val="superscript"/>
          </w:rPr>
          <w:t xml:space="preserve">[34]</w:t>
        </w:r>
        <w:r>
          <w:t xml:space="preserve">；大地湾经古DNA检测的8件</w:t>
        </w:r>
      </w:ins>
      <w:r>
        <w:t xml:space="preserve">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del w:id="90028" w:author="Kiro" w:date="2026-10-11T00:00:00Z">
        <w:r>
          <w:delText xml:space="preserve">目前最早的明确家鸡记录来自泰国Ban Non Wat：该遗址发现了候选鸡骨</w:delText>
        </w:r>
        <w:r>
          <w:rPr>
            <w:vertAlign w:val="superscript"/>
          </w:rPr>
          <w:delText xml:space="preserve">[38]</w:delText>
        </w:r>
        <w:r>
          <w:delText xml:space="preserve">，较晚阶段遗存的古线粒体序列也确认了原鸡属身份</w:delText>
        </w:r>
        <w:r>
          <w:rPr>
            <w:vertAlign w:val="superscript"/>
          </w:rPr>
          <w:delText xml:space="preserve">[39]</w:delText>
        </w:r>
        <w:r>
          <w:delText xml:space="preserve">；一项全球综合评估将该遗址约公元前1650～1250年的遗存列为最早的明确家鸡记录</w:delText>
        </w:r>
      </w:del>
      <w:ins w:id="90029" w:author="Kiro" w:date="2026-10-11T00:00:00Z">
        <w:r>
          <w:t xml:space="preserve">泰国Ban Non Wat发现了候选鸡骨</w:t>
        </w:r>
        <w:r>
          <w:rPr>
            <w:vertAlign w:val="superscript"/>
          </w:rPr>
          <w:t xml:space="preserve">[38]</w:t>
        </w:r>
        <w:r>
          <w:t xml:space="preserve">，部分遗存的古线粒体序列也确认了原鸡属身份，但两项研究对这些测序样本层位的记载不一</w:t>
        </w:r>
        <w:r>
          <w:rPr>
            <w:vertAlign w:val="superscript"/>
          </w:rPr>
          <w:t xml:space="preserve">[38,39]</w:t>
        </w:r>
        <w:r>
          <w:t xml:space="preserve">；一项全球综合评估将该遗址约公元前1650～1250年的遗存列为最早的明确家鸡记录，同时承认其家养属性仍有争议</w:t>
        </w:r>
      </w:ins>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w:t>
      </w:r>
      <w:del w:id="90030" w:author="Kiro" w:date="2026-10-11T00:00:00Z">
        <w:r>
          <w:delText xml:space="preserve">泰国和云南地点都位于</w:delText>
        </w:r>
        <w:r>
          <w:rPr>
            <w:i/>
          </w:rPr>
          <w:delText xml:space="preserve">G. g. spadiceus</w:delText>
        </w:r>
        <w:r>
          <w:delText xml:space="preserve">现今的分布区（中国西南、泰国北部和缅甸）内或其附近，与遗传证据指向的区域相接</w:delText>
        </w:r>
        <w:r>
          <w:rPr>
            <w:vertAlign w:val="superscript"/>
          </w:rPr>
          <w:delText xml:space="preserve">[18]</w:delText>
        </w:r>
      </w:del>
      <w:ins w:id="90031" w:author="Kiro" w:date="2026-10-11T00:00:00Z">
        <w:r>
          <w:t xml:space="preserve">云南地点位于</w:t>
        </w:r>
        <w:r>
          <w:rPr>
            <w:i/>
          </w:rPr>
          <w:t xml:space="preserve">G. g. spadiceus</w:t>
        </w:r>
        <w:r>
          <w:t xml:space="preserve">现今的分布区（中国西南、泰国北部和缅甸）内，泰国地点位于其附近，与遗传证据指向的区域相接</w:t>
        </w:r>
        <w:r>
          <w:rPr>
            <w:vertAlign w:val="superscript"/>
          </w:rPr>
          <w:t xml:space="preserve">[18]</w:t>
        </w:r>
        <w:r>
          <w:t xml:space="preserve">；不过，泰国境内两个红原鸡亚种的界线并不清楚</w:t>
        </w:r>
        <w:r>
          <w:rPr>
            <w:vertAlign w:val="superscript"/>
          </w:rPr>
          <w:t xml:space="preserve">[14]</w:t>
        </w:r>
        <w:r>
          <w:t xml:space="preserve">，现生分布也不能直接代表全新世的分布</w:t>
        </w:r>
      </w:ins>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p>
    <w:p>
      <w:pPr>
        <w:pStyle w:val="Heading2"/>
      </w:pPr>
      <w:r>
        <w:t xml:space="preserve">4.2 农业共栖与持续饲养</w:t>
      </w:r>
    </w:p>
    <w:p>
      <w:pPr>
        <w:jc w:val="both"/>
      </w:pPr>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w:t>
      </w:r>
      <w:del w:id="90032" w:author="Kiro" w:date="2026-10-11T00:00:00Z">
        <w:r>
          <w:delText xml:space="preserve">先改变动物的食物和生境，再</w:delText>
        </w:r>
      </w:del>
      <w:ins w:id="90033" w:author="Kiro" w:date="2026-10-11T00:00:00Z">
        <w:r>
          <w:t xml:space="preserve">改造自身生境时无意中为动物提供了食物和栖所，动物被吸引而逐渐习惯人类环境，之后人类才</w:t>
        </w:r>
      </w:ins>
      <w:r>
        <w:t xml:space="preserve">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ins w:id="90034" w:author="Kiro" w:date="2026-10-11T00:00:00Z">
        <w:r>
          <w:t xml:space="preserve">；但也有研究指出，云南新石器时代以水田稻作为主，而为原鸡提供共栖生境的主要是休耕粟田，因此当地的共栖机会可能少于东南亚半岛</w:t>
        </w:r>
        <w:r>
          <w:rPr>
            <w:vertAlign w:val="superscript"/>
          </w:rPr>
          <w:t xml:space="preserve">[42]</w:t>
        </w:r>
      </w:ins>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w:t>
      </w:r>
      <w:del w:id="90035" w:author="Kiro" w:date="2026-10-11T00:00:00Z">
        <w:r>
          <w:delText xml:space="preserve">是否</w:delText>
        </w:r>
      </w:del>
      <w:ins w:id="90036" w:author="Kiro" w:date="2026-10-11T00:00:00Z">
        <w:r>
          <w:t xml:space="preserve">在物种鉴定可靠的前提下，是否成批</w:t>
        </w:r>
      </w:ins>
      <w:r>
        <w:t xml:space="preserve">出现幼鸟骨和含髓质骨的雌鸟骨，这类证据各地出现得早晚不一（见表1）。图1概括了农业共栖、持续饲养、传播和后续变化之间的联系。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w:t>
      </w:r>
      <w:del w:id="90037" w:author="Kiro" w:date="2026-10-11T00:00:00Z">
        <w:r>
          <w:delText xml:space="preserve">半岛和中国西南向外传播，于公元前2千纪后期到达中国中部、南亚和美索不达米亚</w:delText>
        </w:r>
        <w:r>
          <w:rPr>
            <w:vertAlign w:val="superscript"/>
          </w:rPr>
          <w:delText xml:space="preserve">[37]</w:delText>
        </w:r>
      </w:del>
      <w:ins w:id="90038" w:author="Kiro" w:date="2026-10-11T00:00:00Z">
        <w:r>
          <w:t xml:space="preserve">大陆（可能包括中国西南）向外传播，于公元前2千纪后期到达中国中部、南亚和美索不达米亚</w:t>
        </w:r>
        <w:r>
          <w:rPr>
            <w:vertAlign w:val="superscript"/>
          </w:rPr>
          <w:t xml:space="preserve">[37]</w:t>
        </w:r>
        <w:r>
          <w:t xml:space="preserve">。这些地区的最早记录与Ban Non Wat只相隔数百年，说明鸡离开源区后扩散较快，或源区更早的记录尚未被发现</w:t>
        </w:r>
      </w:ins>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。向南，非洲之角Mezber的鸡骨直接年代为公元前820～595年，研究者认为，经红海沿岸港口与南阿拉伯的海上交流，可能是鸡传入非洲的早期路线之一</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w:t>
      </w:r>
      <w:del w:id="90039" w:author="Kiro" w:date="2026-10-11T00:00:00Z">
        <w:r>
          <w:delText xml:space="preserve">夏威夷、Niue和Rapa Nui的古鸡表明，鸡随后到达东波利尼西亚；复核所得的22条可重复古鸡母系序列均属D单倍群</w:delText>
        </w:r>
      </w:del>
      <w:ins w:id="90040" w:author="Kiro" w:date="2026-10-11T00:00:00Z">
        <w:r>
          <w:t xml:space="preserve">西波利尼西亚Niue及东波利尼西亚夏威夷、Rapa Nui的37件古鸡骨中，22件获得可重复的母系序列，均属D单倍群，表明鸡随后到达东波利尼西亚</w:t>
        </w:r>
      </w:ins>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；英国铁器时代的一只成年鸡腿骨骨折已经愈合，提示它受到过照护；研究者认为，这些早期进入</w:t>
      </w:r>
      <w:del w:id="90041" w:author="Kiro" w:date="2026-10-11T00:00:00Z">
        <w:r>
          <w:delText xml:space="preserve">北欧</w:delText>
        </w:r>
      </w:del>
      <w:ins w:id="90042" w:author="Kiro" w:date="2026-10-11T00:00:00Z">
        <w:r>
          <w:t xml:space="preserve">不列颠</w:t>
        </w:r>
      </w:ins>
      <w:r>
        <w:t xml:space="preserve">的鸡更可能被视为珍稀动物，而非食物</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w:t>
      </w:r>
      <w:del w:id="90043" w:author="Kiro" w:date="2026-10-11T00:00:00Z">
        <w:r>
          <w:delText xml:space="preserve">东亚，斗鸡的育种和传播也改变</w:delText>
        </w:r>
      </w:del>
      <w:ins w:id="90044" w:author="Kiro" w:date="2026-10-11T00:00:00Z">
        <w:r>
          <w:t xml:space="preserve">中国北方，斗鸡的育种和传播可能影响</w:t>
        </w:r>
      </w:ins>
      <w:r>
        <w:t xml:space="preserve">了当地鸡群的母系组成（见第3.1节）</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w:t>
      </w:r>
      <w:del w:id="90045" w:author="Kiro" w:date="2026-10-11T00:00:00Z">
        <w:r>
          <w:delText xml:space="preserve">却</w:delText>
        </w:r>
      </w:del>
      <w:ins w:id="90046" w:author="Kiro" w:date="2026-10-11T00:00:00Z">
        <w:r>
          <w:t xml:space="preserve">但新发掘未见鸡骨，此前报为鸡的66件标本经形态重鉴均为鴂，因而</w:t>
        </w:r>
      </w:ins>
      <w:r>
        <w:t xml:space="preserve">未发现明确的波利尼西亚接触证据</w:t>
      </w:r>
      <w:r>
        <w:rPr>
          <w:vertAlign w:val="superscript"/>
        </w:rPr>
        <w:t xml:space="preserve">[65]</w:t>
      </w:r>
      <w:r>
        <w:t xml:space="preserve">。</w:t>
      </w:r>
      <w:del w:id="90047" w:author="Kiro" w:date="2026-10-11T00:00:00Z">
        <w:r>
          <w:delText xml:space="preserve">目前更清楚的是殖民时期伊比利亚鸡与加勒比地区古鸡之间的母系联系</w:delText>
        </w:r>
      </w:del>
      <w:ins w:id="90048" w:author="Kiro" w:date="2026-10-11T00:00:00Z">
        <w:r>
          <w:t xml:space="preserve">殖民时期海地和佛罗里达的古鸡则与中世纪伊比利亚鸡共享E1单倍型，结合殖民背景支持跨大西洋输入</w:t>
        </w:r>
      </w:ins>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ins w:id="90049" w:author="Kiro" w:date="2026-10-11T00:00:00Z">
        <w:r>
          <w:t xml:space="preserve">，马达加斯加鸡直接来自西亚（含印度和北非）群体（后验概率0.72）</w:t>
        </w:r>
      </w:ins>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ins w:id="90050" w:author="Kiro" w:date="2026-10-11T00:00:00Z">
        <w:r>
          <w:t xml:space="preserve">；经红海通向非洲之角的虚线亦为候选路线</w:t>
        </w:r>
        <w:r>
          <w:rPr>
            <w:vertAlign w:val="superscript"/>
          </w:rPr>
          <w:t xml:space="preserve">[49]</w:t>
        </w:r>
      </w:ins>
      <w:r>
        <w:t xml:space="preserve">。M1表示南亚经东非传入马达加斯加的旧假说，M2表示东非与马达加斯加分别接受外来种源的模型；M2的</w:t>
      </w:r>
      <w:del w:id="90051" w:author="Kiro" w:date="2026-10-11T00:00:00Z">
        <w:r>
          <w:delText xml:space="preserve">来源参照包含印度和非洲大陆群体，其起点为来源集合的</w:delText>
        </w:r>
      </w:del>
      <w:ins w:id="90052" w:author="Kiro" w:date="2026-10-11T00:00:00Z">
        <w:r>
          <w:t xml:space="preserve">外来种源为西亚群体（含印度和北非），其起点为</w:t>
        </w:r>
      </w:ins>
      <w:r>
        <w:t xml:space="preserve">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del w:id="90053" w:author="Kiro" w:date="2026-10-11T00:00:00Z">
              <w:r>
                <w:rPr>
                  <w:rFonts w:ascii="Times New Roman" w:hAnsi="Times New Roman" w:eastAsia="宋体"/>
                  <w:b w:val="0"/>
                  <w:i w:val="0"/>
                  <w:color w:val="000000"/>
                  <w:sz w:val="19"/>
                </w:rPr>
                <w:delText xml:space="preserve">Peters等综合评估将最早阶段遗存列为早期家鸡记录；较晚阶段古DNA仅确认原鸡属身份</w:delText>
              </w:r>
            </w:del>
            <w:ins w:id="90054" w:author="Kiro" w:date="2026-10-11T00:00:00Z">
              <w:r>
                <w:rPr>
                  <w:rFonts w:ascii="Times New Roman" w:hAnsi="Times New Roman" w:eastAsia="宋体"/>
                  <w:b w:val="0"/>
                  <w:color w:val="000000"/>
                  <w:sz w:val="19"/>
                </w:rPr>
                <w:t xml:space="preserve">全球综合评估将最早阶段遗存列为早期家鸡记录，但承认其家养属性尚有争议；古DNA确认了部分遗存的原鸡属身份，其测序样本层位在两项研究中记载不一</w:t>
              </w:r>
            </w:ins>
            <w:r>
              <w:rPr>
                <w:rFonts w:ascii="Times New Roman" w:hAnsi="Times New Roman" w:eastAsia="宋体"/>
                <w:b w:val="0"/>
                <w:i w:val="0"/>
                <w:color w:val="000000"/>
                <w:sz w:val="19"/>
              </w:rPr>
              <w:t xml:space="preserve">，不能直接验证最早阶段的家养属性。幼鸟及繁殖候选仍需按各自分期判断。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del w:id="90055" w:author="Kiro" w:date="2026-10-11T00:00:00Z">
              <w:r>
                <w:rPr>
                  <w:rFonts w:ascii="Times New Roman" w:hAnsi="Times New Roman" w:eastAsia="宋体"/>
                  <w:b w:val="0"/>
                  <w:i w:val="0"/>
                  <w:color w:val="000000"/>
                  <w:sz w:val="19"/>
                </w:rPr>
                <w:delText xml:space="preserve">原文认为两件鸡骨与相应遗址背景年代相符，但原论文表2所列直接校准区间与原报背景年代未见重叠，二者的对应关系尚需核实</w:delText>
              </w:r>
            </w:del>
            <w:ins w:id="90056" w:author="Kiro" w:date="2026-10-11T00:00:00Z">
              <w:r>
                <w:rPr>
                  <w:rFonts w:ascii="Times New Roman" w:hAnsi="Times New Roman" w:eastAsia="宋体"/>
                  <w:b w:val="0"/>
                  <w:color w:val="000000"/>
                  <w:sz w:val="19"/>
                </w:rPr>
                <w:t xml:space="preserve">直接校准区间与原报背景年代在数值上不重叠，原研究将其归因于哈尔施塔特校准平台造成的测年精度下降，仍判定二者相符；区间精度有限</w:t>
              </w:r>
            </w:ins>
            <w:r>
              <w:rPr>
                <w:rFonts w:ascii="Times New Roman" w:hAnsi="Times New Roman" w:eastAsia="宋体"/>
                <w:b w:val="0"/>
                <w:i w:val="0"/>
                <w:color w:val="000000"/>
                <w:sz w:val="19"/>
              </w:rPr>
              <w:t xml:space="preserve">，不宜据此确定具体传入年份。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color w:val="000000"/>
                <w:sz w:val="19"/>
              </w:rPr>
              <w:t xml:space="preserve">Buto：相关层位跨赛特至罗马时期；Tell el-Maskhuta：8件鸡骨中3件可定年，分属希腊化时期、公元前3～2世纪和罗马时期</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color w:val="000000"/>
                <w:sz w:val="19"/>
              </w:rPr>
              <w:t xml:space="preserve">两地鸡骨提供下埃及存在记录；Buto只能定位较宽时期</w:t>
            </w:r>
            <w:ins w:id="90057" w:author="Kiro" w:date="2026-10-11T00:00:00Z">
              <w:r>
                <w:rPr>
                  <w:rFonts w:ascii="Times New Roman" w:hAnsi="Times New Roman" w:eastAsia="宋体"/>
                  <w:color w:val="000000"/>
                  <w:sz w:val="19"/>
                </w:rPr>
                <w:t xml:space="preserve">，原作者认为当地大约自希腊—罗马时期起才养鸡</w:t>
              </w:r>
            </w:ins>
            <w:r>
              <w:rPr>
                <w:rFonts w:ascii="Times New Roman" w:hAnsi="Times New Roman" w:eastAsia="宋体"/>
                <w:color w:val="000000"/>
                <w:sz w:val="19"/>
              </w:rPr>
              <w:t xml:space="preserve">。Tell el-Maskhuta鸡骨很少，原研究认为当地波斯至罗马时期几乎不养鸡。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ins w:id="90058" w:author="Kiro" w:date="2026-10-11T00:00:00Z">
              <w:r>
                <w:rPr>
                  <w:rFonts w:ascii="Times New Roman" w:hAnsi="Times New Roman" w:eastAsia="宋体"/>
                  <w:b w:val="0"/>
                  <w:color w:val="000000"/>
                  <w:sz w:val="19"/>
                </w:rPr>
                <w:t xml:space="preserve">；前者为1件鸡骨的储库校正直接年代，后者为6件鸡骨直接年代的加权合并区间</w:t>
              </w:r>
            </w:ins>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Nenumbo为</w:t>
            </w:r>
            <w:del w:id="90059" w:author="Kiro" w:date="2026-10-11T00:00:00Z">
              <w:r>
                <w:rPr>
                  <w:rFonts w:ascii="Times New Roman" w:hAnsi="Times New Roman" w:eastAsia="宋体"/>
                  <w:b w:val="0"/>
                  <w:i w:val="0"/>
                  <w:color w:val="000000"/>
                  <w:sz w:val="19"/>
                </w:rPr>
                <w:delText xml:space="preserve">Peters等</w:delText>
              </w:r>
            </w:del>
            <w:ins w:id="90060" w:author="Kiro" w:date="2026-10-11T00:00:00Z">
              <w:r>
                <w:rPr>
                  <w:rFonts w:ascii="Times New Roman" w:hAnsi="Times New Roman" w:eastAsia="宋体"/>
                  <w:b w:val="0"/>
                  <w:color w:val="000000"/>
                  <w:sz w:val="19"/>
                </w:rPr>
                <w:t xml:space="preserve">全球综合评估</w:t>
              </w:r>
            </w:ins>
            <w:r>
              <w:rPr>
                <w:rFonts w:ascii="Times New Roman" w:hAnsi="Times New Roman" w:eastAsia="宋体"/>
                <w:b w:val="0"/>
                <w:i w:val="0"/>
                <w:color w:val="000000"/>
                <w:sz w:val="19"/>
              </w:rPr>
              <w:t xml:space="preserve">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公元前1千纪早期；鸡骨食性校正与</w:t>
            </w:r>
            <w:del w:id="90061" w:author="Kiro" w:date="2026-10-11T00:00:00Z">
              <w:r>
                <w:rPr>
                  <w:rFonts w:ascii="Times New Roman" w:hAnsi="Times New Roman" w:eastAsia="宋体"/>
                  <w:b w:val="0"/>
                  <w:i w:val="0"/>
                  <w:color w:val="000000"/>
                  <w:sz w:val="19"/>
                </w:rPr>
                <w:delText xml:space="preserve">遗址沉积</w:delText>
              </w:r>
            </w:del>
            <w:ins w:id="90062" w:author="Kiro" w:date="2026-10-11T00:00:00Z">
              <w:r>
                <w:rPr>
                  <w:rFonts w:ascii="Times New Roman" w:hAnsi="Times New Roman" w:eastAsia="宋体"/>
                  <w:b w:val="0"/>
                  <w:color w:val="000000"/>
                  <w:sz w:val="19"/>
                </w:rPr>
                <w:t xml:space="preserve">分期序列</w:t>
              </w:r>
            </w:ins>
            <w:r>
              <w:rPr>
                <w:rFonts w:ascii="Times New Roman" w:hAnsi="Times New Roman" w:eastAsia="宋体"/>
                <w:b w:val="0"/>
                <w:i w:val="0"/>
                <w:color w:val="000000"/>
                <w:sz w:val="19"/>
              </w:rPr>
              <w:t xml:space="preserve">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后续定年结合食性偏移及贝叶斯</w:t>
            </w:r>
            <w:del w:id="90063" w:author="Kiro" w:date="2026-10-11T00:00:00Z">
              <w:r>
                <w:rPr>
                  <w:rFonts w:ascii="Times New Roman" w:hAnsi="Times New Roman" w:eastAsia="宋体"/>
                  <w:b w:val="0"/>
                  <w:i w:val="0"/>
                  <w:color w:val="000000"/>
                  <w:sz w:val="19"/>
                </w:rPr>
                <w:delText xml:space="preserve">沉积</w:delText>
              </w:r>
            </w:del>
            <w:ins w:id="90064" w:author="Kiro" w:date="2026-10-11T00:00:00Z">
              <w:r>
                <w:rPr>
                  <w:rFonts w:ascii="Times New Roman" w:hAnsi="Times New Roman" w:eastAsia="宋体"/>
                  <w:b w:val="0"/>
                  <w:color w:val="000000"/>
                  <w:sz w:val="19"/>
                </w:rPr>
                <w:t xml:space="preserve">分期序列</w:t>
              </w:r>
            </w:ins>
            <w:r>
              <w:rPr>
                <w:rFonts w:ascii="Times New Roman" w:hAnsi="Times New Roman" w:eastAsia="宋体"/>
                <w:b w:val="0"/>
                <w:i w:val="0"/>
                <w:color w:val="000000"/>
                <w:sz w:val="19"/>
              </w:rPr>
              <w:t xml:space="preserve">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del w:id="90065" w:author="Kiro" w:date="2026-10-11T00:00:00Z">
              <w:r>
                <w:rPr>
                  <w:rFonts w:ascii="Times New Roman" w:hAnsi="Times New Roman" w:eastAsia="宋体"/>
                  <w:b w:val="0"/>
                  <w:i w:val="0"/>
                  <w:color w:val="000000"/>
                  <w:sz w:val="19"/>
                </w:rPr>
                <w:delText xml:space="preserve">Peters等</w:delText>
              </w:r>
            </w:del>
            <w:ins w:id="90066" w:author="Kiro" w:date="2026-10-11T00:00:00Z">
              <w:r>
                <w:rPr>
                  <w:rFonts w:ascii="Times New Roman" w:hAnsi="Times New Roman" w:eastAsia="宋体"/>
                  <w:b w:val="0"/>
                  <w:color w:val="000000"/>
                  <w:sz w:val="19"/>
                </w:rPr>
                <w:t xml:space="preserve">全球综合评估</w:t>
              </w:r>
            </w:ins>
            <w:r>
              <w:rPr>
                <w:rFonts w:ascii="Times New Roman" w:hAnsi="Times New Roman" w:eastAsia="宋体"/>
                <w:b w:val="0"/>
                <w:i w:val="0"/>
                <w:color w:val="000000"/>
                <w:sz w:val="19"/>
              </w:rPr>
              <w:t xml:space="preserve">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个体年代、遗址背景与传播来源分别受到检验；</w:t>
            </w:r>
            <w:ins w:id="90067" w:author="Kiro" w:date="2026-10-11T00:00:00Z">
              <w:r>
                <w:rPr>
                  <w:rFonts w:ascii="Times New Roman" w:hAnsi="Times New Roman" w:eastAsia="宋体"/>
                  <w:b w:val="0"/>
                  <w:color w:val="000000"/>
                  <w:sz w:val="19"/>
                </w:rPr>
                <w:t xml:space="preserve">此前报为鸡的66件标本经重鉴均为鴂，</w:t>
              </w:r>
            </w:ins>
            <w:r>
              <w:rPr>
                <w:rFonts w:ascii="Times New Roman" w:hAnsi="Times New Roman" w:eastAsia="宋体"/>
                <w:b w:val="0"/>
                <w:i w:val="0"/>
                <w:color w:val="000000"/>
                <w:sz w:val="19"/>
              </w:rPr>
              <w:t xml:space="preserve">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古线粒体短片段与中世纪伊比利亚鸡共享</w:t>
            </w:r>
            <w:ins w:id="90068" w:author="Kiro" w:date="2026-10-11T00:00:00Z">
              <w:r>
                <w:rPr>
                  <w:rFonts w:ascii="Times New Roman" w:hAnsi="Times New Roman" w:eastAsia="宋体"/>
                  <w:b w:val="0"/>
                  <w:color w:val="000000"/>
                  <w:sz w:val="19"/>
                </w:rPr>
                <w:t xml:space="preserve">E1</w:t>
              </w:r>
            </w:ins>
            <w:r>
              <w:rPr>
                <w:rFonts w:ascii="Times New Roman" w:hAnsi="Times New Roman" w:eastAsia="宋体"/>
                <w:b w:val="0"/>
                <w:i w:val="0"/>
                <w:color w:val="000000"/>
                <w:sz w:val="19"/>
              </w:rPr>
              <w:t xml:space="preserve">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jc w:val="both"/>
      </w:pPr>
      <w:r>
        <w:t xml:space="preserve">家鸡传播到不同气候和海拔的地区，并被用于食用、产蛋、观赏和斗鸡等不同目的之后，各地鸡群在环境适应和用途性状上逐渐分化</w:t>
      </w:r>
      <w:ins w:id="90069" w:author="Kiro" w:date="2026-10-11T00:00:00Z">
        <w:r>
          <w:t xml:space="preserve">；近代定向选育又进一步放大了生长和繁殖性状的差异</w:t>
        </w:r>
      </w:ins>
      <w:r>
        <w:t xml:space="preserve">。本节先讨论自然环境和病原压力下的适应（6.1），再讨论人工选择下的生长、繁殖、外形和斗鸡性状（6.2）。</w:t>
      </w:r>
      <w:ins w:id="90070" w:author="Kiro" w:date="2026-10-11T00:00:00Z">
        <w:r>
          <w:t xml:space="preserve">其中不少遗传定位来自实验互交群体和长期选择系，它们揭示的是性状的遗传结构，而不是这些性状在各地形成的历史。</w:t>
        </w:r>
      </w:ins>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w:t>
      </w:r>
      <w:r>
        <w:rPr>
          <w:i/>
        </w:rPr>
        <w:t xml:space="preserve">TSHR</w:t>
      </w:r>
      <w:r>
        <w:t xml:space="preserve"> 558Arg等位基因纯合子经35±1℃、12 h热应激试验后，血清丙氨酸氨基转移酶、乳酸脱氢酶和肌酸激酶水平低于</w:t>
      </w:r>
      <w:del w:id="90073" w:author="Kiro" w:date="2026-10-11T00:00:00Z">
        <w:r>
          <w:delText xml:space="preserve">野生型</w:delText>
        </w:r>
      </w:del>
      <w:ins w:id="90074" w:author="Kiro" w:date="2026-10-11T00:00:00Z">
        <w:r>
          <w:t xml:space="preserve">558Gly纯合子</w:t>
        </w:r>
      </w:ins>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w:t>
      </w:r>
      <w:del w:id="90071" w:author="Kiro" w:date="2026-10-11T00:00:00Z">
        <w:r>
          <w:delText xml:space="preserve">波兰和芬兰鸡群也显示出与寒冷地区中国鸡群相近的分化模式</w:delText>
        </w:r>
      </w:del>
      <w:ins w:id="90072" w:author="Kiro" w:date="2026-10-11T00:00:00Z">
        <w:r>
          <w:t xml:space="preserve">这些位点在波兰、芬兰、以色列和埃及鸡群中也呈现随环境温度变化的相似频率趋势</w:t>
        </w:r>
      </w:ins>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。在马立克病抗性的白来航近交系63、易感系72及其衍生品系中，抗性组的纯合片段含</w:t>
      </w:r>
      <w:r>
        <w:rPr>
          <w:i/>
        </w:rPr>
        <w:t xml:space="preserve">TNFSF13B</w:t>
      </w:r>
      <w:r>
        <w:t xml:space="preserve">等免疫相关基因，群体分化分析则检出与细胞死亡和抗凋亡相关的</w:t>
      </w:r>
      <w:r>
        <w:rPr>
          <w:i/>
        </w:rPr>
        <w:t xml:space="preserve">AKT1</w:t>
      </w:r>
      <w:r>
        <w:t xml:space="preserve">、</w:t>
      </w:r>
      <w:r>
        <w:rPr>
          <w:i/>
        </w:rPr>
        <w:t xml:space="preserve">API5</w:t>
      </w:r>
      <w:r>
        <w:t xml:space="preserve">等基因</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jc w:val="both"/>
      </w:pPr>
      <w:r>
        <w:t xml:space="preserve">总之，这些适应性差异既见于地方鸡，也见于实验品系；除少数位点有功能验证外，多数证据来自选择扫描、关联定位或表达比较，相关变异出现的时间大多尚未确定。</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w:t>
      </w:r>
      <w:ins w:id="90075" w:author="Kiro" w:date="2026-10-11T00:00:00Z">
        <w:r>
          <w:t xml:space="preserve">古DNA还显示，驯化相关等位基因的频率在家鸡传播后仍在变化：波罗的海地区古鸡中，奥兰群岛鸡群的</w:t>
        </w:r>
        <w:r>
          <w:rPr>
            <w:i/>
          </w:rPr>
          <w:t xml:space="preserve">TSHR</w:t>
        </w:r>
        <w:r>
          <w:t xml:space="preserve">和</w:t>
        </w:r>
        <w:r>
          <w:rPr>
            <w:i/>
          </w:rPr>
          <w:t xml:space="preserve">BCO2</w:t>
        </w:r>
        <w:r>
          <w:t xml:space="preserve">等位基因频率不同于其他地区，现代芬兰和爱沙尼亚地方鸡的</w:t>
        </w:r>
        <w:r>
          <w:rPr>
            <w:i/>
          </w:rPr>
          <w:t xml:space="preserve">TSHR</w:t>
        </w:r>
        <w:r>
          <w:t xml:space="preserve">野生型等位基因频率也高于现代参照群体</w:t>
        </w:r>
        <w:r>
          <w:rPr>
            <w:vertAlign w:val="superscript"/>
          </w:rPr>
          <w:t xml:space="preserve">[71]</w:t>
        </w:r>
        <w:r>
          <w:t xml:space="preserve">。</w:t>
        </w:r>
      </w:ins>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jc w:val="both"/>
      </w:pPr>
      <w:r>
        <w:t xml:space="preserve">总之，近代定向选择显著改变了生长和繁殖性状；选择响应既来自多个原有遗传变异的共同作用，也涉及调控变异和结构变异，如</w:t>
      </w:r>
      <w:r>
        <w:rPr>
          <w:i/>
        </w:rPr>
        <w:t xml:space="preserve">IGF2BP1</w:t>
      </w:r>
      <w:r>
        <w:t xml:space="preserve">上游缺失、rs734209466和玫瑰冠R1重排</w:t>
      </w:r>
      <w:r>
        <w:rPr>
          <w:vertAlign w:val="superscript"/>
        </w:rPr>
        <w:t xml:space="preserve">[100,102,103,125]</w:t>
      </w:r>
      <w:r>
        <w:t xml:space="preserve">。</w:t>
      </w:r>
    </w:p>
    <w:p>
      <w:pPr>
        <w:pStyle w:val="Heading1"/>
      </w:pPr>
      <w:r>
        <w:t xml:space="preserve">7 驯化后的基因交流</w:t>
      </w:r>
    </w:p>
    <w:p>
      <w:pPr>
        <w:jc w:val="both"/>
      </w:pPr>
      <w:r>
        <w:t xml:space="preserve">驯化以后，家鸡、原鸡和商业种源之间的基因交流仍在持续。本节依次讨论家鸡与原鸡（7.1）、商业种源与地方群体（7.2），以及逸生群体（7.3）之间的交流</w:t>
      </w:r>
      <w:ins w:id="90076" w:author="Kiro" w:date="2026-10-11T00:00:00Z">
        <w:r>
          <w:t xml:space="preserve">，最后讨论这些交流对驯化与适应研究的影响（7.4）</w:t>
        </w:r>
      </w:ins>
      <w:r>
        <w:t xml:space="preserve">。</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w:t>
      </w:r>
      <w:ins w:id="90077" w:author="Kiro" w:date="2026-10-11T00:00:00Z">
        <w:r>
          <w:t xml:space="preserve">红</w:t>
        </w:r>
      </w:ins>
      <w:r>
        <w:t xml:space="preserve">原鸡的基因组比较显示，近百年来家鸡输入增加；其中</w:t>
      </w:r>
      <w:del w:id="90078" w:author="Kiro" w:date="2026-10-11T00:00:00Z">
        <w:r>
          <w:delText xml:space="preserve">部分</w:delText>
        </w:r>
      </w:del>
      <w:ins w:id="90079" w:author="Kiro" w:date="2026-10-11T00:00:00Z">
        <w:r>
          <w:t xml:space="preserve">多数</w:t>
        </w:r>
      </w:ins>
      <w:r>
        <w:t xml:space="preserve">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识别原鸡中的家鸡成分，还受到三方面因素干扰。原鸡属系统基因组研究检出部分谱系之间较古老的种间渗入</w:t>
      </w:r>
      <w:r>
        <w:rPr>
          <w:vertAlign w:val="superscript"/>
        </w:rPr>
        <w:t xml:space="preserve">[133]</w:t>
      </w:r>
      <w:r>
        <w:t xml:space="preserve">；所研究的圈养灰原鸡常染色体基因组中约10%来自</w:t>
      </w:r>
      <w:r>
        <w:rPr>
          <w:i/>
        </w:rPr>
        <w:t xml:space="preserve">G. gallus</w:t>
      </w:r>
      <w:r>
        <w:t xml:space="preserve">，而同一研究中的两只野生灰原鸡未检出相应信号</w:t>
      </w:r>
      <w:r>
        <w:rPr>
          <w:vertAlign w:val="superscript"/>
        </w:rPr>
        <w:t xml:space="preserve">[134]</w:t>
      </w:r>
      <w:r>
        <w:t xml:space="preserve">；杂交回交实验还发现，保留家鸡来源遗传成分的后代仍可呈现典型的原鸡外观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。贵州鸡群的迁移模型检出由其他鸡群指向红原鸡参照群体的迁移边，日本圈养红原鸡的分析则检出由圈养红原鸡指向白来航的迁移边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。华南12个地方品种</w:t>
      </w:r>
      <w:del w:id="90080" w:author="Kiro" w:date="2026-10-11T00:00:00Z">
        <w:r>
          <w:delText xml:space="preserve">、</w:delText>
        </w:r>
      </w:del>
      <w:ins w:id="90081" w:author="Kiro" w:date="2026-10-11T00:00:00Z">
        <w:r>
          <w:t xml:space="preserve">和2个商业品种共</w:t>
        </w:r>
      </w:ins>
      <w:r>
        <w:t xml:space="preserve">587只鸡的微卫星分析较早检出了商业鸡向地方鸡的潜在渗入</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w:t>
      </w:r>
      <w:del w:id="90082" w:author="Kiro" w:date="2026-10-11T00:00:00Z">
        <w:r>
          <w:delText xml:space="preserve">，贵州部分地方品种显示上海新杨蛋鸡相关输入，江西部分品种则检出欧洲商业鸡的混合信号</w:delText>
        </w:r>
        <w:r>
          <w:rPr>
            <w:vertAlign w:val="superscript"/>
          </w:rPr>
          <w:delText xml:space="preserve">[137,144,</w:delText>
        </w:r>
      </w:del>
      <w:ins w:id="90083" w:author="Kiro" w:date="2026-10-11T00:00:00Z">
        <w:r>
          <w:rPr>
            <w:vertAlign w:val="superscript"/>
          </w:rPr>
          <w:t xml:space="preserve">[144]</w:t>
        </w:r>
        <w:r>
          <w:t xml:space="preserve">，贵州部分地方品种显示上海新杨蛋鸡相关输入</w:t>
        </w:r>
        <w:r>
          <w:rPr>
            <w:vertAlign w:val="superscript"/>
          </w:rPr>
          <w:t xml:space="preserve">[137]</w:t>
        </w:r>
        <w:r>
          <w:t xml:space="preserve">，江西部分品种则检出欧洲商业鸡的混合信号</w:t>
        </w:r>
        <w:r>
          <w:rPr>
            <w:vertAlign w:val="superscript"/>
          </w:rPr>
          <w:t xml:space="preserve">[</w:t>
        </w:r>
      </w:ins>
      <w:r>
        <w:rPr>
          <w:vertAlign w:val="superscript"/>
        </w:rPr>
        <w:t xml:space="preserve">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w:t>
      </w:r>
      <w:del w:id="90084" w:author="Kiro" w:date="2026-10-11T00:00:00Z">
        <w:r>
          <w:delText xml:space="preserve">、喀麦隆和阿尔及利亚的部分地方群体存在商业相关基因交流，贝宁、加纳和科特迪瓦受检群体中的影响则有限</w:delText>
        </w:r>
        <w:r>
          <w:rPr>
            <w:vertAlign w:val="superscript"/>
          </w:rPr>
          <w:delText xml:space="preserve">[148,</w:delText>
        </w:r>
      </w:del>
      <w:ins w:id="90085" w:author="Kiro" w:date="2026-10-11T00:00:00Z">
        <w:r>
          <w:t xml:space="preserve">和喀麦隆的部分地方群体存在商业相关基因流，但影响较有限，贝宁、加纳和科特迪瓦受检群体中则未检出</w:t>
        </w:r>
        <w:r>
          <w:rPr>
            <w:vertAlign w:val="superscript"/>
          </w:rPr>
          <w:t xml:space="preserve">[148]</w:t>
        </w:r>
        <w:r>
          <w:t xml:space="preserve">；阿尔及利亚西部地方鸡在遗传上与部分商业品系最为接近</w:t>
        </w:r>
        <w:r>
          <w:rPr>
            <w:vertAlign w:val="superscript"/>
          </w:rPr>
          <w:t xml:space="preserve">[</w:t>
        </w:r>
      </w:ins>
      <w:r>
        <w:rPr>
          <w:vertAlign w:val="superscript"/>
        </w:rPr>
        <w:t xml:space="preserve">149]</w:t>
      </w:r>
      <w:r>
        <w:t xml:space="preserve">。东非657只村落鸡中，仅10只对商业鸡簇的归属系数高于0.2，商业输入不足以解释该区域主要的遗传结构</w:t>
      </w:r>
      <w:r>
        <w:rPr>
          <w:vertAlign w:val="superscript"/>
        </w:rPr>
        <w:t xml:space="preserve">[150]</w:t>
      </w:r>
      <w:r>
        <w:t xml:space="preserve">。卢旺达部分地方鸡表现出与</w:t>
      </w:r>
      <w:ins w:id="90086" w:author="Kiro" w:date="2026-10-11T00:00:00Z">
        <w:r>
          <w:t xml:space="preserve">商业品系</w:t>
        </w:r>
      </w:ins>
      <w:r>
        <w:t xml:space="preserve">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w:t>
      </w:r>
      <w:del w:id="90089" w:author="Kiro" w:date="2026-10-11T00:00:00Z">
        <w:r>
          <w:delText xml:space="preserve">群体遗传与历史证据支持的祖源联系和后续渗入</w:delText>
        </w:r>
        <w:r>
          <w:rPr>
            <w:vertAlign w:val="superscript"/>
          </w:rPr>
          <w:delText xml:space="preserve">[18,19,21,131,139,140,142]</w:delText>
        </w:r>
        <w:r>
          <w:delText xml:space="preserve">；虚线概括模型推断或假说，包括以参照红原鸡或圈养红原鸡为对象的商业相关联系</w:delText>
        </w:r>
        <w:r>
          <w:rPr>
            <w:vertAlign w:val="superscript"/>
          </w:rPr>
          <w:delText xml:space="preserve">[137,138</w:delText>
        </w:r>
      </w:del>
      <w:ins w:id="90090" w:author="Kiro" w:date="2026-10-11T00:00:00Z">
        <w:r>
          <w:t xml:space="preserve">多项群体遗传与历史证据支持的祖源联系和后续渗入</w:t>
        </w:r>
        <w:r>
          <w:rPr>
            <w:vertAlign w:val="superscript"/>
          </w:rPr>
          <w:t xml:space="preserve">[18,19,20,21,131,132,139,140,141,142]</w:t>
        </w:r>
        <w:r>
          <w:t xml:space="preserve">；虚线表示尚缺直接证据的联系：商业鸡的红原鸡祖源主要经由家鸡继承，红原鸡是否被直接用于商业品系育成，目前只有圈养红原鸡研究的迁移模型提示</w:t>
        </w:r>
        <w:r>
          <w:rPr>
            <w:vertAlign w:val="superscript"/>
          </w:rPr>
          <w:t xml:space="preserve">[138]</w:t>
        </w:r>
        <w:r>
          <w:t xml:space="preserve">；商业鸡向野生红原鸡的直接渗入，现有研究以商业鸡为参照检出了家鸡输入，但尚未确定具体供体</w:t>
        </w:r>
        <w:r>
          <w:rPr>
            <w:vertAlign w:val="superscript"/>
          </w:rPr>
          <w:t xml:space="preserve">[19,132,137</w:t>
        </w:r>
      </w:ins>
      <w:r>
        <w:rPr>
          <w:vertAlign w:val="superscript"/>
        </w:rPr>
        <w:t xml:space="preserve">]</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2"/>
        <w:rPr>
          <w:ins w:id="90093" w:author="Kiro" w:date="2026-10-11T00:00:00Z"/>
        </w:rPr>
      </w:pPr>
      <w:ins w:id="90094" w:author="Kiro" w:date="2026-10-11T00:00:00Z">
        <w:r>
          <w:t xml:space="preserve">7.4 基因交流对驯化与适应研究的影响</w:t>
        </w:r>
      </w:ins>
    </w:p>
    <w:p>
      <w:pPr>
        <w:jc w:val="both"/>
      </w:pPr>
      <w:del w:id="90087" w:author="Kiro" w:date="2026-10-11T00:00:00Z">
        <w:r>
          <w:delText xml:space="preserve">这些</w:delText>
        </w:r>
      </w:del>
      <w:ins w:id="90088" w:author="Kiro" w:date="2026-10-11T00:00:00Z">
        <w:r>
          <w:t xml:space="preserve">上述</w:t>
        </w:r>
      </w:ins>
      <w:r>
        <w:t xml:space="preserve">交流带来两方面影响。其一，现代红原鸡已不宜直接作为野生参照：以历史标本为参照检出的部分驯化候选基因，在多数现代红原鸡中已带有家鸡来源的拷贝，若改用现代个体作参照，这些基因将无法被检出</w:t>
      </w:r>
      <w:r>
        <w:rPr>
          <w:vertAlign w:val="superscript"/>
        </w:rPr>
        <w:t xml:space="preserve">[19]</w:t>
      </w:r>
      <w:r>
        <w:t xml:space="preserve">。其二，商业渗入改变了地方鸡的遗传组成，并可能干扰适应信号的识别</w:t>
      </w:r>
      <w:r>
        <w:rPr>
          <w:vertAlign w:val="superscript"/>
        </w:rPr>
        <w:t xml:space="preserve">[21,153]</w:t>
      </w:r>
      <w:r>
        <w:t xml:space="preserve">。因此，利用红原鸡和地方鸡研究驯化与适应时，需要先评估近期混合。</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w:t>
      </w:r>
      <w:del w:id="90091" w:author="Kiro" w:date="2026-10-11T00:00:00Z">
        <w:r>
          <w:rPr>
            <w:rFonts w:ascii="Times New Roman" w:hAnsi="Times New Roman" w:eastAsia="宋体"/>
            <w:b w:val="0"/>
            <w:i w:val="0"/>
            <w:color w:val="000000"/>
            <w:sz w:val="20"/>
          </w:rPr>
          <w:delText xml:space="preserve">5</w:delText>
        </w:r>
      </w:del>
      <w:ins w:id="90092" w:author="Kiro" w:date="2026-10-11T00:00:00Z">
        <w:r>
          <w:rPr>
            <w:rFonts w:ascii="Times New Roman" w:hAnsi="Times New Roman" w:eastAsia="宋体"/>
            <w:b w:val="0"/>
            <w:color w:val="000000"/>
            <w:sz w:val="20"/>
          </w:rPr>
          <w:t xml:space="preserve">7</w:t>
        </w:r>
      </w:ins>
      <w:r>
        <w:rPr>
          <w:rFonts w:ascii="Times New Roman" w:hAnsi="Times New Roman" w:eastAsia="宋体"/>
          <w:b w:val="0"/>
          <w:i w:val="0"/>
          <w:color w:val="000000"/>
          <w:sz w:val="20"/>
        </w:rPr>
        <w:t xml:space="preserve">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