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从遗传发现到育种决策：家鸡复杂性状因果证据与育种转化的再评价</w:t>
      </w:r>
    </w:p>
    <w:p>
      <w:pPr>
        <w:pStyle w:val="Heading1"/>
      </w:pPr>
      <w:r>
        <w:t>摘要</w:t>
      </w:r>
    </w:p>
    <w:p>
      <w:r>
        <w:t>家鸡遗传发现怎样帮助选择亲本，需要结合研究解析的变异、适用群体和选后表现判断。本文通过叙述性综述，比较生长、蛋品质、抗病与环境适应等代表性案例。比较显示，尚未确定唯一致因变异的区域标记也可进入目标群体选育，CCKAR相关标记和MHC型管理已有应用记录；同一基因内不同变异的证据则须分别评价，IGF2BP1两种启动子缺失的整鸡比较并不对称。新增信息的作用取决于原有选择方案：蓝壳插入分型可识别蛋壳颜色难以区分的纯合与杂合亲本，而在一项蛋鸡预测研究中，仅保留编码标记降低了准确度，却使校准斜率更接近理想值。标记用途也随任务改变，建立蓝壳遗传背景与改良该背景内的颜色差异需要不同信息。对MX S631N，综合功能和整鸡结果不支持将其作为具有稳定独立效应的抗流感选种依据。这些比较表明，研究进展应落实到具体用途：分离候选变异的整鸡效应、评价目标群体的亲本判别，或追踪已实施程序的后代多性状结果。</w:t>
      </w:r>
    </w:p>
    <w:p>
      <w:r>
        <w:rPr>
          <w:b/>
        </w:rPr>
        <w:t>关键词：</w:t>
      </w:r>
      <w:r>
        <w:t xml:space="preserve"> 家鸡；复杂性状；因果变异；育种转化；标记辅助选择；基因组选择</w:t>
      </w:r>
    </w:p>
    <w:p>
      <w:pPr>
        <w:pStyle w:val="Heading1"/>
      </w:pPr>
      <w:r>
        <w:t>1 引言</w:t>
      </w:r>
    </w:p>
    <w:p>
      <w:r>
        <w:t>家鸡生长、脂肪沉积、肉品质和产蛋等生产性状受多个遗传位点、环境及其相互作用影响[1]。近年来，泛基因组研究发现了与体尺和生长相关的启动子存在与缺失变异[2]；三维基因组与功能实验则把腹脂相关非编码变异与远端靶基因及细胞表型联系起来[3]。这些进展使研究能够进一步追问：哪些具体变异造成了性状差异，这些发现又能否帮助育种者选择亲本？</w:t>
      </w:r>
    </w:p>
    <w:p>
      <w:r>
        <w:t>从关联走向因果，需要解释具体变异如何改变分子功能并影响个体表型。关联标记可以通过连锁不平衡指示作用位点，基因干预则揭示改变基因功能的后果。例如，同一启动子的不同缺失均可改变报告活性，但各自的群体分布和表型证据并不相同[2]。因此，基因的作用明确之后，还需要确定哪一种自然变异与目标性状有关。</w:t>
      </w:r>
    </w:p>
    <w:p>
      <w:r>
        <w:t>育种利用关注遗传信息能否帮助目标群体选种，致因变异鉴定与实际应用可以并行推进[4]。基因组选择利用全基因组标记预测遗传价值[5]；单标记研究中，</w:t>
      </w:r>
      <w:r>
        <w:rPr>
          <w:i/>
        </w:rPr>
        <w:t>CCKAR</w:t>
      </w:r>
      <w:r>
        <w:t>相关选育报告了改良群体在商业农场的生长表现[6]，</w:t>
      </w:r>
      <w:r>
        <w:rPr>
          <w:i/>
        </w:rPr>
        <w:t>FMO3</w:t>
      </w:r>
      <w:r>
        <w:t>研究记录了携带者筛选及程序实施期间样本T等位基因频率下降[7]。这些研究分别提供遗传价值预测、后代生长表现和选留期间遗传组成的资料。评价一种遗传信息的育种价值，需要先明确研究实际回答了哪一个问题。</w:t>
      </w:r>
    </w:p>
    <w:p>
      <w:r>
        <w:t>机制解释与选择价值的区别已有理论基础。统计育种与分子解析分别关注遗传价值预测和致因变异解释[8]，序列及功能信息对预测的改善受既有标记信息与模型利用方式影响[9]。机制研究和遗传预测对候选变异证据的要求也不同[10]；商业标记应用则取决于标记类型、选择策略及综合育种目标[11]。近期家鸡研究框架进一步连接候选优先排序与因果基因鉴定[12]，畜禽多组学框架讨论了因果信息进入基因组选择的途径[13]。在家鸡案例中，需要进一步核对：机制研究解释的是哪一个变异，预测研究与什么方案比较，选育研究记录了哪些后代结果。</w:t>
      </w:r>
    </w:p>
    <w:p>
      <w:r>
        <w:t>本文按具体遗传对象追踪家鸡代表性研究，将同一基因不同变异的证据、不同群体的标记效应和不同方案的选后结果放在一起比较，重点回答三个问题：各变异分别解释了什么，新增遗传信息为亲本选择提供了什么，标记用途如何随群体与选育阶段变化。因果解释链与育种转化链用于组织材料，大效应自然变异与工程化案例作为参照。本文的贡献在于从家鸡研究中识别这些差别如何改变具体用途判断，并据此确定研究重点。</w:t>
      </w:r>
    </w:p>
    <w:p>
      <w:pPr>
        <w:pStyle w:val="Heading1"/>
      </w:pPr>
      <w:r>
        <w:t>2 研究对象与概念边界</w:t>
      </w:r>
    </w:p>
    <w:p>
      <w:pPr>
        <w:pStyle w:val="Heading2"/>
      </w:pPr>
      <w:r>
        <w:t>2.1 复杂性状与本文的研究范围</w:t>
      </w:r>
    </w:p>
    <w:p>
      <w:r>
        <w:t>复杂性状涉及多个遗传位点、环境及其相互作用[1]，其中也可存在大效应位点。本文讨论家鸡生产、抗病和环境适应性状，结论均说明所涉及的变异或标记、目标性状及适用群体。大效应及工程化案例的参照用途见第2.4节。</w:t>
      </w:r>
    </w:p>
    <w:p>
      <w:pPr>
        <w:pStyle w:val="Heading2"/>
      </w:pPr>
      <w:r>
        <w:t>2.2 因果解释中的遗传对象与结论强度</w:t>
      </w:r>
    </w:p>
    <w:p>
      <w:r>
        <w:t>数量性状位点（QTL）定位或全基因组关联研究（GWAS）首先建立区域或标记与性状的统计联系。因果推断可综合遗传定位、功能注释和变异特异性实验等多类证据[10]；确定作用基因与识别其中的致因变异仍是不同任务[12]。本文据此区分研究定位到了区域、基因还是具体变异，并说明功能实验支持了什么结论。表1中的术语用于统一表述，不构成必须逐级完成的等级。</w:t>
      </w:r>
    </w:p>
    <w:p>
      <w:r>
        <w:rPr>
          <w:b/>
        </w:rPr>
        <w:t>表1 因果解释中的操作性术语与结论范围</w:t>
      </w:r>
    </w:p>
    <w:tbl>
      <w:tblPr>
        <w:tblStyle w:val="TableGrid"/>
        <w:tblW w:type="auto" w:w="0"/>
        <w:tblLayout w:type="fixed"/>
        <w:tblLook w:firstColumn="1" w:firstRow="1" w:lastColumn="0" w:lastRow="0" w:noHBand="0" w:noVBand="1" w:val="04A0"/>
      </w:tblPr>
      <w:tblGrid>
        <w:gridCol w:w="3202"/>
        <w:gridCol w:w="3202"/>
        <w:gridCol w:w="3202"/>
      </w:tblGrid>
      <w:tr>
        <w:trPr>
          <w:tblHeader/>
        </w:trPr>
        <w:tc>
          <w:tcPr>
            <w:tcW w:type="dxa" w:w="3202"/>
            <w:shd w:fill="E8EDF2"/>
          </w:tcPr>
          <w:p>
            <w:pPr>
              <w:spacing w:line="264" w:lineRule="auto" w:after="80" w:before="80"/>
            </w:pPr>
            <w:r>
              <w:rPr>
                <w:b/>
                <w:sz w:val="18"/>
              </w:rPr>
              <w:t>术语</w:t>
            </w:r>
          </w:p>
        </w:tc>
        <w:tc>
          <w:tcPr>
            <w:tcW w:type="dxa" w:w="3202"/>
            <w:shd w:fill="E8EDF2"/>
          </w:tcPr>
          <w:p>
            <w:pPr>
              <w:spacing w:line="264" w:lineRule="auto" w:after="80" w:before="80"/>
            </w:pPr>
            <w:r>
              <w:rPr>
                <w:b/>
                <w:sz w:val="18"/>
              </w:rPr>
              <w:t>可以支持的结论</w:t>
            </w:r>
          </w:p>
        </w:tc>
        <w:tc>
          <w:tcPr>
            <w:tcW w:type="dxa" w:w="3202"/>
            <w:shd w:fill="E8EDF2"/>
          </w:tcPr>
          <w:p>
            <w:pPr>
              <w:spacing w:line="264" w:lineRule="auto" w:after="80" w:before="80"/>
            </w:pPr>
            <w:r>
              <w:rPr>
                <w:b/>
                <w:sz w:val="18"/>
              </w:rPr>
              <w:t>不能据此直接支持的结论</w:t>
            </w:r>
          </w:p>
        </w:tc>
      </w:tr>
      <w:tr>
        <w:tc>
          <w:tcPr>
            <w:tcW w:type="dxa" w:w="3202"/>
          </w:tcPr>
          <w:p>
            <w:pPr>
              <w:spacing w:line="264" w:lineRule="auto" w:after="80" w:before="80"/>
            </w:pPr>
            <w:r>
              <w:rPr>
                <w:sz w:val="18"/>
              </w:rPr>
              <w:t>关联位点（associated locus）</w:t>
            </w:r>
          </w:p>
        </w:tc>
        <w:tc>
          <w:tcPr>
            <w:tcW w:type="dxa" w:w="3202"/>
          </w:tcPr>
          <w:p>
            <w:pPr>
              <w:spacing w:line="264" w:lineRule="auto" w:after="80" w:before="80"/>
            </w:pPr>
            <w:r>
              <w:rPr>
                <w:sz w:val="18"/>
              </w:rPr>
              <w:t>区域或标记与目标性状相关</w:t>
            </w:r>
          </w:p>
        </w:tc>
        <w:tc>
          <w:tcPr>
            <w:tcW w:type="dxa" w:w="3202"/>
          </w:tcPr>
          <w:p>
            <w:pPr>
              <w:spacing w:line="264" w:lineRule="auto" w:after="80" w:before="80"/>
            </w:pPr>
            <w:r>
              <w:rPr>
                <w:sz w:val="18"/>
              </w:rPr>
              <w:t>已确定致因基因或变异</w:t>
            </w:r>
          </w:p>
        </w:tc>
      </w:tr>
      <w:tr>
        <w:tc>
          <w:tcPr>
            <w:tcW w:type="dxa" w:w="3202"/>
          </w:tcPr>
          <w:p>
            <w:pPr>
              <w:spacing w:line="264" w:lineRule="auto" w:after="80" w:before="80"/>
            </w:pPr>
            <w:r>
              <w:rPr>
                <w:sz w:val="18"/>
              </w:rPr>
              <w:t>候选基因（candidate gene）</w:t>
            </w:r>
          </w:p>
        </w:tc>
        <w:tc>
          <w:tcPr>
            <w:tcW w:type="dxa" w:w="3202"/>
          </w:tcPr>
          <w:p>
            <w:pPr>
              <w:spacing w:line="264" w:lineRule="auto" w:after="80" w:before="80"/>
            </w:pPr>
            <w:r>
              <w:rPr>
                <w:sz w:val="18"/>
              </w:rPr>
              <w:t>基因具有位置、功能等合理依据</w:t>
            </w:r>
          </w:p>
        </w:tc>
        <w:tc>
          <w:tcPr>
            <w:tcW w:type="dxa" w:w="3202"/>
          </w:tcPr>
          <w:p>
            <w:pPr>
              <w:spacing w:line="264" w:lineRule="auto" w:after="80" w:before="80"/>
            </w:pPr>
            <w:r>
              <w:rPr>
                <w:sz w:val="18"/>
              </w:rPr>
              <w:t>其中某一自然变异造成表型差异</w:t>
            </w:r>
          </w:p>
        </w:tc>
      </w:tr>
      <w:tr>
        <w:tc>
          <w:tcPr>
            <w:tcW w:type="dxa" w:w="3202"/>
          </w:tcPr>
          <w:p>
            <w:pPr>
              <w:spacing w:line="264" w:lineRule="auto" w:after="80" w:before="80"/>
            </w:pPr>
            <w:r>
              <w:rPr>
                <w:sz w:val="18"/>
              </w:rPr>
              <w:t>功能支持变异（functionally supported variant）</w:t>
            </w:r>
          </w:p>
        </w:tc>
        <w:tc>
          <w:tcPr>
            <w:tcW w:type="dxa" w:w="3202"/>
          </w:tcPr>
          <w:p>
            <w:pPr>
              <w:spacing w:line="264" w:lineRule="auto" w:after="80" w:before="80"/>
            </w:pPr>
            <w:r>
              <w:rPr>
                <w:sz w:val="18"/>
              </w:rPr>
              <w:t>具体变异在所测条件下影响表达、蛋白活性或细胞表型</w:t>
            </w:r>
          </w:p>
        </w:tc>
        <w:tc>
          <w:tcPr>
            <w:tcW w:type="dxa" w:w="3202"/>
          </w:tcPr>
          <w:p>
            <w:pPr>
              <w:spacing w:line="264" w:lineRule="auto" w:after="80" w:before="80"/>
            </w:pPr>
            <w:r>
              <w:rPr>
                <w:sz w:val="18"/>
              </w:rPr>
              <w:t>已解释整鸡性状的遗传差异</w:t>
            </w:r>
          </w:p>
        </w:tc>
      </w:tr>
      <w:tr>
        <w:tc>
          <w:tcPr>
            <w:tcW w:type="dxa" w:w="3202"/>
          </w:tcPr>
          <w:p>
            <w:pPr>
              <w:spacing w:line="264" w:lineRule="auto" w:after="80" w:before="80"/>
            </w:pPr>
            <w:r>
              <w:rPr>
                <w:sz w:val="18"/>
              </w:rPr>
              <w:t>候选因果变异（candidate causal variant）</w:t>
            </w:r>
          </w:p>
        </w:tc>
        <w:tc>
          <w:tcPr>
            <w:tcW w:type="dxa" w:w="3202"/>
          </w:tcPr>
          <w:p>
            <w:pPr>
              <w:spacing w:line="264" w:lineRule="auto" w:after="80" w:before="80"/>
            </w:pPr>
            <w:r>
              <w:rPr>
                <w:sz w:val="18"/>
              </w:rPr>
              <w:t>遗传与相关功能证据共同支持因果可能性</w:t>
            </w:r>
          </w:p>
        </w:tc>
        <w:tc>
          <w:tcPr>
            <w:tcW w:type="dxa" w:w="3202"/>
          </w:tcPr>
          <w:p>
            <w:pPr>
              <w:spacing w:line="264" w:lineRule="auto" w:after="80" w:before="80"/>
            </w:pPr>
            <w:r>
              <w:rPr>
                <w:sz w:val="18"/>
              </w:rPr>
              <w:t>已充分排除主要连锁变异及其他合理解释</w:t>
            </w:r>
          </w:p>
        </w:tc>
      </w:tr>
      <w:tr>
        <w:tc>
          <w:tcPr>
            <w:tcW w:type="dxa" w:w="3202"/>
          </w:tcPr>
          <w:p>
            <w:pPr>
              <w:spacing w:line="264" w:lineRule="auto" w:after="80" w:before="80"/>
            </w:pPr>
            <w:r>
              <w:rPr>
                <w:sz w:val="18"/>
              </w:rPr>
              <w:t>具有强因果支持的自然变异（natural variant with strong causal support）</w:t>
            </w:r>
          </w:p>
        </w:tc>
        <w:tc>
          <w:tcPr>
            <w:tcW w:type="dxa" w:w="3202"/>
          </w:tcPr>
          <w:p>
            <w:pPr>
              <w:spacing w:line="264" w:lineRule="auto" w:after="80" w:before="80"/>
            </w:pPr>
            <w:r>
              <w:rPr>
                <w:sz w:val="18"/>
              </w:rPr>
              <w:t>自然遗传、变异功能与个体表型相互支持，多类证据共同缩小因果解释范围</w:t>
            </w:r>
          </w:p>
        </w:tc>
        <w:tc>
          <w:tcPr>
            <w:tcW w:type="dxa" w:w="3202"/>
          </w:tcPr>
          <w:p>
            <w:pPr>
              <w:spacing w:line="264" w:lineRule="auto" w:after="80" w:before="80"/>
            </w:pPr>
            <w:r>
              <w:rPr>
                <w:sz w:val="18"/>
              </w:rPr>
              <w:t>已解释全部遗传差异，或必然具有通用育种价值</w:t>
            </w:r>
          </w:p>
        </w:tc>
      </w:tr>
    </w:tbl>
    <w:p/>
    <w:p>
      <w:r>
        <w:t>同一变异可以同时具有多类证据。家系共分离、自然基因型比较、等位基因特异性表达及个体表型可共同加强因果推断，精确等位基因替换则进一步检验特定位点的作用。本文将相关材料统称为“内源位点或自然遗传背景证据”，并说明研究能否区分候选变异、连锁变异和其他遗传背景的影响。</w:t>
      </w:r>
    </w:p>
    <w:p>
      <w:pPr>
        <w:pStyle w:val="Heading2"/>
      </w:pPr>
      <w:r>
        <w:t>2.3 育种转化的证据状态与结果终点</w:t>
      </w:r>
    </w:p>
    <w:p>
      <w:r>
        <w:t>育种转化关注遗传信息能否用于目标群体的选择，需要相应的应用证据[4]。标记类型、选择策略及综合育种目标共同影响应用价值[11]。本文区分以下五类状态：前三类说明标记是否经过验证、是否实际采用，后两类记录选后的变化。这些状态可以并存，出现顺序并不固定。</w:t>
      </w:r>
    </w:p>
    <w:p>
      <w:r>
        <w:t xml:space="preserve">1. </w:t>
      </w:r>
      <w:r>
        <w:rPr>
          <w:b/>
        </w:rPr>
        <w:t>潜在育种标记</w:t>
      </w:r>
      <w:r>
        <w:t>：提出可用于标记辅助选择（MAS）等程序，尚缺目标群体应用验证。</w:t>
      </w:r>
    </w:p>
    <w:p>
      <w:r>
        <w:t xml:space="preserve">2. </w:t>
      </w:r>
      <w:r>
        <w:rPr>
          <w:b/>
        </w:rPr>
        <w:t>验证育种标记</w:t>
      </w:r>
      <w:r>
        <w:t>：在目标或与其遗传、生产背景明确相关的群体中，效应或与性状的关系可重复，并能用于区分候选个体或预测目标性状。</w:t>
      </w:r>
    </w:p>
    <w:p>
      <w:r>
        <w:t xml:space="preserve">3. </w:t>
      </w:r>
      <w:r>
        <w:rPr>
          <w:b/>
        </w:rPr>
        <w:t>已实施育种标记</w:t>
      </w:r>
      <w:r>
        <w:t>：有分型结果实际用于亲本选留、淘汰或配种的记录。</w:t>
      </w:r>
    </w:p>
    <w:p>
      <w:r>
        <w:t xml:space="preserve">4. </w:t>
      </w:r>
      <w:r>
        <w:rPr>
          <w:b/>
        </w:rPr>
        <w:t>有记录的遗传响应</w:t>
      </w:r>
      <w:r>
        <w:t>：等位基因、单倍型频率或可比基准下的育种值沿选择目标方向变化，且研究设计支持这些变化与实际选择有关。抽样或背景差异使选择作用难以区分时，仅记录遗传变化，不估计选择效应的大小。</w:t>
      </w:r>
    </w:p>
    <w:p>
      <w:r>
        <w:t xml:space="preserve">5. </w:t>
      </w:r>
      <w:r>
        <w:rPr>
          <w:b/>
        </w:rPr>
        <w:t>有记录的表型或生产响应</w:t>
      </w:r>
      <w:r>
        <w:t>：设计和数据支持目标表型或生产性能随选择改善。代谢指标、产品品质和生产性状分别记录，并注明群体、比较方案和观察阶段。</w:t>
      </w:r>
    </w:p>
    <w:p>
      <w:r>
        <w:t>这些状态主要针对单个标记或明确遗传对象；基因组选择（GS）的验证与实施则以模型和选择程序为单位[5]。</w:t>
      </w:r>
    </w:p>
    <w:p>
      <w:pPr>
        <w:pStyle w:val="Heading2"/>
      </w:pPr>
      <w:r>
        <w:t>2.4 大效应自然变异与工程化案例的参照作用</w:t>
      </w:r>
    </w:p>
    <w:p>
      <w:r>
        <w:rPr>
          <w:i/>
        </w:rPr>
        <w:t>FMO3</w:t>
      </w:r>
      <w:r>
        <w:t>等大效应自然变异有助于比较自然遗传、分子功能与实际选育之间的联系。工程化案例则评价人工遗传改变对整鸡的影响，以及这种改变的遗传传递、目标群体表现和其他性状后果。纳入这些案例是为了比较不同类型的证据，并不将其作为复杂性状多基因结构的典型代表。</w:t>
      </w:r>
    </w:p>
    <w:p>
      <w:r>
        <w:t>本文的术语用于限定具体结论，不用于给案例计算总分。工程化改变从人工遗传改变进入功能及个体评价，不归入自然变异的因果状态。</w:t>
      </w:r>
    </w:p>
    <w:p>
      <w:pPr>
        <w:pStyle w:val="Heading1"/>
      </w:pPr>
      <w:r>
        <w:t>3 分析框架与证据表述规则</w:t>
      </w:r>
    </w:p>
    <w:p>
      <w:pPr>
        <w:pStyle w:val="Heading2"/>
      </w:pPr>
      <w:r>
        <w:t>3.1 文献检索、案例识别与证据来源</w:t>
      </w:r>
    </w:p>
    <w:p>
      <w:r>
        <w:t>本文采用问题导向的叙述性检索与引用追踪，以Europe PMC为主要检索来源，并对部分案例使用PubMed补查；Crossref用于题录核验与候选文献补检。围绕基因名及别名、变异编号、鸡的物种名称，组合性状、功能和育种用途关键词，并通过原文参考文献与核心论文前向引用追踪补充研究。全文依据已获取的期刊原文及补充材料核读，育种用途另核专利公开记录。案例选择兼顾变异解析程度、实际育种用途、不一致结果和选后表现，以便比较机制研究与应用的不同进展。参照案例的用途见第2.4节。该选样方式不用于估计全领域各类证据所占的比例。</w:t>
      </w:r>
    </w:p>
    <w:p>
      <w:r>
        <w:t>检索按案例和问题分批更新，主要案例检索记录与取舍原则见补充材料S4及检索记录表。CCKAR近期窗口为2025年1月1日至2026年9月20日，并向前追溯早期发现；其他案例采用各自的历史、近期及用途查询。来源记录缺少执行日期或仅返回部分结果的，在S4单独标明。结论优先依据已核原始研究；综述转述注明来源，摘要用于有限描述或全文追踪，专利用于识别分型工具及选育方案。论文与专利共用材料、同群体扩样和独立验证的对应关系列于补充表S1、S2。</w:t>
      </w:r>
    </w:p>
    <w:p>
      <w:pPr>
        <w:pStyle w:val="Heading2"/>
      </w:pPr>
      <w:r>
        <w:t>3.2 案例比较的对象与问题</w:t>
      </w:r>
    </w:p>
    <w:p>
      <w:r>
        <w:t>每个案例回答四个问题：研究定位到了区域、基因还是具体变异；功能实验检验了什么作用；效应适用于哪些群体和条件；遗传信息是否实际用于选种，以及选后发生了什么变化。为研究而构建材料与育种实施分别记录。正文按这些问题比较研究，表2、表3分别归纳因果解释和应用结果，补充表S1—S3保留样本、比较方案与来源定位。</w:t>
      </w:r>
    </w:p>
    <w:p>
      <w:r>
        <w:t>因果解释侧重“遗传对象—分子作用—个体表型”的联系；育种转化侧重“目标群体判别—实际选留—后代结果”的联系。独立验证可以检验其中任一环节，两类工作可以并行推进。</w:t>
      </w:r>
    </w:p>
    <w:p>
      <w:pPr>
        <w:pStyle w:val="Heading2"/>
      </w:pPr>
      <w:r>
        <w:t>3.3 结论表述与证据边界</w:t>
      </w:r>
    </w:p>
    <w:p>
      <w:r>
        <w:t>本文按第2章的定义表述研究结论，区分关联、功能、实际选种与选后结果。不同研究得出不一致结果时，比较群体背景、表型定义、样本量、年龄、性别及环境条件；无法解释的差异如实保留。原文未报告、检索未发现、资料未核验及不适用分别标注。未检索到公开应用记录，不据此判断产业中从未使用。</w:t>
      </w:r>
    </w:p>
    <w:p>
      <w:pPr>
        <w:pStyle w:val="Heading1"/>
      </w:pPr>
      <w:r>
        <w:t>4 代表性遗传发现：从发现到应用</w:t>
      </w:r>
    </w:p>
    <w:p>
      <w:r>
        <w:t>本章按生长、脂肪与肉品质、产蛋、抗病和环境适应组织案例，比较自然变异的关联、功能与应用进展，并以大效应及工程化研究作为参照。表2和表3分别汇总因果证据与育种用途；IGF2BP1的L1、L2分列。基因组预测与选择程序的比较见第6章和补充表S3。</w:t>
      </w:r>
    </w:p>
    <w:p>
      <w:pPr>
        <w:pStyle w:val="Heading2"/>
      </w:pPr>
      <w:r>
        <w:t>4.1 生长、胴体组成与饲料效率</w:t>
      </w:r>
    </w:p>
    <w:p>
      <w:pPr>
        <w:pStyle w:val="Heading3"/>
      </w:pPr>
      <w:r>
        <w:t>4.1.1 CCKAR的因果结构与目标群体育种价值</w:t>
      </w:r>
    </w:p>
    <w:p>
      <w:r>
        <w:rPr>
          <w:i/>
        </w:rPr>
        <w:t>CCKAR</w:t>
      </w:r>
      <w:r>
        <w:t>编码胆囊收缩素1型受体（CCK1受体），相关研究关注其与采食调节和生长的联系。鸡受体的克隆与组织分布得到描述后[14]，研究者在Hinai-dori F₂群体中将生长QTL定位于4号染色体[15]，发现</w:t>
      </w:r>
      <w:r>
        <w:rPr>
          <w:i/>
        </w:rPr>
        <w:t>CCKAR</w:t>
      </w:r>
      <w:r>
        <w:t>单倍型与生长相关[16]，随后将候选范围缩小至5′非翻译区g.420 C&gt;A。A等位基因与较高体重、增重相关，两种等位基因探针的YY1结合不同[17]。独立高级杂交群体中，高生长单倍型伴随较低表达和较弱的CCK抑食反应，杂合个体亦有等位基因表达差异[18]；后续研究又发现启动子、保守片段及下游CSNP5的报告活性差异[19]，提示区域内存在多个调控候选。</w:t>
      </w:r>
    </w:p>
    <w:p>
      <w:r>
        <w:t>g.420 C&gt;A在Hinai-dori中的体重优势未伴随显著采食差异，料肉比改善见于4—10周而非4—14周全期[20]；Amakusa Daioh[21]和Miyazaki Jitokko[22]也支持A的体重优势。天露黑鸡另有标记与采食、增重相关，但10个受检SNP均未与饲料转化率（FCR）或剩余采食量（RFI）显著关联[23]；略阳乌鸡关联集中于16周体重，日本YY1候选位点未重复关联[24]。</w:t>
      </w:r>
    </w:p>
    <w:p>
      <w:r>
        <w:t>饲料效率研究将关注点从增重转向采食与产出的关系：略阳乌鸡的另一变异及组织表达与料肉比相关，所测标记未与料蛋比关联[25]；CCK系统还参与嗉囊运动[26]。低RFI天长三黄产蛋鸡十二指肠</w:t>
      </w:r>
      <w:r>
        <w:rPr>
          <w:i/>
        </w:rPr>
        <w:t>CCKAR</w:t>
      </w:r>
      <w:r>
        <w:t>表达较高、采食和料蛋比较低，日产蛋重与增重无显著组间差异[27]。生长单倍型研究则把较低表达与较弱的CCK抑食反应联系起来[18]。这些方向不同的结果对应产蛋期效率分组与生长单倍型比较，表明</w:t>
      </w:r>
      <w:r>
        <w:rPr>
          <w:i/>
        </w:rPr>
        <w:t>CCKAR</w:t>
      </w:r>
      <w:r>
        <w:t>表达的育种意义取决于组织、生产阶段和目标性状。</w:t>
      </w:r>
    </w:p>
    <w:p>
      <w:r>
        <w:t>应用已进入亲本选择与后代比较：Hinai-jidori后代体重提高[28]，Okumino-kojidori体重改善[29]，Amakusa Daioh母鸡屠宰及去骨胴体重增加[30]。Miyazaki Jitokko将A等位基因固定亲本系与常规亲本系的同期后代置于两农场比较；430只出栏样本中，校正农场效应后，改良组公、母鸡体重分别高123.5和131.9 g[6]。这些差值反映包含其他遗传背景差异的亲本选育方案效果。Takahashi的2025年综述则转述，Sanuki Cochin固定A后未改善生长[31]。</w:t>
      </w:r>
      <w:r>
        <w:rPr>
          <w:i/>
        </w:rPr>
        <w:t>CCKAR</w:t>
      </w:r>
      <w:r>
        <w:t>由此形成了早于完整因果解析的实际用途，应用表现具有明确的群体差异。</w:t>
      </w:r>
    </w:p>
    <w:p>
      <w:pPr>
        <w:pStyle w:val="Heading3"/>
      </w:pPr>
      <w:r>
        <w:t>4.1.2 IGF2BP1不同启动子缺失的证据差异</w:t>
      </w:r>
    </w:p>
    <w:p>
      <w:r>
        <w:rPr>
          <w:i/>
        </w:rPr>
        <w:t>IGF2BP1</w:t>
      </w:r>
      <w:r>
        <w:t>编码胰岛素样生长因子2 mRNA结合蛋白1，是鸡生长和胴体性状的候选基因。它先后由蛋鸡胴体GWAS[32]、高级互交系骨骼生长定位[33]及F₂生长、胴体关联研究[34]提出。2021年泛基因组研究鉴定约3.2 kb的L1和约1.5 kb的L2启动子缺失；734只F₂鸡中L1与多项体尺、生长和胴体性状相关，L2未在该群体检出[2]。两缺失的报告活性均高于未缺失型W，L1高于L2；自然背景表达比较亦支持缺失型表达升高。因此，该研究的整鸡关联结论对应L1；L2未进入这一群体的效应比较，不能解读为已检验且无效。</w:t>
      </w:r>
    </w:p>
    <w:p>
      <w:r>
        <w:t>后续多个鸡群的生长、胴体关联及结构变异（SV）分析继续支持该区域[35][36][37][38][39]。脾脏转录组关联分析（TWAS）与共定位[40]、胸肌顺式表达数量性状位点（cis-eQTL）[41]又提供组织线索。这些研究扩大了区域和基因的证据范围；具体标记与群体见S1，其中与L1、L2直接对应的结果分别记录。</w:t>
      </w:r>
    </w:p>
    <w:p>
      <w:r>
        <w:t>基因干预揭示了</w:t>
      </w:r>
      <w:r>
        <w:rPr>
          <w:i/>
        </w:rPr>
        <w:t>IGF2BP1</w:t>
      </w:r>
      <w:r>
        <w:t>作用的细胞背景。过表达在略阳乌鸡成肌细胞中抑制增殖[42]，在龙胜凤鸡成肌细胞中促进增殖、分化[43]；两项研究同时存在细胞来源和实验体系差异。蛋白修饰研究进一步提示，METTL21C共表达可改变IGF2BP1相关的增殖表现[44]。前脂肪细胞中过表达还促进增殖、分化及脂滴积累[45]。基因功能由此扩展到多个细胞过程，为解释生长和胴体关联提供了组织背景。</w:t>
      </w:r>
    </w:p>
    <w:p>
      <w:r>
        <w:t>高、低体重系分别固定L1和W，与选择历史一致[2]；CN115198022B提出L1L1选留，主要关联材料仍为上述F₂群体[46]。2025年刘阳等对7个群体共2,228只鸡开展SH3RF2、LncFAM和IGF2BP1联合分型，并在752只固始×安卡F₂鸡及217只广西金陵麻鸡公鸡中比较组合基因型与体重[47]。含L1L2的组合进入了两群体的性状分析；在金陵麻鸡中，另外两个已分型位点均为插入纯合型（II）时，L1L1组报告的体重均值高于L1L2组。因此，L2已具有联合基因型背景下的整鸡比较资料，其相对W的独立效应和跨背景稳定性仍待厘清。</w:t>
      </w:r>
    </w:p>
    <w:p>
      <w:r>
        <w:t>刘阳等综合体重表现与组合频率推荐SH3RF2-II/LncFAM-II/IGF2BP1-L1L1[47]。该研究将单个位点线索推进到联合标记评价，但未报告按组合选留后的后代响应。其F₂材料与2021年样本的个体重叠未说明，金陵麻鸡则提供另一群体背景；两者均应按实际比较对象归位，不合并为L1或L2的独立因果重复。</w:t>
      </w:r>
    </w:p>
    <w:p>
      <w:pPr>
        <w:pStyle w:val="Heading3"/>
      </w:pPr>
      <w:r>
        <w:t>4.1.3 饲料效率：从性状定义到多位点预测</w:t>
      </w:r>
    </w:p>
    <w:p>
      <w:r>
        <w:t>饲料效率的选择目标取决于指标定义。采食量（FI）记录投入，生长期饲料转化率（FCR）为采食量与增重之比；剩余采食量（RFI）表示实际采食量相对体重、增重等变量所预测采食量的偏离[23]。产蛋期的料蛋比以蛋重产出为分母[27]。降低采食量、改善投入产出比和降低RFI，因而对应不同的改良目标。</w:t>
      </w:r>
    </w:p>
    <w:p>
      <w:r>
        <w:t>RFI与生产性状的关系取决于计算方式。Mebratie等分析56,649只商业肉鸡，区分表型回归与遗传回归定义的RFI：前者与模型内生产变量的表型不相关，遗传相关仍可能存在；两种定义的遗传力及相关关系还随性别和年龄变化[48]。因此，RFI选择同时涉及测定阶段和需要保持的生产性状。</w:t>
      </w:r>
    </w:p>
    <w:p>
      <w:r>
        <w:t>遗传发现也呈现多区域结构。Luo等在两代文昌鸡的四个生长阶段检出多个饲料效率关联信号，FCR、RFI及不同分析模型的结果并不完全一致[49]。这些区域为机制研究提供候选，整体遗传预测则可同时利用多位点信息。黄羽鸡FCR研究已显示这一预测用途[50]，具体比较见第6.2—6.3节。饲料效率改良因而可以从明确的性状和群体预测出发，不必等待一个主效致因核苷酸（QTN）解释全部差异。</w:t>
      </w:r>
    </w:p>
    <w:p>
      <w:pPr>
        <w:pStyle w:val="Heading2"/>
      </w:pPr>
      <w:r>
        <w:t>4.2 脂肪沉积与肉品质</w:t>
      </w:r>
    </w:p>
    <w:p>
      <w:pPr>
        <w:pStyle w:val="Heading3"/>
      </w:pPr>
      <w:r>
        <w:t>4.2.1 rs734209466的调控机制与育种转化边界</w:t>
      </w:r>
    </w:p>
    <w:p>
      <w:r>
        <w:rPr>
          <w:i/>
        </w:rPr>
        <w:t>IGFBP2</w:t>
      </w:r>
      <w:r>
        <w:t>早期研究提供了生长、腹脂关联及3′非翻译区调控线索[51][52][53][54]。rs734209466研究进一步把关注点转向连接</w:t>
      </w:r>
      <w:r>
        <w:rPr>
          <w:i/>
        </w:rPr>
        <w:t>IGFBP2/IGFBP5</w:t>
      </w:r>
      <w:r>
        <w:t>的远端调控变异；早期标记的具体对象另见S1。</w:t>
      </w:r>
    </w:p>
    <w:p>
      <w:r>
        <w:t>Shen等在高、低脂选择系中鉴定rs734209466为13 bp插入/缺失；合并两系330只公鸡的基因型比较显示，插入纯合型腹脂重和腹脂率较高[3]。插入型增强子活性更高，染色质接触、靶启动子和IRF4结合证据共同指向远端</w:t>
      </w:r>
      <w:r>
        <w:rPr>
          <w:i/>
        </w:rPr>
        <w:t>IGFBP2/IGFBP5</w:t>
      </w:r>
      <w:r>
        <w:t>。邻近rs16596562虽有增强子活性差异，却无相同靶启动子效应。自然基因型表达比较进一步连接该位点与靶基因；对</w:t>
      </w:r>
      <w:r>
        <w:rPr>
          <w:i/>
        </w:rPr>
        <w:t>IGFBP2</w:t>
      </w:r>
      <w:r>
        <w:t>和</w:t>
      </w:r>
      <w:r>
        <w:rPr>
          <w:i/>
        </w:rPr>
        <w:t>IGFBP5</w:t>
      </w:r>
      <w:r>
        <w:t>的干预则支持二者促进前脂肪细胞增殖、分化及脂滴积累[3]。插入型较高的增强子活性、靶基因表达与腹脂表型因而形成方向一致的机制解释。肝细胞</w:t>
      </w:r>
      <w:r>
        <w:rPr>
          <w:i/>
        </w:rPr>
        <w:t>IGFBP2</w:t>
      </w:r>
      <w:r>
        <w:t>过表达增加甘油三酯另提供脂代谢功能的补充[55]。</w:t>
      </w:r>
    </w:p>
    <w:p>
      <w:r>
        <w:t>这些结果较强地支持该InDel是影响腹脂的候选调控变异。整鸡腹脂比较仍包含选择系与连锁背景的贡献：单因素方差分析未报告系别校正，是当前个体效应归因的主要限制。CN118562974B据此提出DelDel低脂选留，实施例与核心论文的群体、总数及基因型计数对应[56]。应用端目前形成了分型和专利方案，本文所核论文及专利未报告实际选种与后续响应（检索范围见S4）。</w:t>
      </w:r>
    </w:p>
    <w:p>
      <w:pPr>
        <w:pStyle w:val="Heading3"/>
      </w:pPr>
      <w:r>
        <w:t>4.2.2 PHKG1 rs15845448</w:t>
      </w:r>
    </w:p>
    <w:p>
      <w:r>
        <w:t>鸡肌肉发育表达研究为</w:t>
      </w:r>
      <w:r>
        <w:rPr>
          <w:i/>
        </w:rPr>
        <w:t>PHKG1</w:t>
      </w:r>
      <w:r>
        <w:t>提供了候选基因背景[57][58]，肉品质标记则来自宁都黄鸡的候选基因分析。发育表达与自然变异的性状关联分别评价，具体来源见S1。</w:t>
      </w:r>
    </w:p>
    <w:p>
      <w:r>
        <w:t>Xiong等在325只16周龄宁都黄鸡公鸡中发现，</w:t>
      </w:r>
      <w:r>
        <w:rPr>
          <w:i/>
        </w:rPr>
        <w:t>PHKG1</w:t>
      </w:r>
      <w:r>
        <w:t xml:space="preserve"> 3′非翻译区标记rs15845448与胸肌滴水损失、pH和亮度相关，AA组滴水损失较高[59]。变异先在同群25只高低滴水损失个体中筛出，再扩展至全群；邻近标记与单倍型也有关联。AA且高滴水损失与CC且低滴水损失的表达比较中，每组6只，前者胸肌</w:t>
      </w:r>
      <w:r>
        <w:rPr>
          <w:i/>
        </w:rPr>
        <w:t>PHKG1</w:t>
      </w:r>
      <w:r>
        <w:t>表达较低[59]。</w:t>
      </w:r>
    </w:p>
    <w:p>
      <w:r>
        <w:t>rs15845448目前是具有表达线索的肉品质关联标记。表达比较同时按基因型和滴水损失选样，难以分开两者的影响；邻近标记的关联也提示可能存在连锁效应。该研究据此提出MAS用途[59]，未报告按标记选种后的品质变化。</w:t>
      </w:r>
    </w:p>
    <w:p>
      <w:pPr>
        <w:pStyle w:val="Heading2"/>
      </w:pPr>
      <w:r>
        <w:t>4.3 繁殖、产蛋与蛋品质</w:t>
      </w:r>
    </w:p>
    <w:p>
      <w:pPr>
        <w:pStyle w:val="Heading3"/>
      </w:pPr>
      <w:r>
        <w:t>4.3.1 FMO3从自然变异到标记辅助选择</w:t>
      </w:r>
    </w:p>
    <w:p>
      <w:r>
        <w:t>三甲胺（TMA）积累与鱼腥蛋的联系[60]先于具体变异发现，按TMA氧化能力选育可在三代内形成高、低群体[61]。Honkatukia等随后鉴定</w:t>
      </w:r>
      <w:r>
        <w:rPr>
          <w:i/>
        </w:rPr>
        <w:t>FMO3</w:t>
      </w:r>
      <w:r>
        <w:t>保守FATGY基序中的p.Thr329Ser（T329S；原文cDNA编号nt1034 A&gt;T），独立F₂材料高TMA-N组为TT、低组为AA或AT[62]。</w:t>
      </w:r>
    </w:p>
    <w:p>
      <w:r>
        <w:t>自然基因型母鸡中，AA的肝微粒体TMA氧化活性高于AT和TT，蛋黄TMA-N随基因型变化[63]。菜籽粕试验在蛋黄TMA浓度上检出基因型×饲粮交互[64]；高胆碱饲粮下TT蛋黄鱼腥味评分较高、接受度较低[65]。该变异的健康和繁殖表现还涉及其他育种目标：脂质代谢变化具有饲粮依赖性[66]，产蛋后期TT母鸡主动脉病变[67]及肝脂沉积[68]较少；2025年种蛋研究在母鸡基因型与饲粮分组基础上，按蛋黄TMA水平重新归组，高TMA组雏鸡质量评分较高，孵化率差异不显著[69]。</w:t>
      </w:r>
    </w:p>
    <w:p>
      <w:r>
        <w:t>北京油鸡2010—2012年累计分型2,359只候选种鸡，按基因型排除携带者留种；2010年筛选雌雄鸡，后两年仅筛公鸡。2010年候选种鸡与2013年全群随机样本的T频率约为0.186和0.022[7]。博士论文另记Lohmann Brown的一个亲本系使用基因检测[70]。</w:t>
      </w:r>
      <w:r>
        <w:rPr>
          <w:i/>
        </w:rPr>
        <w:t>FMO3</w:t>
      </w:r>
      <w:r>
        <w:t>的应用已实现携带者识别和选留管理，北京油鸡选种程序伴随所测样本T等位基因频率下降；年度筛选与抽样口径不同，这一序列不用于单独估计选择造成的变化。该论文未报告该程序的选后产品品质。</w:t>
      </w:r>
    </w:p>
    <w:p>
      <w:pPr>
        <w:pStyle w:val="Heading3"/>
      </w:pPr>
      <w:r>
        <w:t>4.3.2 SLCO1B3</w:t>
      </w:r>
    </w:p>
    <w:p>
      <w:r>
        <w:t>蓝壳蛋提供了调控变异进入选种的参照。Wang等通过家系定位、插入共分离和壳腺等位基因特异性表达，将</w:t>
      </w:r>
      <w:r>
        <w:rPr>
          <w:i/>
        </w:rPr>
        <w:t>SLCO1B3</w:t>
      </w:r>
      <w:r>
        <w:t>上游EAV-HP插入与蓝壳表型联系起来，支持插入驱动的顺式调控解释[71]。Wragg等在南美及欧洲来源鸡群中鉴定出独立于中国鸡群的插入事件，相同基因的壳腺异位表达由不同起源的插入实现[72]。</w:t>
      </w:r>
    </w:p>
    <w:p>
      <w:r>
        <w:t>略阳乌鸡呈现了同一基因的另一调控背景：蓝绿色蛋壳个体不携带经典插入，表达与启动子单倍型研究仍指向</w:t>
      </w:r>
      <w:r>
        <w:rPr>
          <w:i/>
        </w:rPr>
        <w:t>SLCO1B3</w:t>
      </w:r>
      <w:r>
        <w:t>[73]；后续定位支持内含子调控区，最强关联标记的报告实验则未确立其独立功能[74]。不同群体因而可能通过不同调控变异形成相近的蛋壳表型。</w:t>
      </w:r>
    </w:p>
    <w:p>
      <w:r>
        <w:t>相关标记已用于亲本选留，并获得后代验证。Cui等在蓝壳与矮小性状联合选育群体中，利用</w:t>
      </w:r>
      <w:r>
        <w:rPr>
          <w:i/>
        </w:rPr>
        <w:t>SLCO1B3</w:t>
      </w:r>
      <w:r>
        <w:t>上游EAV-HP插入标记及</w:t>
      </w:r>
      <w:r>
        <w:rPr>
          <w:i/>
        </w:rPr>
        <w:t>GHR</w:t>
      </w:r>
      <w:r>
        <w:t>标记选育，在F₂中保留27只公鸡和345只母鸡；两组验证交配的901只后代母鸡均产蓝壳蛋[75]。2024年DOMINANT Greenshell研究在119只母鸡中比较EAV-HP插入分型与蛋壳测色，以O表示蓝壳显性等位基因、o表示对应隐性等位基因，显示纯合型O/O与杂合型O/o的颜色表型存在重叠，标记因而能帮助识别所需的纯合亲本。该研究另对2,745只种鸡分型，论文结论记载了非目标基因型的剔除；后续世代未再检出隐性等位基因，则来自公司内部检测的转述[76]。两项研究均报告分型选留，2019年进一步直接记录了后代蓝壳表现。</w:t>
      </w:r>
    </w:p>
    <w:p>
      <w:r>
        <w:t>蓝壳主效背景确立后，色调和均匀度仍有选择空间。2026年报道的BG鸡系在建系前已确认父母本为O/O，随后从G₅至G₈开展三轮颜色表型选择：蓝壳组后两轮主要表现为颜色变异缩小，绿壳组多项颜色均值继续改变[77]。该研究将稳定传递蓝壳与继续改良颜色区分为两个选择任务，所记录的后期变化对应颜色表型选择。</w:t>
      </w:r>
    </w:p>
    <w:p>
      <w:pPr>
        <w:pStyle w:val="Heading3"/>
      </w:pPr>
      <w:r>
        <w:t>4.3.3 PHIP与产蛋数量的调控线索</w:t>
      </w:r>
    </w:p>
    <w:p>
      <w:r>
        <w:rPr>
          <w:i/>
        </w:rPr>
        <w:t>PHIP</w:t>
      </w:r>
      <w:r>
        <w:t>为产蛋数量性状提供了调控变异参照。固始鸡产蛋GWAS与多组织表达分析建立候选筛选基础[78]，后续研究将其推进到</w:t>
      </w:r>
      <w:r>
        <w:rPr>
          <w:i/>
        </w:rPr>
        <w:t>PHIP</w:t>
      </w:r>
      <w:r>
        <w:t>内含子变异（原文编号chr3:79510218A&gt;T）：该位点在固始鸡和广西瑶鸡中均与21—43周产蛋数相关，TT组较高[79]。T等位基因的报告活性较高，FOXI1干预支持其参与调控；降低</w:t>
      </w:r>
      <w:r>
        <w:rPr>
          <w:i/>
        </w:rPr>
        <w:t>PHIP</w:t>
      </w:r>
      <w:r>
        <w:t>表达则抑制颗粒细胞增殖并降低孕酮水平[79]。群体关联与细胞功能共同支持该变异的候选因果作用。论文提出了标记用途，未报告按标记选种后的产蛋变化。</w:t>
      </w:r>
    </w:p>
    <w:p>
      <w:pPr>
        <w:pStyle w:val="Heading2"/>
      </w:pPr>
      <w:r>
        <w:t>4.4 抗病与免疫</w:t>
      </w:r>
    </w:p>
    <w:p>
      <w:pPr>
        <w:pStyle w:val="Heading3"/>
      </w:pPr>
      <w:r>
        <w:t>4.4.1 MHC-B/BG1：区域效应、候选机制与商业群体验证</w:t>
      </w:r>
    </w:p>
    <w:p>
      <w:r>
        <w:t>鸡主要组织相容性复合体B区（MHC-B）的早期B血型关联[80]和重组家系亚区定位[81]之后，Goto等以近等基因重组单倍型将一组马立克病（MD）抗性差异缩小至</w:t>
      </w:r>
      <w:r>
        <w:rPr>
          <w:i/>
        </w:rPr>
        <w:t>BG1</w:t>
      </w:r>
      <w:r>
        <w:t xml:space="preserve"> 3′非翻译区。较高风险等位基因含225 bp插入，不同来源完整3′非翻译区的报告抑制差异支持该区域的转录后调控作用[82]。功能比较同时包含插入及其他序列差异。2026年调查进一步扩展了</w:t>
      </w:r>
      <w:r>
        <w:rPr>
          <w:i/>
        </w:rPr>
        <w:t>BG1</w:t>
      </w:r>
      <w:r>
        <w:t>变异目录[83]。</w:t>
      </w:r>
    </w:p>
    <w:p>
      <w:r>
        <w:t>MHC区域效应具有群体和终点特异性。VALO鸡群的肿瘤发生与器官累及排序不同[84]；六个商业精英系1997—2015年的回顾资料显示系内判别价值，部分方向与早期研究相反[85]。因此，MHC信息能否用于选择，应在拟应用的品系中评价。</w:t>
      </w:r>
    </w:p>
    <w:p>
      <w:r>
        <w:t>Fulton等追踪九个精英系3—11代，八个系的后裔测定MD相关死亡率显著下降；原文该统计类别包含测定结束时有临床表现的存活个体。白壳系在MHC型已固定或维持指定频率时仍有改善，提示MHC之外的遗传贡献；褐壳系未按MHC型定向选择，回顾分型显示LEI0258频率变化及其与后裔死亡率的关联[86]。育种者综述亦记录长期实践[87]。这些结果反映整体选择计划的效果，MHC型管理和</w:t>
      </w:r>
      <w:r>
        <w:rPr>
          <w:i/>
        </w:rPr>
        <w:t>BG1</w:t>
      </w:r>
      <w:r>
        <w:t>单变异各自贡献多少仍需分别评价。</w:t>
      </w:r>
    </w:p>
    <w:p>
      <w:pPr>
        <w:pStyle w:val="Heading3"/>
      </w:pPr>
      <w:r>
        <w:t>4.4.2 tva：自然抗性变异、病原范围与选育用途</w:t>
      </w:r>
    </w:p>
    <w:p>
      <w:r>
        <w:rPr>
          <w:i/>
        </w:rPr>
        <w:t>tva</w:t>
      </w:r>
      <w:r>
        <w:t>自然变异通过受体功能影响特定病原易感性。受体功能改变或缺失[88]、自然内含子缺失与剪接[89]，以及中国鸡群的细胞和整鸡结果[90]，分别支持不同等位基因的作用及适用范围。</w:t>
      </w:r>
    </w:p>
    <w:p>
      <w:r>
        <w:t>禽白血病病毒A、K亚群共享Tva受体[91]。后续细胞功能比较显示，受体改变对两亚群的影响可不同，说明共享受体不等于相同的抗性范围[92]。Xu等（2025）报道的两种插入/缺失变异中，缺失型有直接功能和整鸡证据，插入型主要依据序列及结构推断；缺失纯合子仍有感染阳性个体，支持所测条件下易感性降低[93]。2026年的清远麻鸡研究中，r2/r2组在所测A、K亚群的整鸡评价中，感染检测阳性数分别为0/13和0/11；r3—r6缺失等位基因的纯合或复合杂合组对K亚群的易感性降低，部分组仍有阳性个体[94]。不同遗传对象与结果的对应见补充表S1。</w:t>
      </w:r>
    </w:p>
    <w:p>
      <w:r>
        <w:t>不同遗传改变还表现出不同的生理后果。工程化</w:t>
      </w:r>
      <w:r>
        <w:rPr>
          <w:i/>
        </w:rPr>
        <w:t>tva</w:t>
      </w:r>
      <w:r>
        <w:t>敲除鸡表现所测A、K亚群抗性，并出现维生素B12相关代谢指标变化[95]；自然变异研究将R4与R5合并为TVAᴿ组，所测B12及相关代谢指标未显示缺乏[96]。这组代谢观察不能拆成R4、R5各自的效应，也不能与另一鸡群的抗性结果直接合为同一等位基因的完整表型。</w:t>
      </w:r>
    </w:p>
    <w:p>
      <w:r>
        <w:t>群体筛查与细胞验证提供了候选材料[97]，清远麻鸡四个品系480只鸡的调查进一步描述了候选标记的分布[94]。Xiao等按</w:t>
      </w:r>
      <w:r>
        <w:rPr>
          <w:i/>
        </w:rPr>
        <w:t>tva</w:t>
      </w:r>
      <w:r>
        <w:t>与</w:t>
      </w:r>
      <w:r>
        <w:rPr>
          <w:i/>
        </w:rPr>
        <w:t>tvb</w:t>
      </w:r>
      <w:r>
        <w:t>基因型配种取得研究供体，并以精液中的供体基因型检出支持生殖系嵌合[98]。这项应用实现了研究材料构建，后代抗性传递仍需相应后代资料评价。</w:t>
      </w:r>
    </w:p>
    <w:p>
      <w:pPr>
        <w:pStyle w:val="Heading3"/>
      </w:pPr>
      <w:r>
        <w:t>4.4.3 ANP32A：工程化整鸡抗性与育种转化边界</w:t>
      </w:r>
    </w:p>
    <w:p>
      <w:r>
        <w:rPr>
          <w:i/>
        </w:rPr>
        <w:t>ANP32A</w:t>
      </w:r>
      <w:r>
        <w:t>研究围绕禽流感抗性，从宿主因子的细胞功能[99]推进至工程化整鸡评价。编辑鸡在所测条件下表现抗性，部分条件仍检出感染[100]，提供了特定条件下人工遗传改变影响整鸡抗性的证据。</w:t>
      </w:r>
    </w:p>
    <w:p>
      <w:r>
        <w:rPr>
          <w:i/>
        </w:rPr>
        <w:t>ANP32A</w:t>
      </w:r>
      <w:r>
        <w:t>的细胞与个体证据覆盖不同遗传改变。同篇研究的部分更强细胞阻断结果仅完成细胞评价[100]，后续细胞研究进一步揭示单一宿主因子改变的作用范围[101]。韩国地方鸡调查补充了自然变异目录，对应抗性功能尚未验证[102]。</w:t>
      </w:r>
    </w:p>
    <w:p>
      <w:r>
        <w:t>研究已通过繁殖取得编辑后代，并观察生长、免疫及产蛋表现[100]。体重比较中部分日龄出现名义显著差异，产蛋观察为小样本短期记录。现有进展由此确立了工程化个体效果和研究性遗传传递，长期生产表现是进入育种评价的关键后续问题。</w:t>
      </w:r>
    </w:p>
    <w:p>
      <w:pPr>
        <w:pStyle w:val="Heading3"/>
      </w:pPr>
      <w:r>
        <w:t>4.4.4 MX S631N：功能争议与育种价值边界</w:t>
      </w:r>
    </w:p>
    <w:p>
      <w:r>
        <w:t>鸡</w:t>
      </w:r>
      <w:r>
        <w:rPr>
          <w:i/>
        </w:rPr>
        <w:t>MX</w:t>
      </w:r>
      <w:r>
        <w:t>（部分原文称</w:t>
      </w:r>
      <w:r>
        <w:rPr>
          <w:i/>
        </w:rPr>
        <w:t>Mx1</w:t>
      </w:r>
      <w:r>
        <w:t>）p.Ser631Asn（S631N）首先由异源细胞等位基因比较提出[103]，双向替换支持抗水疱性口炎病毒功能[104]。Benfield的鸡原代细胞等体系未观察到所测Asn631变体的抗流感作用[105]；Schusser的变体比较亦为阴性，敲低后仍保留所测细胞的干扰素抗病毒作用[106]。两类病毒对应的功能命题不同。</w:t>
      </w:r>
    </w:p>
    <w:p>
      <w:r>
        <w:t>整鸡结果既有阴性也有部分支持。Sironi包含品系与基因型的模型未检出位点关联而品系效应显著，样本量及基因型分布限制外推[107]。Ewald发现部分条件下Asn631与较低早期死亡、患病或排毒相关，但整体生存曲线不显著，排毒分析受存活者取样限制[108]。Wang的分离后代鸡胚、肉鸡病毒负荷[109]及Matsuu的品种生存时间比较[110]均未检出显著基因型关联。</w:t>
      </w:r>
    </w:p>
    <w:p>
      <w:r>
        <w:t>Ri鸡免疫表达[111]及lncRNA结果[112]来自MX/BF2联合分组；相同MX基因型的济州鸡原代细胞也有不同抗性表现[113]。Ewald基因型指导亲本配种[108]及Sironi试验鸡预选[107]体现研究性利用。商业蛋鸡研究记录了MX单倍型频率变化及其与生产、马立克病测定和商业环境死亡终点的关联，但S631N对应位点不在与所测性状显著关联的7个SNP之列[114]。该研究提供的是多性状选择背景下的MX区域线索。</w:t>
      </w:r>
    </w:p>
    <w:p>
      <w:pPr>
        <w:pStyle w:val="Heading2"/>
      </w:pPr>
      <w:r>
        <w:t>4.5 环境适应与生产稳定性</w:t>
      </w:r>
    </w:p>
    <w:p>
      <w:pPr>
        <w:pStyle w:val="Heading3"/>
      </w:pPr>
      <w:r>
        <w:t>4.5.1 Na裸颈：形态机制与环境依赖的生产价值</w:t>
      </w:r>
    </w:p>
    <w:p>
      <w:r>
        <w:t>Na相关大型插入、</w:t>
      </w:r>
      <w:r>
        <w:rPr>
          <w:i/>
        </w:rPr>
        <w:t>BMP12/GDF7</w:t>
      </w:r>
      <w:r>
        <w:t>顺式表达及颈部BMP敏感性解释了羽毛减少的部位差异[115]；长读长和多来源比较进一步支持同类插入及来源片段保留[116]。</w:t>
      </w:r>
    </w:p>
    <w:p>
      <w:r>
        <w:t>生产结果具有背景和环境差异。低RFI系导入Na后体温较低、纯合组蛋重和连产长度增加，但亚热带产蛋未改善[117]。2025年热季Na组产蛋率较高、破蛋率较低，杂合组产蛋率最高[118]；加纳F₃杂交后代的正常羽组产蛋率和蛋重却更高[119]。法、台矮小蛋鸡比较也区分了品系与位点的环境效应[120]。</w:t>
      </w:r>
    </w:p>
    <w:p>
      <w:r>
        <w:t>热环境下Na纯合重型种母鸡的产蛋、受精及产雏较好，温和环境下Na纯合胚胎孵化率较低[121]。孵化肌</w:t>
      </w:r>
      <w:r>
        <w:rPr>
          <w:i/>
        </w:rPr>
        <w:t>GDF7</w:t>
      </w:r>
      <w:r>
        <w:t>及肌收缩、细胞黏附相关表达变化提供机制线索[122]。Na已有导入应用，羽毛减少的机制也得到较深入解释；其繁殖价值还取决于目标环境中的母鸡生产与胚胎孵化表现。</w:t>
      </w:r>
    </w:p>
    <w:p>
      <w:pPr>
        <w:pStyle w:val="Heading3"/>
      </w:pPr>
      <w:r>
        <w:t>4.5.2 不同鸡群的低氧适应与抗寒线索</w:t>
      </w:r>
    </w:p>
    <w:p>
      <w:r>
        <w:t>藏鸡的低氧适应具有品种层面的表型依据。Zhang等比较同地饲养的藏鸡与矮小鸡，常氧下孵化率无显著差异，低氧下藏鸡孵化率较高[123]。后续重测序与胚胎心脏表达分析提示心肺发育及血管相关候选通路[124]；2026年对1,054份基因组的分析进一步区分不同祖源，并在群体历史模型下识别选择信号[125]。</w:t>
      </w:r>
    </w:p>
    <w:p>
      <w:r>
        <w:t>抗寒证据来自另一类比较：林甸等寒冷来源群体的</w:t>
      </w:r>
      <w:r>
        <w:rPr>
          <w:i/>
        </w:rPr>
        <w:t>NDUFS4</w:t>
      </w:r>
      <w:r>
        <w:t>选择信号及等位基因频率差异与环境温度相关[126]。低氧孵化表现和抗寒候选分别提供品种表型与地理选择线索，共同帮助识别具有不同适应特点的遗传资源。</w:t>
      </w:r>
    </w:p>
    <w:p>
      <w:pPr>
        <w:pStyle w:val="Heading1"/>
      </w:pPr>
      <w:r>
        <w:t>5 从关联信号到因果解释：哪些比较改变归因</w:t>
      </w:r>
    </w:p>
    <w:p>
      <w:pPr>
        <w:pStyle w:val="Heading2"/>
      </w:pPr>
      <w:r>
        <w:t>5.1 证据积累的对象决定结论能走多远</w:t>
      </w:r>
    </w:p>
    <w:p>
      <w:r>
        <w:t>同一区域中相互支持的遗传和功能结果可以加强候选基因解释；推进到具体变异归因，则需明确哪些结果对应同一等位基因。IGF2BP1后续区域关联与基因功能研究解释了生长、胴体性状的生物学背景，L1、L2的整鸡结论仍取决于各自实际进入了哪些比较[2][47]。2025年研究使问题从“L2有无整鸡资料”转为“含L2组合的差异能否分解到该缺失”。这种更新既承认了新资料，也保留了单变异与多位点组合的分析单位。</w:t>
      </w:r>
    </w:p>
    <w:p>
      <w:r>
        <w:t>干预研究同样有不同的归因对象。基因干预检验表达改变的后果，区域扰动检验局部调控作用，等位基因比较检验特定序列差异[127]。鸡细胞CRISPRa研究提供区域功能线索[128]，rs734209466研究的靶基因干预则把IGFBP2/IGFBP5连接到脂肪细胞表型[3]。这些实验共同缩小候选路径，具体自然变异对整鸡差异的贡献仍由相应遗传比较确定。</w:t>
      </w:r>
    </w:p>
    <w:p>
      <w:pPr>
        <w:pStyle w:val="Heading2"/>
      </w:pPr>
      <w:r>
        <w:t>5.2 自然背景与功能实验相互校验</w:t>
      </w:r>
    </w:p>
    <w:p>
      <w:r>
        <w:t>自然遗传资料保留了生理背景，功能比较帮助识别作用环节。FMO3的家系定位、编码变异和自然基因型代谢差异相互支持[62][63]，形成了较强的因果解释。相较之下，PHKG1表达比较同时按基因型和滴水损失选样[59]，表达差异中两种来源难以分开；rs734209466的整鸡比较又包含长期高、低脂选择系的背景[3]。这三类证据的区别在于它们分离了哪些替代来源，而不简单取决于是否使用编辑工具。</w:t>
      </w:r>
    </w:p>
    <w:p>
      <w:r>
        <w:t>非编码解析还涉及靶基因和作用组织的选择。报告活性、分子QTL共定位与染色质联系分别提供序列活性、共享遗传信号和空间调控线索[127][129]。Zhu等研究中，NCAPG相关候选同时获得增强子报告及自然基因型十二指肠表达支持，LDB2相关候选则只有所测启动子报告差异，自然基因型表达未检出相应变化[130]。在这些条件下，前一路径获得了更多正证据；另一路径的阴性结果提示继续核对组织和调控背景，其本身不增加前者的因果支持。</w:t>
      </w:r>
    </w:p>
    <w:p>
      <w:r>
        <w:t>自然变异与工程化研究的解释终点也不同。前者追溯自然群体差异的来源，后者检验人为改变能够产生什么表型。ANP32A整鸡结果直接支持特定人工改变的效果[100]，不承担证明自然群体中已有变异效应的任务。</w:t>
      </w:r>
    </w:p>
    <w:p>
      <w:pPr>
        <w:pStyle w:val="Heading2"/>
      </w:pPr>
      <w:r>
        <w:t>5.3 结果差异揭示适用范围，也可能削弱原解释</w:t>
      </w:r>
    </w:p>
    <w:p>
      <w:r>
        <w:t>不一致结果的含义取决于比较是否针对同一对象和终点。FMO3的基因型×饲粮交互直接说明代谢表型具有条件依赖性[64]；MHC单倍型对疾病发生、肿瘤负担和死亡的排序不同[84][85]，则说明抗病终点会改变评价。Tva受体虽由病毒A、K亚群共享，具体等位基因的易感性范围仍需分别对应[91][93]；Na的品系×环境与位点×环境也不是同一效应[120]。</w:t>
      </w:r>
    </w:p>
    <w:p>
      <w:r>
        <w:t>因此，效应方向不同既可能说明背景依赖，也可能削弱原先的普遍作用主张。只有在表型、变异和比较单位相符时，才适合将研究作为同一命题的支持或反证。组内一个显著、另一个不显著本身并不构成交互证据；而针对同一用途的重复不支持结果，则应实质性改变用途判断，MX S631N的比较见第7.4节。</w:t>
      </w:r>
    </w:p>
    <w:p>
      <w:pPr>
        <w:pStyle w:val="Heading1"/>
      </w:pPr>
      <w:r>
        <w:t>6 遗传发现怎样真正进入育种</w:t>
      </w:r>
    </w:p>
    <w:p>
      <w:pPr>
        <w:pStyle w:val="Heading2"/>
      </w:pPr>
      <w:r>
        <w:t>6.1 标记辅助选择：什么时候一个标记已经足够有用</w:t>
      </w:r>
    </w:p>
    <w:p>
      <w:r>
        <w:t>标记辅助选择首先要解决一个具体任务。在DOMINANT Greenshell群体中，</w:t>
      </w:r>
      <w:r>
        <w:rPr>
          <w:i/>
        </w:rPr>
        <w:t>SLCO1B3</w:t>
      </w:r>
      <w:r>
        <w:t>上游EAV-HP插入分型识别蛋壳测色难以区分的O/O与O/o候选亲本[76]；</w:t>
      </w:r>
      <w:r>
        <w:rPr>
          <w:i/>
        </w:rPr>
        <w:t>FMO3</w:t>
      </w:r>
      <w:r>
        <w:t>分型则用于识别并排除T等位基因携带者留种[7]。两者提供的是亲本基因型信息。</w:t>
      </w:r>
      <w:r>
        <w:rPr>
          <w:i/>
        </w:rPr>
        <w:t>CCKAR</w:t>
      </w:r>
      <w:r>
        <w:t>的Miyazaki研究进一步比较改良与常规亲本系的同期后代生长[6]，评价对象由候选识别推进到整套亲本方案的表现。Greenshell的测色与分型样本、选择条件及已报告终点列于补充表S2。</w:t>
      </w:r>
    </w:p>
    <w:p>
      <w:r>
        <w:t>标记的用途与表型是否容易获得有关。性状表现较晚、只在一种性别表达，或必须屠宰后才能测量时，分型可提前提供亲本选择信息[11]。比较加入标记前后的选择时机、候选排序和后代表现，才能判断它具体改变了选种的哪一步。</w:t>
      </w:r>
    </w:p>
    <w:p>
      <w:r>
        <w:t>联合标记还涉及候选组合在群体中是否有足够个体可选。刘阳等同时考虑体重表现和基因型频率，推荐SH3RF2-II/LncFAM-II/IGF2BP1-L1L1组合[47]。金陵麻鸡表4中另一个仅5只的组合报告均值更高，推荐组合则有126只，说明该推荐同时考虑了表型表现和候选个体数量。现有结果支持进一步评价联合标记，尚未直接检验它是否比单标记改善实际选留及后代表现。</w:t>
      </w:r>
    </w:p>
    <w:p>
      <w:r>
        <w:t>采用标记时，还应考虑目标等位基因的频率、计划使用多久，以及如何同时选择其他位点。主效基因与多基因背景的理论模型表明，选择权重应随频率和选择期限调整[131]。</w:t>
      </w:r>
      <w:r>
        <w:rPr>
          <w:i/>
        </w:rPr>
        <w:t>SLCO1B3</w:t>
      </w:r>
      <w:r>
        <w:t>案例中，稳定传递蓝壳性状[75]与继续改良色调、均匀度[77]对应不同任务；前一任务完成后，后续改良还需利用其他可分离的遗传差异。因此，同一标记在不同选育阶段的作用可能不同。</w:t>
      </w:r>
    </w:p>
    <w:p>
      <w:pPr>
        <w:pStyle w:val="Heading2"/>
      </w:pPr>
      <w:r>
        <w:t>6.2 基因组选择：复杂性状不必等待QTN全部找到</w:t>
      </w:r>
    </w:p>
    <w:p>
      <w:r>
        <w:t>基因组选择利用密集标记联合估计遗传价值，无需预先识别全部致因核苷酸（QTN）[5]。Yang等将商业黄羽鸡核群中1,500只GWAS发现个体与4,859只预测评价个体分开，在后者的随机十折验证中，基因组最佳线性无偏预测（GBLUP）使饲料转化率的估计育种值与校正表型相关由系谱模型的0.26提高至0.39[50]。该结果检验了核群内加入基因组信息的预测作用，验证对象仍来自同一群体的随机划分。</w:t>
      </w:r>
    </w:p>
    <w:p>
      <w:r>
        <w:t>Tu等在台湾土鸡产蛋性状研究中，以预测误差方差推算模型准确度，整合系谱、表型与基因型的单步GBLUP（ssGBLUP）平均值较高，GBLUP则未稳定优于系谱模型[132]。其中GBLUP使用440只有表型母鸡的记录，系谱及单步模型使用1,106只；模型和表型信息量同时变化，所得准确度来自模型内部估计，应与留出个体上的实际预测相关区分。</w:t>
      </w:r>
    </w:p>
    <w:p>
      <w:r>
        <w:t>Wolc等将预测推进到三年期实际选择试验：同一褐壳蛋鸡群体按全同胞家系随机拆为系谱与GS亚系，起始代后分别经历两代与四代选择，末代同期孵化并共同饲养[133]。研究以系谱线起末代平均育种值差为基准，结合末代两线表型差估计GS响应，按各性状的遗传标准差表达。GS线在蛋重、蛋黄重等性状上响应较大，可销售蛋产蛋率却呈负响应。平均系谱近交系数从起始代的0.018（GS）和0.019（系谱）增至各自末代的0.041和0.026[133]。试验同时改变了遗传信息、世代间隔、候选规模及配种结构，因此比较的是整套程序对选择响应和近交的影响。</w:t>
      </w:r>
    </w:p>
    <w:p>
      <w:r>
        <w:t>预测评价考察能否准确估计候选个体的遗传价值；实际选择还受到世代间隔、选择强度和群体管理的影响。比较育种程序时，应采用共同的时间范围，同时考察目标性状、近交及按既定权重计算的综合变化。各研究的设计和指标定义见补充表S3。</w:t>
      </w:r>
    </w:p>
    <w:p>
      <w:pPr>
        <w:pStyle w:val="Heading2"/>
      </w:pPr>
      <w:r>
        <w:t>6.3 功能注释、统计先验与新增变异怎样影响预测</w:t>
      </w:r>
    </w:p>
    <w:p>
      <w:r>
        <w:t>家鸡预测研究采用的信息包括三类：编码位置、通路及表达等功能注释，GWAS提供的统计关联先验，以及结构变异等新增变异类型。三者提供的信息不同，均需与既有模型比较。Johnsson指出，序列与功能信息的额外价值受已有标记信息及模型利用方式影响[9]。以下据此区分标记筛选、信息分组和模型联用的结果。</w:t>
      </w:r>
    </w:p>
    <w:p>
      <w:r>
        <w:t>筛选标记后，预测准确度与预测值的尺度可能出现不同变化。Heidaritabar等以较早出生的1,004只商业白羽蛋鸡为参考、较晚出生的240只为验证，全序列SNP预测早期产蛋数的准确度为0.75±0.03，仅用编码或非同义SNP时为0.68±0.03和0.66±0.04（均值±近似标准误）[134]。准确度以表型与预测育种值的相关除以遗传力平方根获得；表型对预测育种值的回归斜率则从1.45变为1.20和1.17，更接近理想值1。在这一时间留出比较中，准确度点估计下降，回归斜率则更接近1，显示相关表现与尺度校准的变化方向不同。</w:t>
      </w:r>
    </w:p>
    <w:p>
      <w:r>
        <w:t>验证情景也会改变对同一类信息的判断。Ni等在商业褐壳蛋鸡随机五折验证中重复五次，基因及邻近区域SNP的三性状平均预测相关为0.366，全序列模型为0.358，相应标准差为0.075和0.076；这组平均差值未报告配对区间[135]。最后两世代146只鸡的前推验证中，基因区域方案略低于全标记方案。随机验证的小幅均值优势未延续到后续世代，说明应用评价应与预期预测对象对应。小家系排序比较另见S3。</w:t>
      </w:r>
    </w:p>
    <w:p>
      <w:r>
        <w:t>功能信息还可用于决定哪些标记共同进入预测。Ye等按通路构建单倍型，在黄羽鸡15项性状的随机十折验证中重复五次，至少一种通路方案在9项性状上优于按染色体构建的方案，原作者的配对检验经Bonferroni校正后达到显著水平；腹脂重、腹脂率和剩余采食量未获额外改善[136]。这些最优方案由同一套交叉验证选出，性能估计存在选模后的乐观偏差风险，多重比较校正并不消除这一问题。统计关联先验也能组织标记：Yang等按GWAS关联SNP分组的基因组特征BLUP（GFBLUP），使饲料转化率平均观察预测相关由GBLUP的0.39提高至0.44，主文表2未给出差值区间[50]。两类结果分别反映通路分组和统计关联分组在特定比较中的预测表现。</w:t>
      </w:r>
    </w:p>
    <w:p>
      <w:r>
        <w:t>评价新增变异类型时，应区分三种比较：只用该类变异预测、把它加入原模型，以及同时更换变异和模型。Ye等在877只F₂鸡中简单向线性模型加入结构变异未稳定改善预测；将结构变异与混合模型GPDLBP结合后，49日龄体重相关从0.512提高至0.532，补充表S11所列标准差分别为0.078和0.072，配对比较经多重校正后FDR&lt;0.001[39]。该比较的筛选与调参在外层训练折内完成，区别于在同套验证中直接选优；这一结果支持联合方案在该群体内的预测表现；比较同时改变信息与模型，尚未分离SV的独立贡献。Zhou等在877只F₂鸡的随机交叉验证中，单用SV在部分模型的跨49项性状配对比较中表现较好，而将SV加入SNP或SNP–InDel模型未获得显著提升[137]。因此，一类变异能提供预测信息，并不直接说明它在既有模型之外还能增加多少信息。</w:t>
      </w:r>
    </w:p>
    <w:p>
      <w:r>
        <w:t>功能标记能否用于育种，还可通过实际亲本选择和后代表现评价。Cheng等用等位基因特异性表达（ASE）筛得的标记预测马立克病抗性，在实验鸡群中进行一代双向选择，观察到子代发病表现分化[138]。被选择的60只公鸡中，ASE估计育种值与子代平均存活表现的相关为0.736，系谱估计为0.325。这些公鸡来自选择分布的两端，比较对象是系谱模型，结果支持该实验中功能标记的选种用途。研究也说明，功能标记可以在逐个调控变异完成因果确证之前用于选择。</w:t>
      </w:r>
    </w:p>
    <w:p>
      <w:r>
        <w:t>ChickenGTEx整合28种组织的分子QTL与39项性状GWAS，为构建调控先验提供资源；分子表型预测和TWAS建立的是表达与性状的联系[129]。利用这类图谱改善育种，还需要比较加入其信息前后的预测或选择结果。上述研究所用的比较方案和验证群体不同，补充表S3列出了各自的设计、指标和不确定性，便于判断结果适用于现有群体、后续世代还是整套选择程序。</w:t>
      </w:r>
    </w:p>
    <w:p>
      <w:pPr>
        <w:pStyle w:val="Heading2"/>
      </w:pPr>
      <w:r>
        <w:t>6.4 基因编辑：从因果工具到育种技术</w:t>
      </w:r>
    </w:p>
    <w:p>
      <w:r>
        <w:t>基因编辑可以检验人工遗传改变对整鸡的影响。</w:t>
      </w:r>
      <w:r>
        <w:rPr>
          <w:i/>
        </w:rPr>
        <w:t>ANP32A</w:t>
      </w:r>
      <w:r>
        <w:t>研究已获得整鸡抗性和研究性遗传传递证据[100]。进一步评价育种用途时，需要考察该改变能否在目标群体中稳定发挥作用，以及是否符合包含多个性状的选择目标。</w:t>
      </w:r>
    </w:p>
    <w:p>
      <w:r>
        <w:t>已有研究还观察了生长、免疫及产蛋表现[100]；</w:t>
      </w:r>
      <w:r>
        <w:rPr>
          <w:i/>
        </w:rPr>
        <w:t>tva</w:t>
      </w:r>
      <w:r>
        <w:t>敲除与自然变异的营养代谢结果[95][96]进一步提示，相近的抗性目标可以伴随不同生理后果。因此，候选遗传改变的比较应同时考虑抗性范围、遗传传递和相关生产性状。</w:t>
      </w:r>
    </w:p>
    <w:p>
      <w:pPr>
        <w:pStyle w:val="Heading2"/>
      </w:pPr>
      <w:r>
        <w:t>6.5 育种价值取决于多性状目标</w:t>
      </w:r>
    </w:p>
    <w:p>
      <w:r>
        <w:t>综合育种价值取决于目标性状组合及其权重。Wolc等采用包含16项生产与品质性状的选择指数，系谱亚系中部分蛋品质性状与可销售蛋产蛋率呈负遗传相关[133]。因此，一个性状改善时，另一个性状可能变差，需要按各性状的权重评价总体结果。</w:t>
      </w:r>
    </w:p>
    <w:p>
      <w:r>
        <w:t>选择计划持续多久，也会影响主效基因与其他位点的选择权重。Dekkers和van Arendonk的加性主效基因模型表明，最大化单代响应的基因型选择，在所考察情景中并未最大化较长期累积响应；随频率变化调整主效基因与多基因背景的选择权重，可改善长期结果[131]。这一理论结果提示，一味加快目标等位基因固定，可能牺牲其他遗传改良机会。</w:t>
      </w:r>
    </w:p>
    <w:p>
      <w:r>
        <w:t>选择指数中有两类不同的权重：一类组合信息，另一类权衡性状。Wolc等组合自身表型与基因组估计育种值的权重，处理同一性状的信息利用[133]；Chomchuen等按生长与产蛋同等重要的目标，为四项性状设定相对权重[139]。后者表达生长与产蛋之间的预设选择目标。解释指数变化时，应先说明调整的是预测所用的信息，还是育种目标中各性状的重要性。</w:t>
      </w:r>
    </w:p>
    <w:p>
      <w:pPr>
        <w:pStyle w:val="Heading1"/>
      </w:pPr>
      <w:r>
        <w:t>7 跨案例比较：哪些遗传信息已能支持选择</w:t>
      </w:r>
    </w:p>
    <w:p>
      <w:r>
        <w:t>家鸡研究中，具体自然变异、区域标记和整套选择程序的进展并不同步。跨案例比较的重点，是这些结果已经支持什么选种用途，以及哪些证据会改变当前的用途判断。</w:t>
      </w:r>
    </w:p>
    <w:p>
      <w:pPr>
        <w:pStyle w:val="Heading2"/>
      </w:pPr>
      <w:r>
        <w:t>7.1 区域信息可用于选种，具体变异仍须分别归因</w:t>
      </w:r>
    </w:p>
    <w:p>
      <w:r>
        <w:t>亲本选择可以利用尚未拆清的区域信息。CCKAR相关标记已进入部分日本鸡群的选育，并获得后代生长比较[6]；MHC型管理也已成为部分商业抗病选择计划的组成部分[86]。两者的应用对象分别是目标群体中的关联标记与单倍型，而机制研究仍在解析区域内的调控候选[19][82]。这说明，在这些程序中，完整解析唯一致因变异并不是开始选种的前提。其后代结果属于亲本方案或整体程序，机制归因则继续以具体变异为对象。</w:t>
      </w:r>
    </w:p>
    <w:p>
      <w:r>
        <w:t>IGF2BP1的联合标记研究进一步说明，亲本判别与单变异归因可以针对不同对象。L1已有自身的整鸡关联，L2在早期核心F₂群体中未检出[2]；后续含L1L2的组合进入了体重比较，金陵麻鸡还提供了另一群体背景的资料[47]。新增结果扩大了可评价的基因型组合，却没有把L2相对未缺失型W的独立作用一并确定下来。因而，联合标记推荐可以作为目标群体选种评价的起点，L1和L2仍须分别解释，基因层面的功能积累也不能在二者之间通用。</w:t>
      </w:r>
    </w:p>
    <w:p>
      <w:r>
        <w:t>rs734209466则表明，细胞机制的连贯性与整鸡效应的归因精度可以不同。其等位基因活性、远端靶基因和脂肪细胞结果相互支持[3]，核心整鸡比较却合并高、低脂选择系，未报告系内比较或条件关联，也未报告精确内源等位基因替换。现有证据支持该变异的调控功能和候选因果地位，专利提出的低脂选留方案[56]仍是待评价用途。这里缺少的是将变异作用与选择系、连锁背景分开的整鸡依据；继续增加靶基因的一般功能资料，难以直接解决这个问题。</w:t>
      </w:r>
    </w:p>
    <w:p>
      <w:pPr>
        <w:pStyle w:val="Heading2"/>
      </w:pPr>
      <w:r>
        <w:t>7.2 新增信息的价值取决于已有信息和选择任务</w:t>
      </w:r>
    </w:p>
    <w:p>
      <w:r>
        <w:t>Greenshell的增量对应一个明确任务：稳定传递蓝壳背景需要识别O/O亲本，而蛋壳颜色对O/O与O/o存在重叠，插入分型补充了这种判别信息[76]。其应用意义是提高目标基因型的识别能力。论文记录了分型筛选，未提供加入标记前后的配对留种名单，因此已展示的判别增量与实际亲本集合变化分别评价。</w:t>
      </w:r>
    </w:p>
    <w:p>
      <w:r>
        <w:t>多基因预测的基线则是既有模型已经利用的遗传信息。在商业白羽蛋鸡的时间留出比较中，编码SNP筛选后的准确度点估计较低、校准斜率更接近1[134]；基因区域筛选在随机验证中的小幅优势未延续到前推验证[135]。另一方面，结构变异与混合模型的联合方案在部分性状上获得有统计支持的预测改善，简单加入结构变异却未稳定提高表现[39]。这些比较说明，新增标记的表现取决于其进入模型的方式。联合方案可以按整体预测表现评价，新增变异的独立贡献则需另行分离。</w:t>
      </w:r>
    </w:p>
    <w:p>
      <w:r>
        <w:t>牛的跨品种体尺研究中，全序列直接纳入未提高预测准确度，经meta-GWAS预选的标记集合则有改善[140]；另一项奶性状研究中，整合功能等信息的定制芯片在澳大利亚训练、新西兰验证的比较中优于标准芯片[141]。这些参照与家鸡结果共同支持针对既有方案评价信息的新增作用，而非按注释多少排列方法优劣。留出预测评价未参与训练个体的预测表现；要进一步判断模型差异是否改变入选亲本，应在同一候选群体和相同留种规则下比较入选结果，后代记录则检验选择的后果。</w:t>
      </w:r>
    </w:p>
    <w:p>
      <w:pPr>
        <w:pStyle w:val="Heading2"/>
      </w:pPr>
      <w:r>
        <w:t>7.3 机制持续成立，选种任务仍会改变</w:t>
      </w:r>
    </w:p>
    <w:p>
      <w:r>
        <w:t>经典蓝壳插入的作用可以持续存在，其在群内区分候选亲本的用途却随基因型分布改变。Greenshell分型服务于O/O亲本识别[76]；另一由O/O亲本建立的BG鸡系，后续选择转向色调和均匀度[77]。这两项研究属于不同程序，但清楚地区分了“稳定传递蓝壳类别”和“改良蓝壳背景内部差异”。当目标位点在候选群体中固定后，它不再区分该群体内部的候选个体；后续改良依赖仍有分离的遗传差异。分型仍可用于核对外来材料或维持目标基因型。这与主效基因选择权重随等位基因频率和选择期限变化的理论相符[131]。</w:t>
      </w:r>
    </w:p>
    <w:p>
      <w:r>
        <w:t>目标性状的改变同样会改变选种方向。Na减少羽毛的形态机制得到支持[115]，生产比较却同时涉及环境、母鸡产出和胚胎孵化[120][121]。FMO3的鱼腥蛋风险、饲粮依赖的代谢表现与老龄母鸡健康也不是同一终点[64][67][68]。机制可以解释其中一个性状，却不直接给出多性状目标下的统一最优基因型。推广已有标记时，目标群体的生产条件与性状权重因此是评价的组成部分。</w:t>
      </w:r>
    </w:p>
    <w:p>
      <w:r>
        <w:t>已有实施记录还决定了评价应从哪里继续。北京油鸡FMO3研究记录携带者管理及样本T频率下降[7]，蓝壳联合选育进一步直接记录后代蛋壳类别[75]。前者的下一项关键记录是同一程序的蛋品质，并结合健康和繁殖表现；后者已经回答类别传递，新的问题转向类别内改良。把两者统称为“已转化”会丢失这些差别，把两者都归为“仍需验证”也会掩盖已完成的工作。</w:t>
      </w:r>
    </w:p>
    <w:p>
      <w:pPr>
        <w:pStyle w:val="Heading2"/>
      </w:pPr>
      <w:r>
        <w:t>7.4 相反证据应改变候选的推荐顺序</w:t>
      </w:r>
    </w:p>
    <w:p>
      <w:r>
        <w:t>现有研究不支持将MX S631N作为具有稳定独立效应的抗流感选种依据。直接功能比较未稳定显示Asn631的抗流感作用[105][106]，整鸡研究又出现品系效应显著而位点未关联，或其他终点未检出基因型关联的结果[107][109][110]。Ewald等报告部分早期死亡、患病或排毒差异，但所比较的整体生存曲线不显著，且自然等位基因还伴有其他序列及背景差异[108]。因此，已有部分支持尚未把抗性稳定归因于631位点本身。抗水疱性口炎病毒功能[104]和商业MX单倍型的多性状关联[114]属于其他作用对象或用途，不能改变上述抗流感选种判断。</w:t>
      </w:r>
    </w:p>
    <w:p>
      <w:r>
        <w:t>MX与PHKG1的区别因此不只是论文数量。PHKG1 rs15845448主要依据单群体肉品质关联和表达线索[59]，独立研究空白较大；MX S631N则经过多种评价，出现了与原用途主张不一致的结果。PHKG1的用途目前取决于能否取得独立验证，MX S631N的用途则取决于能否解释功能与整鸡结果之间的分歧。后者不宜列为已经成立的抗流感选种标记；再评价时应针对这些具体矛盾，而非仅增加同一区域的关联报告。</w:t>
      </w:r>
    </w:p>
    <w:p>
      <w:pPr>
        <w:pStyle w:val="Heading2"/>
      </w:pPr>
      <w:r>
        <w:t>7.5 从证据比较落实到选种判断</w:t>
      </w:r>
    </w:p>
    <w:p>
      <w:r>
        <w:t>对家鸡选育而言，首先应确定遗传信息用于哪一种决定。识别隐性携带者或目标纯合亲本时，直接评价基因型判别；在大量候选个体中改进综合排序时，比较加入新信息后的预测及入选结果；改变世代间隔、候选规模或配种结构时，则以整套程序的后代性状和近交评价。这些决策单位将既有统计育种与分子解释的区分[8][11]落实到了可核对的比较上。</w:t>
      </w:r>
    </w:p>
    <w:p>
      <w:r>
        <w:t>研究优先级也随之不同。已有连贯细胞机制但整鸡归因不清的变异，重点是分离背景贡献；已有目标群体判别依据的标记，重点是评价实际选留；已经实施的程序，重点是连接后代多性状结果。若直接功能结果与整鸡资料未稳定支持所宣称的用途，应先处理分歧，再考虑应用推荐。研究的优先级因而由当前决定缺少什么证据确定。</w:t>
      </w:r>
    </w:p>
    <w:p>
      <w:pPr>
        <w:pStyle w:val="Heading1"/>
      </w:pPr>
      <w:r>
        <w:t>8 新兴技术：按“补什么证据”组织</w:t>
      </w:r>
    </w:p>
    <w:p>
      <w:r>
        <w:t>因果变异识别可服务于机制解释和遗传预测[10]，多组学框架已讨论相关信息如何用于育种[13]。本章围绕家鸡研究中的具体问题介绍技术：识别变异、寻找靶基因与作用组织、区分细胞和发育背景，以及评价加入新信息后的选择效果。区域标记的应用评价可以与机制研究并行，技术选择应服务于尚未解决的问题。</w:t>
      </w:r>
    </w:p>
    <w:p>
      <w:pPr>
        <w:pStyle w:val="Heading2"/>
      </w:pPr>
      <w:r>
        <w:t>8.1 长读长与泛基因组：解析遗传对象</w:t>
      </w:r>
    </w:p>
    <w:p>
      <w:r>
        <w:t>短读长和单一参考序列容易遗漏大型插入、重复片段以及存在与缺失变异，使关联区域的结构组成难以辨认。长读长组装有助于确定这些变异的结构并开展分型。Cai等结合阿克鸡约73 kb插入的组装、来源区域比对、短读长深度及片段验证，支持来源片段保留的复制插入解释[116]。该结果明确了插入的结构及来源。</w:t>
      </w:r>
    </w:p>
    <w:p>
      <w:r>
        <w:t>鸡泛基因组对</w:t>
      </w:r>
      <w:r>
        <w:rPr>
          <w:i/>
        </w:rPr>
        <w:t>IGF2BP1</w:t>
      </w:r>
      <w:r>
        <w:t>启动子缺失的识别[2]说明，结构解析的直接贡献是把同一区域拆成可分别评价的L1与L2，为后续关联和功能结果提供明确的变异对象。</w:t>
      </w:r>
    </w:p>
    <w:p>
      <w:r>
        <w:t>结构解析还影响变异如何用于研究和分型。一个大型插入可能包含多个调控片段，也可能与周围单倍型共同遗传。只记录插入的有无，可能足以完成某些选种任务，但解释机制时还需区分内部片段的作用。可靠分型解决变异识别，内部片段的比较则进一步解析调控机制。</w:t>
      </w:r>
    </w:p>
    <w:p>
      <w:pPr>
        <w:pStyle w:val="Heading2"/>
      </w:pPr>
      <w:r>
        <w:t>8.2 eQTL、ChickenGTEx与三维基因组：连接靶基因与作用组织</w:t>
      </w:r>
    </w:p>
    <w:p>
      <w:r>
        <w:t>表达QTL把遗传差异与基因表达联系起来，为候选靶基因和组织提供方向。ChickenGTEx整合多组织和发育阶段的分子QTL与性状GWAS，显示调控效应具有组织及阶段背景[129]。产蛋阶段ChickenGTEx进一步在同一商业纯系中比较产蛋前、高峰和后期的四种组织[142]。其中，卵巢</w:t>
      </w:r>
      <w:r>
        <w:rPr>
          <w:i/>
        </w:rPr>
        <w:t>DFFA</w:t>
      </w:r>
      <w:r>
        <w:t>的整体表达量在阶段间没有显著变化，但eQTL效应随阶段减弱。这说明只筛选差异表达基因，可能遗漏随阶段变化的遗传调控；解释机制时，需要考察变异在相应组织和阶段中的调控效应。该研究各阶段采自不同年龄的母鸡，所见差异包含年龄背景。</w:t>
      </w:r>
    </w:p>
    <w:p>
      <w:r>
        <w:t>Zhu等将鸡高级互交系推进至F16，并将性状GWAS与ChickenGTEx和FAANG资源整合分析[130]。多代重组缩小了定位区间，其中154个QTL区间内仅注释到一个基因；这有助于缩小候选基因范围，随后再寻找具体调控变异。对于重组后仍约800 kb的GGA1生长区域，SMR、共定位和转录组关联分析提出了多个组织中的候选调控关系，提示一个大效应关联峰可能包含多条连锁的调控路径。该研究复用了ChickenGTEx分子QTL资源[129]，多种方法支持的调控路径来自部分共同资料；它们帮助排列候选，但不增加独立验证群体的数量。</w:t>
      </w:r>
    </w:p>
    <w:p>
      <w:r>
        <w:t>三维接触信息提供远端调控的空间线索。rs734209466的接触图谱与等位基因活性支持远端调控联系[3]；Zhou等的泛三维基因组研究进一步比较了自然结构变异基因型间的接触与表达[137]。在</w:t>
      </w:r>
      <w:r>
        <w:rPr>
          <w:i/>
        </w:rPr>
        <w:t>KLF3</w:t>
      </w:r>
      <w:r>
        <w:t>上游缺失案例中，缺失组较长程接触减弱，与</w:t>
      </w:r>
      <w:r>
        <w:rPr>
          <w:i/>
        </w:rPr>
        <w:t>TBC1D1</w:t>
      </w:r>
      <w:r>
        <w:t>、</w:t>
      </w:r>
      <w:r>
        <w:rPr>
          <w:i/>
        </w:rPr>
        <w:t>PGM2</w:t>
      </w:r>
      <w:r>
        <w:t>相关的较短程接触增强，但相应基因表达仍较低。这种方向差异表明，局部接触增强可以与表达下降并存，机制解释应同时考虑调控序列活性和接触网络的重分配。作者提出补偿性接触解释这一现象；现有结果确立的是接触与表达变化方向并非一一对应，补偿机制仍待检验。</w:t>
      </w:r>
    </w:p>
    <w:p>
      <w:pPr>
        <w:pStyle w:val="Heading2"/>
      </w:pPr>
      <w:r>
        <w:t>8.3 单细胞与空间组学：区分细胞组成和细胞内效应</w:t>
      </w:r>
    </w:p>
    <w:p>
      <w:r>
        <w:t>组织表达是不同细胞类型和状态的混合结果，单细胞信息有助于区分细胞比例与细胞内部调控的变化。ChickenGTEx利用单细胞参考估计组织细胞组成，并检验其与基因型的交互，因而能够把部分组织表达关联定位到细胞背景[129]。产蛋阶段图谱进一步结合细胞组成估计和统计中介分析，将部分基因型与阶段的交互效应联系到细胞比例、转录因子表达及共表达模块[142]。这些统计分析用于缩小细胞背景的解释范围，提出细胞比例或细胞内调控状态参与阶段差异的线索，为细胞类型特异性验证确定对象。</w:t>
      </w:r>
    </w:p>
    <w:p>
      <w:r>
        <w:t>Mok等将鸡胚单细胞转录组与RNA断层测序结合，联系细胞类型和沿体轴的表达位置，并用原位杂交核对体节相关候选基因的分布[143]。这类定位有助于寻找与生长、骨骼和体型相关的作用组织及发育阶段，补充成年组织平均表达难以呈现的早期过程。</w:t>
      </w:r>
    </w:p>
    <w:p>
      <w:r>
        <w:t>这些资料提高细胞与空间分辨率；群体遗传比较仍以供体个体为独立单位。</w:t>
      </w:r>
    </w:p>
    <w:p>
      <w:pPr>
        <w:pStyle w:val="Heading2"/>
      </w:pPr>
      <w:r>
        <w:t>8.4 MPRA、CRISPRa/i、内源编辑与整鸡验证：把区域证据推进到变异证据</w:t>
      </w:r>
    </w:p>
    <w:p>
      <w:r>
        <w:t>不同非编码功能工具检验的对象和实验背景不同。大规模平行报告分析（MPRA）比较候选序列和等位基因的报告活性，CRISPR激活或干扰（CRISPRa/i）在内源区域调节表达、检验区域或基因作用。Chin等的人类多基因疾病综述总结了这些方法在天然染色质背景和单变异归因上的差别[127]。鸡细胞研究已用GWAS标记附近的CRISPR激活提供区域功能线索[128]，并建立按目标基因调节表达的工具[144]。</w:t>
      </w:r>
    </w:p>
    <w:p>
      <w:r>
        <w:t>从区域功能推进到具体自然变异，需要与所研究等位基因直接对应的证据。自然背景比较和等位基因特异性结果可逐步缩小解释范围，精确内源等位基因替换进一步减少连锁背景干扰。这些分子结果还需要与个体性状对应，才能解释自然表型差异。工程化研究评价人工改变的个体后果，其育种用途见第6.4节。</w:t>
      </w:r>
    </w:p>
    <w:p>
      <w:r>
        <w:t>整鸡研究可以同时观察目标性状及相关的生长、免疫、繁殖和生产表现。分子或细胞结果在整鸡中得到支持，会加强机制解释；两者不一致时，则提示组织、发育阶段或多效性可能影响结果。自然群体和选育记录还能帮助判断哪些表现与实际育种目标最相关。</w:t>
      </w:r>
    </w:p>
    <w:p>
      <w:pPr>
        <w:pStyle w:val="Heading2"/>
      </w:pPr>
      <w:r>
        <w:t>8.5 问题驱动的技术选择</w:t>
      </w:r>
    </w:p>
    <w:p>
      <w:r>
        <w:t>技术选择可围绕以下五类问题展开。它们可并行研究，优先次序取决于哪些结果最可能改变当前判断，以及获得这些结果是否可行：</w:t>
      </w:r>
    </w:p>
    <w:p>
      <w:r>
        <w:t xml:space="preserve">1. </w:t>
      </w:r>
      <w:r>
        <w:rPr>
          <w:b/>
        </w:rPr>
        <w:t>候选变异的结构不清</w:t>
      </w:r>
      <w:r>
        <w:t>：优先长读长、泛基因组和结构变异分型，确定候选变异及其连锁背景。</w:t>
      </w:r>
    </w:p>
    <w:p>
      <w:r>
        <w:t xml:space="preserve">2. </w:t>
      </w:r>
      <w:r>
        <w:rPr>
          <w:b/>
        </w:rPr>
        <w:t>靶基因或作用组织不清</w:t>
      </w:r>
      <w:r>
        <w:t>：优先eQTL、共定位、染色质和三维接触，寻找可能的调控路径及作用阶段。</w:t>
      </w:r>
    </w:p>
    <w:p>
      <w:r>
        <w:t xml:space="preserve">3. </w:t>
      </w:r>
      <w:r>
        <w:rPr>
          <w:b/>
        </w:rPr>
        <w:t>细胞背景或发育阶段不清</w:t>
      </w:r>
      <w:r>
        <w:t>：优先单细胞、空间组学和时间序列，区分细胞组成、细胞内效应及表达位置。</w:t>
      </w:r>
    </w:p>
    <w:p>
      <w:r>
        <w:t xml:space="preserve">4. </w:t>
      </w:r>
      <w:r>
        <w:rPr>
          <w:b/>
        </w:rPr>
        <w:t>尚不能确定哪种变异起作用</w:t>
      </w:r>
      <w:r>
        <w:t>：结合等位基因特异性功能、自然遗传背景比较及精确内源等位基因证据，区分候选变异与连锁或背景效应。</w:t>
      </w:r>
    </w:p>
    <w:p>
      <w:r>
        <w:t xml:space="preserve">5. </w:t>
      </w:r>
      <w:r>
        <w:rPr>
          <w:b/>
        </w:rPr>
        <w:t>加入遗传信息后能否改善选择不清</w:t>
      </w:r>
      <w:r>
        <w:t>：优先目标群体的独立验证、跨世代预测、同期选择比较及结果记录，而不是继续累积同体系的分子证据。</w:t>
      </w:r>
    </w:p>
    <w:p>
      <w:r>
        <w:t>例如，漏检结构变异妨碍确定候选对象，长读长信息可以直接改变后续定位；目标群体效应不稳定首先是适用性问题，增加同一细胞体系的分子结果不能代替群体比较。技术的优先顺序由其能否解决当前问题决定。</w:t>
      </w:r>
    </w:p>
    <w:p>
      <w:pPr>
        <w:pStyle w:val="Heading1"/>
      </w:pPr>
      <w:r>
        <w:t>9 结语</w:t>
      </w:r>
    </w:p>
    <w:p>
      <w:r>
        <w:t>家鸡案例表明，目标群体中有用的区域标记和单倍型可以先于唯一致因变异的确定进入选育。机制归因则必须对应具体遗传对象：IGF2BP1的L1、L2不能共享彼此的整鸡证据，MX S631N的部分支持也未建立其稳定独立的抗流感选种作用。以基因名或论文数量概括进展，会掩盖这些决定用途的差别。</w:t>
      </w:r>
    </w:p>
    <w:p>
      <w:r>
        <w:t>新增遗传信息的价值取决于已有信息与选择任务。蓝壳插入分型补充亲本基因型判别，预测研究评价未参与训练个体的遗传价值估计，实际选择程序记录后代多性状与群体变化。在所比较的研究中，预测准确度与校准并不总朝同一方向变化；位点固定后，同一标记也不再区分群内候选个体。机制成立、预测改善和选后改良因此各有对应的评价终点。</w:t>
      </w:r>
    </w:p>
    <w:p>
      <w:r>
        <w:t>本文的贡献在于用家鸡研究说明这些差别如何改变具体判断：将细胞机制与独立整鸡效应分开，将区域或组合的判别作用与单变异归因分开，并将实施记录连接到同一程序的后代结果。由此确定的研究重点是解决当前用途的关键问题，而不是为所有案例补齐相同的证据流程。</w:t>
      </w:r>
    </w:p>
    <w:p>
      <w:pPr>
        <w:pStyle w:val="Heading1"/>
        <w:pageBreakBefore/>
      </w:pPr>
      <w:r>
        <w:t>参考文献</w:t>
      </w:r>
    </w:p>
    <w:p>
      <w:r>
        <w:t xml:space="preserve">1. Mackay TFC, Stone EA, Ayroles JF. The genetics of quantitative traits: challenges and prospects. </w:t>
      </w:r>
      <w:r>
        <w:rPr>
          <w:i/>
        </w:rPr>
        <w:t>Nature Reviews Genetics</w:t>
      </w:r>
      <w:r>
        <w:t>. 2009;10(8):565–577. doi:10.1038/nrg2612.</w:t>
      </w:r>
    </w:p>
    <w:p>
      <w:r>
        <w:t xml:space="preserve">2. Wang K, Hu H, Tian Y, et al. The chicken pan-genome reveals gene content variation and a promoter region deletion in IGF2BP1 affecting body size. </w:t>
      </w:r>
      <w:r>
        <w:rPr>
          <w:i/>
        </w:rPr>
        <w:t>Molecular Biology and Evolution</w:t>
      </w:r>
      <w:r>
        <w:t>. 2021;38(11):5066–5081. doi:10.1093/molbev/msab231.</w:t>
      </w:r>
    </w:p>
    <w:p>
      <w:r>
        <w:t xml:space="preserve">3. Shen L, Bai X, Zhao L, et al. Integrative 3D genomics with multi-omics analysis and functional validation of genetic regulatory mechanisms of abdominal fat deposition in chickens. </w:t>
      </w:r>
      <w:r>
        <w:rPr>
          <w:i/>
        </w:rPr>
        <w:t>Nature Communications</w:t>
      </w:r>
      <w:r>
        <w:t>. 2024;15:9274. doi:10.1038/s41467-024-53692-6.</w:t>
      </w:r>
    </w:p>
    <w:p>
      <w:r>
        <w:t xml:space="preserve">4. Goddard ME, Hayes BJ. Mapping genes for complex traits in domestic animals and their use in breeding programmes. </w:t>
      </w:r>
      <w:r>
        <w:rPr>
          <w:i/>
        </w:rPr>
        <w:t>Nature Reviews Genetics</w:t>
      </w:r>
      <w:r>
        <w:t>. 2009;10(6):381–391. doi:10.1038/nrg2575.</w:t>
      </w:r>
    </w:p>
    <w:p>
      <w:r>
        <w:t xml:space="preserve">5. Meuwissen THE, Hayes BJ, Goddard ME. Prediction of total genetic value using genome-wide dense marker maps. </w:t>
      </w:r>
      <w:r>
        <w:rPr>
          <w:i/>
        </w:rPr>
        <w:t>Genetics</w:t>
      </w:r>
      <w:r>
        <w:t>. 2001;157(4):1819–1829. doi:10.1093/genetics/157.4.1819.</w:t>
      </w:r>
    </w:p>
    <w:p>
      <w:r>
        <w:t xml:space="preserve">6. Horinouchi S, Nakayama H, Ando T, et al. Practical application of Miyazaki Jitokko chickens selected for a superior allele at a single nucleotide polymorphism site in the cholecystokinin type A receptor gene. </w:t>
      </w:r>
      <w:r>
        <w:rPr>
          <w:i/>
        </w:rPr>
        <w:t>Journal of Poultry Science</w:t>
      </w:r>
      <w:r>
        <w:t>. 2021;58:12–20. doi:10.2141/jpsa.0190127.</w:t>
      </w:r>
    </w:p>
    <w:p>
      <w:r>
        <w:t xml:space="preserve">7. Chu Q, Zhang J, Zhu S, et al. The detection and elimination of flavin-containing monooxygenase 3 gene T329S mutation in the Beijing You chicken. </w:t>
      </w:r>
      <w:r>
        <w:rPr>
          <w:i/>
        </w:rPr>
        <w:t>Poultry Science</w:t>
      </w:r>
      <w:r>
        <w:t>. 2013;92:3109–3112. doi:10.3382/ps.2013-03285.</w:t>
      </w:r>
    </w:p>
    <w:p>
      <w:r>
        <w:t xml:space="preserve">8. Johnsson M. Genomics in animal breeding from the perspectives of matrices and molecules. </w:t>
      </w:r>
      <w:r>
        <w:rPr>
          <w:i/>
        </w:rPr>
        <w:t>Hereditas</w:t>
      </w:r>
      <w:r>
        <w:t>. 2023;160:20. doi:10.1186/s41065-023-00285-w.</w:t>
      </w:r>
    </w:p>
    <w:p>
      <w:r>
        <w:t xml:space="preserve">9. Johnsson M. The big challenge for livestock genomics is to make sequence data pay. </w:t>
      </w:r>
      <w:r>
        <w:rPr>
          <w:i/>
        </w:rPr>
        <w:t>Peer Community Journal</w:t>
      </w:r>
      <w:r>
        <w:t>. 2023;3:e67. doi:10.24072/pcjournal.300.</w:t>
      </w:r>
    </w:p>
    <w:p>
      <w:r>
        <w:t xml:space="preserve">10. Meuwissen T, Hayes B, MacLeod I, et al. Identification of Genomic Variants Causing Variation in Quantitative Traits: A Review. </w:t>
      </w:r>
      <w:r>
        <w:rPr>
          <w:i/>
        </w:rPr>
        <w:t>Agriculture</w:t>
      </w:r>
      <w:r>
        <w:t>. 2022;12(10):1713. doi:10.3390/agriculture12101713.</w:t>
      </w:r>
    </w:p>
    <w:p>
      <w:r>
        <w:t xml:space="preserve">11. Dekkers JCM. Commercial application of marker- and gene-assisted selection in livestock: Strategies and lessons. </w:t>
      </w:r>
      <w:r>
        <w:rPr>
          <w:i/>
        </w:rPr>
        <w:t>Journal of Animal Science</w:t>
      </w:r>
      <w:r>
        <w:t>. 2004;82(E-Suppl):E313–E328. doi:10.2527/2004.8213_supplE313x.</w:t>
      </w:r>
    </w:p>
    <w:p>
      <w:r>
        <w:t xml:space="preserve">12. Ishikawa A. An Integrative Genetic Strategy for Identifying Causal Genes at Quantitative Trait Loci in Chickens. </w:t>
      </w:r>
      <w:r>
        <w:rPr>
          <w:i/>
        </w:rPr>
        <w:t>Animals</w:t>
      </w:r>
      <w:r>
        <w:t>. 2026;16(2):155. doi:10.3390/ani16020155.</w:t>
      </w:r>
    </w:p>
    <w:p>
      <w:r>
        <w:t xml:space="preserve">13. Wen J, Wang Z, Huang J, et al. Livestock Multi-Omics Integration: A Systematic Framework From Statistical Association to Causal Interpretation. </w:t>
      </w:r>
      <w:r>
        <w:rPr>
          <w:i/>
        </w:rPr>
        <w:t>Advanced Science</w:t>
      </w:r>
      <w:r>
        <w:t>. 2026:e77094. doi:10.1002/advs.77094.</w:t>
      </w:r>
    </w:p>
    <w:p>
      <w:r>
        <w:t xml:space="preserve">14. Ohkubo T, Shamoto K, Ogino T. Structure and tissue distribution of cholecystokinin-1 receptor in chicken. </w:t>
      </w:r>
      <w:r>
        <w:rPr>
          <w:i/>
        </w:rPr>
        <w:t>Journal of Poultry Science</w:t>
      </w:r>
      <w:r>
        <w:t>. 2007;44(1):98–104. doi:10.2141/jpsa.44.98.</w:t>
      </w:r>
    </w:p>
    <w:p>
      <w:r>
        <w:t xml:space="preserve">15. Rikimaru K, Sasaki O, Koizumi N, et al. Mapping of quantitative trait loci affecting growth traits in a Japanese native chicken cross. </w:t>
      </w:r>
      <w:r>
        <w:rPr>
          <w:i/>
        </w:rPr>
        <w:t>Asian-Australasian Journal of Animal Sciences</w:t>
      </w:r>
      <w:r>
        <w:t>. 2011;24:1329–1334. doi:10.5713/ajas.2011.11004.</w:t>
      </w:r>
    </w:p>
    <w:p>
      <w:r>
        <w:t xml:space="preserve">16. Rikimaru K, Komatsu M, Suzuki K, et al. Association between cholecystokinin type A receptor haplotypes and growth traits in Japanese Hinai-dori crossbred chickens. </w:t>
      </w:r>
      <w:r>
        <w:rPr>
          <w:i/>
        </w:rPr>
        <w:t>Molecular Biology Reports</w:t>
      </w:r>
      <w:r>
        <w:t>. 2012;39(4):4479–4484. doi:10.1007/s11033-011-1237-9.</w:t>
      </w:r>
    </w:p>
    <w:p>
      <w:r>
        <w:t xml:space="preserve">17. Rikimaru K, Takeda H, Uemoto Y, et al. Effect of a single-nucleotide polymorphism in the cholecystokinin type A receptor gene on growth traits in the Hinai-dori chicken breed. </w:t>
      </w:r>
      <w:r>
        <w:rPr>
          <w:i/>
        </w:rPr>
        <w:t>Journal of Poultry Science</w:t>
      </w:r>
      <w:r>
        <w:t>. 2013;50:206–211. doi:10.2141/jpsa.0120130.</w:t>
      </w:r>
    </w:p>
    <w:p>
      <w:r>
        <w:t xml:space="preserve">18. Dunn IC, Meddle SL, Wilson PW, et al. Decreased expression of the satiety signal receptor </w:t>
      </w:r>
      <w:r>
        <w:rPr>
          <w:i/>
        </w:rPr>
        <w:t>CCKAR</w:t>
      </w:r>
      <w:r>
        <w:t xml:space="preserve"> is responsible for increased growth and body weight during the domestication of chickens. </w:t>
      </w:r>
      <w:r>
        <w:rPr>
          <w:i/>
        </w:rPr>
        <w:t>American Journal of Physiology-Endocrinology and Metabolism</w:t>
      </w:r>
      <w:r>
        <w:t>. 2013;304:E909–E921. doi:10.1152/ajpendo.00580.2012.</w:t>
      </w:r>
    </w:p>
    <w:p>
      <w:r>
        <w:t xml:space="preserve">19. Wang Z, Reid AMA, Wilson PW, et al. Identification of the core promoter and variants regulating chicken </w:t>
      </w:r>
      <w:r>
        <w:rPr>
          <w:i/>
        </w:rPr>
        <w:t>CCKAR</w:t>
      </w:r>
      <w:r>
        <w:t xml:space="preserve"> expression. </w:t>
      </w:r>
      <w:r>
        <w:rPr>
          <w:i/>
        </w:rPr>
        <w:t>Genes</w:t>
      </w:r>
      <w:r>
        <w:t>. 2022;13:1083. doi:10.3390/genes13061083.</w:t>
      </w:r>
    </w:p>
    <w:p>
      <w:r>
        <w:t xml:space="preserve">20. Rikimaru K, Takeda H, Ohkubo T, et al. コレシストキニンA受容体遺伝子g.420C＞A一塩基多型は比内鶏の発育を改善する. </w:t>
      </w:r>
      <w:r>
        <w:rPr>
          <w:i/>
        </w:rPr>
        <w:t>日本家禽学会誌</w:t>
      </w:r>
      <w:r>
        <w:t>. 2014;51(J2):J43–J48. (In Japanese).</w:t>
      </w:r>
    </w:p>
    <w:p>
      <w:r>
        <w:t xml:space="preserve">21. Takahashi H, Katayama M, Michishita K, et al. The A allele of the cholecystokinin type A receptor gene g.420 C&gt;A polymorphism improves growth traits in Amakusa Daioh cross chicken. </w:t>
      </w:r>
      <w:r>
        <w:rPr>
          <w:i/>
        </w:rPr>
        <w:t>Journal of Poultry Science</w:t>
      </w:r>
      <w:r>
        <w:t>. 2019;56:91–95. doi:10.2141/jpsa.0180065.</w:t>
      </w:r>
    </w:p>
    <w:p>
      <w:r>
        <w:t xml:space="preserve">22. Horinouchi S, Nakayama H, Takahashi H. Effect of a single nucleotide polymorphism in the cholecystokinin type A receptor gene on growth traits of the Miyazaki Jitokko chicken. </w:t>
      </w:r>
      <w:r>
        <w:rPr>
          <w:i/>
        </w:rPr>
        <w:t>Journal of Poultry Science</w:t>
      </w:r>
      <w:r>
        <w:t>. 2019;56:96–100. doi:10.2141/jpsa.0180077.</w:t>
      </w:r>
    </w:p>
    <w:p>
      <w:r>
        <w:t xml:space="preserve">23. Yi Z, Li X, Luo W, et al. Feed conversion ratio, residual feed intake and cholecystokinin type A receptor gene polymorphisms are associated with feed intake and average daily gain in a Chinese local chicken population. </w:t>
      </w:r>
      <w:r>
        <w:rPr>
          <w:i/>
        </w:rPr>
        <w:t>Journal of Animal Science and Biotechnology</w:t>
      </w:r>
      <w:r>
        <w:t>. 2018;9:50. doi:10.1186/s40104-018-0261-1.</w:t>
      </w:r>
    </w:p>
    <w:p>
      <w:r>
        <w:t xml:space="preserve">24. Wang Z, Zhou W. Research Note: Fine mapping of sequence variants associated with body weight of Lueyang black-boned chicken in the CCKAR gene. </w:t>
      </w:r>
      <w:r>
        <w:rPr>
          <w:i/>
        </w:rPr>
        <w:t>Poultry Science</w:t>
      </w:r>
      <w:r>
        <w:t>. 2021;100(11):101448. doi:10.1016/j.psj.2021.101448.</w:t>
      </w:r>
    </w:p>
    <w:p>
      <w:r>
        <w:t xml:space="preserve">25. 王哲鹏, 周雯馨, 贺俊锡, 等. 胆囊收缩素A型受体基因序列变异和表达与略阳乌鸡饲料转化率的关联性研究. </w:t>
      </w:r>
      <w:r>
        <w:rPr>
          <w:i/>
        </w:rPr>
        <w:t>中国农业科学</w:t>
      </w:r>
      <w:r>
        <w:t>. 2022;55(22):4539–4549. doi:10.3864/j.issn.0578-1752.2022.22.017.</w:t>
      </w:r>
    </w:p>
    <w:p>
      <w:r>
        <w:t xml:space="preserve">26. Jiao Y, Wilson PW, Reid AMA, et al. The expression of the gastrin/cholecystokinin (GAST/CCK) family and their receptors (CCKAR/CCKBR) in the chicken changes in response to quantitative restriction and reveals a functional role of CCK in the crop. </w:t>
      </w:r>
      <w:r>
        <w:rPr>
          <w:i/>
        </w:rPr>
        <w:t>General and Comparative Endocrinology</w:t>
      </w:r>
      <w:r>
        <w:t>. 2022;321–322:114024. doi:10.1016/j.ygcen.2022.114024.</w:t>
      </w:r>
    </w:p>
    <w:p>
      <w:r>
        <w:t xml:space="preserve">27. Li J, Li S, Zhuansun M, et al. Integrated transcriptomic and metabolomic analysis reveals key regulatory genes and pathways associated with feed conversion efficiency in Tianchang Sanhuang chicken. </w:t>
      </w:r>
      <w:r>
        <w:rPr>
          <w:i/>
        </w:rPr>
        <w:t>Poultry Science</w:t>
      </w:r>
      <w:r>
        <w:t>. 2025;104:105912. doi:10.1016/j.psj.2025.105912.</w:t>
      </w:r>
    </w:p>
    <w:p>
      <w:r>
        <w:t xml:space="preserve">28. Rikimaru K, Sato Y, Ito Y, et al. Is a single nucleotide polymorphism marker in the cholecystokinin A receptor gene practically suitable for improving the growth traits of Hinai-jidori chickens? </w:t>
      </w:r>
      <w:r>
        <w:rPr>
          <w:i/>
        </w:rPr>
        <w:t>Journal of Poultry Science</w:t>
      </w:r>
      <w:r>
        <w:t>. 2020;57:99–106. doi:10.2141/jpsa.0190041.</w:t>
      </w:r>
    </w:p>
    <w:p>
      <w:r>
        <w:t xml:space="preserve">29. Ishikawa S, Asano M, Sakai K, et al. Verification of the effectiveness of an SNP marker in the cholecystokinin type A receptor gene for improving growth traits in Okumino-kojidori chickens. </w:t>
      </w:r>
      <w:r>
        <w:rPr>
          <w:i/>
        </w:rPr>
        <w:t>Journal of Poultry Science</w:t>
      </w:r>
      <w:r>
        <w:t>. 2020;57:107–113. doi:10.2141/jpsa.0190078.</w:t>
      </w:r>
    </w:p>
    <w:p>
      <w:r>
        <w:t xml:space="preserve">30. Momoi Y, Tsusaki T, Yamashita H, et al. The effectiveness of an SNP marker in the cholecystokinin type A receptor gene for improving growth traits in Amakusa Daioh cross chickens. </w:t>
      </w:r>
      <w:r>
        <w:rPr>
          <w:i/>
        </w:rPr>
        <w:t>Journal of Applied Poultry Research</w:t>
      </w:r>
      <w:r>
        <w:t>. 2021;30:100166. doi:10.1016/j.japr.2021.100166.</w:t>
      </w:r>
    </w:p>
    <w:p>
      <w:r>
        <w:t xml:space="preserve">31. Takahashi H. Current status and prospects of genetic resources of native chickens of Japan. </w:t>
      </w:r>
      <w:r>
        <w:rPr>
          <w:i/>
        </w:rPr>
        <w:t>Animals</w:t>
      </w:r>
      <w:r>
        <w:t>. 2025;15(12):1703. doi:10.3390/ani15121703.</w:t>
      </w:r>
    </w:p>
    <w:p>
      <w:r>
        <w:t xml:space="preserve">32. Ma M, Shen M, Qu L, et al. Genome-wide association study for carcase traits in spent hens at 72 weeks old. </w:t>
      </w:r>
      <w:r>
        <w:rPr>
          <w:i/>
        </w:rPr>
        <w:t>Italian Journal of Animal Science</w:t>
      </w:r>
      <w:r>
        <w:t>. 2019;18(1):261–266. doi:10.1080/1828051X.2018.1507626.</w:t>
      </w:r>
    </w:p>
    <w:p>
      <w:r>
        <w:t xml:space="preserve">33. Wang Y, Bu L, Cao X, et al. Genetic Dissection of Growth Traits in a Unique Chicken Advanced Intercross Line. </w:t>
      </w:r>
      <w:r>
        <w:rPr>
          <w:i/>
        </w:rPr>
        <w:t>Frontiers in Genetics</w:t>
      </w:r>
      <w:r>
        <w:t>. 2020;11:894. doi:10.3389/fgene.2020.00894.</w:t>
      </w:r>
    </w:p>
    <w:p>
      <w:r>
        <w:t xml:space="preserve">34. Zhang Y, Wang Y, Li Y, et al. Genome-wide association study reveals the genetic determinism of growth traits in a Gushi-Anka F₂ chicken population. </w:t>
      </w:r>
      <w:r>
        <w:rPr>
          <w:i/>
        </w:rPr>
        <w:t>Heredity</w:t>
      </w:r>
      <w:r>
        <w:t>. 2021;126(2):293–307. doi:10.1038/s41437-020-00365-x.</w:t>
      </w:r>
    </w:p>
    <w:p>
      <w:r>
        <w:t xml:space="preserve">35. Tan X, Liu L, Liu X, et al. Large-scale whole genome sequencing study reveals genetic architecture and key variants for breast muscle weight in native chickens. </w:t>
      </w:r>
      <w:r>
        <w:rPr>
          <w:i/>
        </w:rPr>
        <w:t>Genes</w:t>
      </w:r>
      <w:r>
        <w:t>. 2022;13(1):3. doi:10.3390/genes13010003.</w:t>
      </w:r>
    </w:p>
    <w:p>
      <w:r>
        <w:t xml:space="preserve">36. Zhu X, Cui H, Dong N, et al. Estimation of genetic parameters and genome-wide association study for carcass traits in native chickens. </w:t>
      </w:r>
      <w:r>
        <w:rPr>
          <w:i/>
        </w:rPr>
        <w:t>Animal Bioscience</w:t>
      </w:r>
      <w:r>
        <w:t>. 2025;38(7):1328–1341. doi:10.5713/ab.25.0070.</w:t>
      </w:r>
    </w:p>
    <w:p>
      <w:r>
        <w:t xml:space="preserve">37. Sun CM, Geibel J, Simianer H, et al. Bayesian fine-mapping pinpoints candidate genes and pleiotropic loci of production traits from a chicken backcrossing scheme. </w:t>
      </w:r>
      <w:r>
        <w:rPr>
          <w:i/>
        </w:rPr>
        <w:t>BMC Genomics</w:t>
      </w:r>
      <w:r>
        <w:t>. 2026;27:548. doi:10.1186/s12864-026-13069-z.</w:t>
      </w:r>
    </w:p>
    <w:p>
      <w:r>
        <w:t xml:space="preserve">38. Jiang T, You G, Li H, et al. Mining of important genetic loci and evaluation of genetic effects for growth traits in Baicheng You Chicken. </w:t>
      </w:r>
      <w:r>
        <w:rPr>
          <w:i/>
        </w:rPr>
        <w:t>Poultry Science</w:t>
      </w:r>
      <w:r>
        <w:t>. 2026;105:107063. doi:10.1016/j.psj.2026.107063.</w:t>
      </w:r>
    </w:p>
    <w:p>
      <w:r>
        <w:t xml:space="preserve">39. Ye H, Zhang S, Qi L, et al. Integrated Analysis of SNPs and Structural Variations via High-depth Whole-genome Sequencing Reveals the Genetic Architecture and Optimizes Genomic Prediction in Chickens. </w:t>
      </w:r>
      <w:r>
        <w:rPr>
          <w:i/>
        </w:rPr>
        <w:t>Poultry Science</w:t>
      </w:r>
      <w:r>
        <w:t>. 2026;105(11):107561. doi:10.1016/j.psj.2026.107561.</w:t>
      </w:r>
    </w:p>
    <w:p>
      <w:r>
        <w:t xml:space="preserve">40. Zhong C, Li X, Guan D, et al. Age-dependent genetic architectures of chicken body weight explored by multidimensional GWAS and molQTL analyses. </w:t>
      </w:r>
      <w:r>
        <w:rPr>
          <w:i/>
        </w:rPr>
        <w:t>Journal of Genetics and Genomics</w:t>
      </w:r>
      <w:r>
        <w:t>. 2024;51(12):1423–1434. doi:10.1016/j.jgg.2024.09.003.</w:t>
      </w:r>
    </w:p>
    <w:p>
      <w:r>
        <w:t xml:space="preserve">41. Chen G, Cai J, Zhao C, et al. Identification and Characterization of sQTLs and eQTLs Associated with Growth Traits in Yellow-Feathered Broilers. </w:t>
      </w:r>
      <w:r>
        <w:rPr>
          <w:i/>
        </w:rPr>
        <w:t>Poultry Science</w:t>
      </w:r>
      <w:r>
        <w:t>. 2026;105:106659. doi:10.1016/j.psj.2026.106659.</w:t>
      </w:r>
    </w:p>
    <w:p>
      <w:r>
        <w:t xml:space="preserve">42. Feng G, Zhao J, Lei J, et al. Identification of Igf2bp1 gene family and effect on chicken myoblast proliferation. </w:t>
      </w:r>
      <w:r>
        <w:rPr>
          <w:i/>
        </w:rPr>
        <w:t>Journal of Applied Animal Research</w:t>
      </w:r>
      <w:r>
        <w:t>. 2021;49(1):194–202. doi:10.1080/09712119.2021.1932916.</w:t>
      </w:r>
    </w:p>
    <w:p>
      <w:r>
        <w:t xml:space="preserve">43. Luo J, Yang Z, Li X, et al. High muscle expression of IGF2BP1 gene promotes proliferation and differentiation of chicken primary myoblasts: results of transcriptome analysis. </w:t>
      </w:r>
      <w:r>
        <w:rPr>
          <w:i/>
        </w:rPr>
        <w:t>Animals</w:t>
      </w:r>
      <w:r>
        <w:t>. 2024;14(14):2024. doi:10.3390/ani14142024.</w:t>
      </w:r>
    </w:p>
    <w:p>
      <w:r>
        <w:t xml:space="preserve">44. Wang S, Zhao J, Wang L, et al. METTL21C mediates lysine trimethylation of IGF2BP1 to regulate chicken myoblast proliferation. </w:t>
      </w:r>
      <w:r>
        <w:rPr>
          <w:i/>
        </w:rPr>
        <w:t>British Poultry Science</w:t>
      </w:r>
      <w:r>
        <w:t>. 2023;64(1):74–80. doi:10.1080/00071668.2022.2121639.</w:t>
      </w:r>
    </w:p>
    <w:p>
      <w:r>
        <w:t xml:space="preserve">45. Chen J, Ren X, Li L, et al. Integrative Analyses of mRNA Expression Profile Reveal the Involvement of IGF2BP1 in Chicken Adipogenesis. </w:t>
      </w:r>
      <w:r>
        <w:rPr>
          <w:i/>
        </w:rPr>
        <w:t>International Journal of Molecular Sciences</w:t>
      </w:r>
      <w:r>
        <w:t>. 2019;20(12):2923. doi:10.3390/ijms20122923.</w:t>
      </w:r>
    </w:p>
    <w:p>
      <w:r>
        <w:t>46. 河南农业大学. 与鸡体尺性状相关的IGF2BP1基因分子标记及其应用和育种方法：中国，CN115198022B[P]. 2024-05-14.</w:t>
      </w:r>
    </w:p>
    <w:p>
      <w:r>
        <w:t xml:space="preserve">47. 刘阳, 马浩翔, 王文韬, 等. 鸡生长性状相关SH3RF2、LncFAM及IGF2BP1基因SV变异的聚合效应分析. </w:t>
      </w:r>
      <w:r>
        <w:rPr>
          <w:i/>
        </w:rPr>
        <w:t>中国家禽</w:t>
      </w:r>
      <w:r>
        <w:t>. 2025;47(1):8–14. doi:10.16372/j.issn.1004-6364.2025.01.002.</w:t>
      </w:r>
    </w:p>
    <w:p>
      <w:r>
        <w:t xml:space="preserve">48. Mebratie W, Madsen P, Hawken R, et al. Genetic parameters for body weight and different definitions of residual feed intake in broiler chickens. </w:t>
      </w:r>
      <w:r>
        <w:rPr>
          <w:i/>
        </w:rPr>
        <w:t>Genetics Selection Evolution</w:t>
      </w:r>
      <w:r>
        <w:t>. 2019;51(1):53. doi:10.1186/s12711-019-0494-2.</w:t>
      </w:r>
    </w:p>
    <w:p>
      <w:r>
        <w:t xml:space="preserve">49. Luo N, Liu P, Wei L, et al. Identifying New Loci and Genes Associated with Feed Efficiency in Broilers. </w:t>
      </w:r>
      <w:r>
        <w:rPr>
          <w:i/>
        </w:rPr>
        <w:t>International Journal of Molecular Sciences</w:t>
      </w:r>
      <w:r>
        <w:t>. 2025;26(17):8492. doi:10.3390/ijms26178492.</w:t>
      </w:r>
    </w:p>
    <w:p>
      <w:r>
        <w:t xml:space="preserve">50. Yang R, Xu Z, Wang Q, et al. Genome-wide association study and genomic prediction for growth traits in yellow-plumage chicken using genotyping-by-sequencing. </w:t>
      </w:r>
      <w:r>
        <w:rPr>
          <w:i/>
        </w:rPr>
        <w:t>Genetics Selection Evolution</w:t>
      </w:r>
      <w:r>
        <w:t>. 2021;53:82. doi:10.1186/s12711-021-00672-9.</w:t>
      </w:r>
    </w:p>
    <w:p>
      <w:r>
        <w:t xml:space="preserve">51. Lei MM, Nie QH, Peng X, et al. Single nucleotide polymorphisms of the chicken insulin-like factor binding protein 2 gene associated with chicken growth and carcass traits. </w:t>
      </w:r>
      <w:r>
        <w:rPr>
          <w:i/>
        </w:rPr>
        <w:t>Poultry Science</w:t>
      </w:r>
      <w:r>
        <w:t>. 2005;84(8):1191–1198. doi:10.1093/ps/84.8.1191.</w:t>
      </w:r>
    </w:p>
    <w:p>
      <w:r>
        <w:t xml:space="preserve">52. Li ZH, Li H, Zhang H, et al. Identification of a single nucleotide polymorphism of the insulin-like growth factor binding protein 2 gene and its association with growth and body composition traits in the chicken. </w:t>
      </w:r>
      <w:r>
        <w:rPr>
          <w:i/>
        </w:rPr>
        <w:t>Journal of Animal Science</w:t>
      </w:r>
      <w:r>
        <w:t>. 2006;84(11):2902–2906. doi:10.2527/jas.2006-144.</w:t>
      </w:r>
    </w:p>
    <w:p>
      <w:r>
        <w:t xml:space="preserve">53. Leng L, Wang S, Li Z, et al. A polymorphism in the 3′-flanking region of insulin-like growth factor binding protein 2 gene associated with abdominal fat in chickens. </w:t>
      </w:r>
      <w:r>
        <w:rPr>
          <w:i/>
        </w:rPr>
        <w:t>Poultry Science</w:t>
      </w:r>
      <w:r>
        <w:t>. 2009;88(5):938–942. doi:10.3382/ps.2008-00453.</w:t>
      </w:r>
    </w:p>
    <w:p>
      <w:r>
        <w:t xml:space="preserve">54. 于莹莹, 乔书培, 孙婴宁, 等. 鸡IGFBP2基因3′UTR区1196C&gt;A单核苷酸多态性的功能性鉴定及分析. </w:t>
      </w:r>
      <w:r>
        <w:rPr>
          <w:i/>
        </w:rPr>
        <w:t>生物化学与生物物理进展</w:t>
      </w:r>
      <w:r>
        <w:t>. 2014;41(11):1163–1172. doi:10.3724/SP.J.1206.2014.00062. https://www.pibb.ac.cn/pibbcn/article/abstract/20140062.</w:t>
      </w:r>
    </w:p>
    <w:p>
      <w:r>
        <w:t xml:space="preserve">55. Mu Y, Sun Y, Leng L, et al. Effect of IGFBP2 Overexpression on the Expression of Fatty Acid Synthesis Genes in Primary Cultured Chicken Hepatocytes. </w:t>
      </w:r>
      <w:r>
        <w:rPr>
          <w:i/>
        </w:rPr>
        <w:t>The Journal of Poultry Science</w:t>
      </w:r>
      <w:r>
        <w:t>. 2019;56(3):177–185. doi:10.2141/jpsa.0180114.</w:t>
      </w:r>
    </w:p>
    <w:p>
      <w:r>
        <w:t>56. 东北农业大学. 一种鉴别或选育低脂系肉鸡的InDel分子标记及其应用: CN118562974B[P]. 2025-04-01. https://patents.google.com/patent/CN118562974B/zh.</w:t>
      </w:r>
    </w:p>
    <w:p>
      <w:r>
        <w:t xml:space="preserve">57. Xue Q, Zhang G, Li T, et al. Transcriptomic profile of leg muscle during early growth in chicken. </w:t>
      </w:r>
      <w:r>
        <w:rPr>
          <w:i/>
        </w:rPr>
        <w:t>PLOS ONE</w:t>
      </w:r>
      <w:r>
        <w:t>. 2017;12(3):e0173824. doi:10.1371/journal.pone.0173824.</w:t>
      </w:r>
    </w:p>
    <w:p>
      <w:r>
        <w:t xml:space="preserve">58. Yang X, Ma B, Zhao Q, et al. High temporal-resolution transcriptome landscape reveals the biological process and regulatory genes of melanin deposition in breast muscle of Silkie chickens during embryonic development. </w:t>
      </w:r>
      <w:r>
        <w:rPr>
          <w:i/>
        </w:rPr>
        <w:t>BMC Genomics</w:t>
      </w:r>
      <w:r>
        <w:t>. 2025;26(1):476. doi:10.1186/s12864-025-11654-2.</w:t>
      </w:r>
    </w:p>
    <w:p>
      <w:r>
        <w:t xml:space="preserve">59. Xiong X, Liu X, Zhu X, et al. A mutation in PHKG1 causes high drip loss and low meat quality in Chinese Ningdu yellow chickens. </w:t>
      </w:r>
      <w:r>
        <w:rPr>
          <w:i/>
        </w:rPr>
        <w:t>Poultry Science</w:t>
      </w:r>
      <w:r>
        <w:t>. 2022;101(1):101556. doi:10.1016/j.psj.2021.101556.</w:t>
      </w:r>
    </w:p>
    <w:p>
      <w:r>
        <w:t xml:space="preserve">60. Hobson-Frohock A, Land DG, Griffiths NM, et al. Egg taints: association with trimethylamine. </w:t>
      </w:r>
      <w:r>
        <w:rPr>
          <w:i/>
        </w:rPr>
        <w:t>Nature</w:t>
      </w:r>
      <w:r>
        <w:t>. 1973;243:304–305. doi:10.1038/243304a0.</w:t>
      </w:r>
    </w:p>
    <w:p>
      <w:r>
        <w:t xml:space="preserve">61. Pearson AW, Butler EJ. Effects of selective breeding and age on the ability of the domestic fowl (Gallus domesticus) to oxidize trimethylamine. </w:t>
      </w:r>
      <w:r>
        <w:rPr>
          <w:i/>
        </w:rPr>
        <w:t>Comparative Biochemistry and Physiology Part C: Comparative Pharmacology</w:t>
      </w:r>
      <w:r>
        <w:t>. 1983;76(1):67–74. doi:10.1016/0742-8413(83)90045-2.</w:t>
      </w:r>
    </w:p>
    <w:p>
      <w:r>
        <w:t xml:space="preserve">62. Honkatukia M, Reese K, Preisinger R, et al. Fishy taint in chicken eggs is associated with a substitution within a conserved motif of the </w:t>
      </w:r>
      <w:r>
        <w:rPr>
          <w:i/>
        </w:rPr>
        <w:t>FMO3</w:t>
      </w:r>
      <w:r>
        <w:t xml:space="preserve"> gene. </w:t>
      </w:r>
      <w:r>
        <w:rPr>
          <w:i/>
        </w:rPr>
        <w:t>Genomics</w:t>
      </w:r>
      <w:r>
        <w:t>. 2005;86:225–232. doi:10.1016/j.ygeno.2005.04.005.</w:t>
      </w:r>
    </w:p>
    <w:p>
      <w:r>
        <w:t xml:space="preserve">63. Wang J, Yue HY, Xia ZQ, et al. Effect of dietary choline supplementation under different flavin-containing monooxygenase 3 genotypes on trimethylamine metabolism in laying hens. </w:t>
      </w:r>
      <w:r>
        <w:rPr>
          <w:i/>
        </w:rPr>
        <w:t>Poultry Science</w:t>
      </w:r>
      <w:r>
        <w:t>. 2012;91:2221–2228. doi:10.3382/ps.2011-02074.</w:t>
      </w:r>
    </w:p>
    <w:p>
      <w:r>
        <w:t xml:space="preserve">64. Ward AK, Classen HL, Buchanan FC. Fishy-egg tainting is recessively inherited when brown-shelled layers are fed canola meal. </w:t>
      </w:r>
      <w:r>
        <w:rPr>
          <w:i/>
        </w:rPr>
        <w:t>Poultry Science</w:t>
      </w:r>
      <w:r>
        <w:t>. 2009;88:714–721. doi:10.3382/ps.2008-00430.</w:t>
      </w:r>
    </w:p>
    <w:p>
      <w:r>
        <w:t xml:space="preserve">65. Wang J, Wu SG, Zhang HJ, et al. Trimethylamine deposition in the egg yolk from laying hens with different FMO3 genotypes. </w:t>
      </w:r>
      <w:r>
        <w:rPr>
          <w:i/>
        </w:rPr>
        <w:t>Poultry Science</w:t>
      </w:r>
      <w:r>
        <w:t>. 2013;92(3):746–752. doi:10.3382/ps.2012-02313.</w:t>
      </w:r>
    </w:p>
    <w:p>
      <w:r>
        <w:t xml:space="preserve">66. Wang J, Long C, Zhang H, et al. Genetic variant in flavin-containing monooxygenase 3 alters lipid metabolism in laying hens in a diet-specific manner. </w:t>
      </w:r>
      <w:r>
        <w:rPr>
          <w:i/>
        </w:rPr>
        <w:t>International Journal of Biological Sciences</w:t>
      </w:r>
      <w:r>
        <w:t>. 2016;12:1382–1393. doi:10.7150/ijbs.16472.</w:t>
      </w:r>
    </w:p>
    <w:p>
      <w:r>
        <w:t xml:space="preserve">67. Song J, Huang M, Shi X, et al. T329S Mutation in the FMO3 Gene Alleviates Lipid Metabolic Diseases in Chickens in the Late Laying Period. </w:t>
      </w:r>
      <w:r>
        <w:rPr>
          <w:i/>
        </w:rPr>
        <w:t>Animals</w:t>
      </w:r>
      <w:r>
        <w:t>. 2022;12(1):48. doi:10.3390/ani12010048.</w:t>
      </w:r>
    </w:p>
    <w:p>
      <w:r>
        <w:t xml:space="preserve">68. Song J, Shi X, Li X, et al. Associations of the T329S polymorphism in flavin-containing monooxygenase 3 with atherosclerosis and fatty liver syndrome in 90-week-old hens. </w:t>
      </w:r>
      <w:r>
        <w:rPr>
          <w:i/>
        </w:rPr>
        <w:t>Frontiers in Veterinary Science</w:t>
      </w:r>
      <w:r>
        <w:t>. 2022;9:868602. doi:10.3389/fvets.2022.868602.</w:t>
      </w:r>
    </w:p>
    <w:p>
      <w:r>
        <w:t xml:space="preserve">69. Shi X, Xuan L, Lai J, et al. Effects of Trimethylamine Concentrations in Hatching Eggs on Chick Quality in Dwarf Hens. </w:t>
      </w:r>
      <w:r>
        <w:rPr>
          <w:i/>
        </w:rPr>
        <w:t>Animals</w:t>
      </w:r>
      <w:r>
        <w:t>. 2025;15(14):2121. doi:10.3390/ani15142121.</w:t>
      </w:r>
    </w:p>
    <w:p>
      <w:r>
        <w:t xml:space="preserve">70. Honkatukia M. </w:t>
      </w:r>
      <w:r>
        <w:rPr>
          <w:i/>
        </w:rPr>
        <w:t>Molecular genetics of chicken egg quality</w:t>
      </w:r>
      <w:r>
        <w:t xml:space="preserve"> [doctoral dissertation, University of Turku]. MTT Science 14. Jokioinen: MTT Agrifood Research Finland; 2010.</w:t>
      </w:r>
    </w:p>
    <w:p>
      <w:r>
        <w:t xml:space="preserve">71. Wang Z, Qu L, Yao J, et al. An EAV-HP Insertion in 5′ Flanking Region of SLCO1B3 Causes Blue Eggshell in the Chicken. </w:t>
      </w:r>
      <w:r>
        <w:rPr>
          <w:i/>
        </w:rPr>
        <w:t>PLoS Genetics</w:t>
      </w:r>
      <w:r>
        <w:t>. 2013;9(1):e1003183. doi:10.1371/journal.pgen.1003183.</w:t>
      </w:r>
    </w:p>
    <w:p>
      <w:r>
        <w:t xml:space="preserve">72. Wragg D, Mwacharo JM, Alcalde JA, et al. Endogenous Retrovirus EAV-HP Linked to Blue Egg Phenotype in Mapuche Fowl. </w:t>
      </w:r>
      <w:r>
        <w:rPr>
          <w:i/>
        </w:rPr>
        <w:t>PLoS ONE</w:t>
      </w:r>
      <w:r>
        <w:t>. 2013;8(8):e71393. doi:10.1371/journal.pone.0071393.</w:t>
      </w:r>
    </w:p>
    <w:p>
      <w:r>
        <w:t xml:space="preserve">73. Chen Q, Wang Z. A new molecular mechanism supports that blue-greenish egg color evolved independently across chicken breeds. </w:t>
      </w:r>
      <w:r>
        <w:rPr>
          <w:i/>
        </w:rPr>
        <w:t>Poultry Science</w:t>
      </w:r>
      <w:r>
        <w:t>. 2022;101(12):102223. doi:10.1016/j.psj.2022.102223.</w:t>
      </w:r>
    </w:p>
    <w:p>
      <w:r>
        <w:t xml:space="preserve">74. Wang Z, Chen Q, Wang Y, et al. Refine localizations of functional variants affecting eggshell color of Lueyang black-boned chicken in the SLCO1B3. </w:t>
      </w:r>
      <w:r>
        <w:rPr>
          <w:i/>
        </w:rPr>
        <w:t>Poultry Science</w:t>
      </w:r>
      <w:r>
        <w:t>. 2024;103(1):103212. doi:10.1016/j.psj.2023.103212.</w:t>
      </w:r>
    </w:p>
    <w:p>
      <w:r>
        <w:t xml:space="preserve">75. Cui HX, Shen QC, Zheng MQ, et al. A selection method of chickens with blue-eggshell and dwarf traits by molecular marker-assisted selection. </w:t>
      </w:r>
      <w:r>
        <w:rPr>
          <w:i/>
        </w:rPr>
        <w:t>Poultry Science</w:t>
      </w:r>
      <w:r>
        <w:t>. 2019;98(8):3114–3118. doi:10.3382/ps/pez069.</w:t>
      </w:r>
    </w:p>
    <w:p>
      <w:r>
        <w:t xml:space="preserve">76. Beranova K, Jozova E, Anderle V, et al. Molecular tool for efficient breeding of DOMINANT Greenshell laying hens and significant refinement of phenotypic selection focused on eggshell color. </w:t>
      </w:r>
      <w:r>
        <w:rPr>
          <w:i/>
        </w:rPr>
        <w:t>Poultry Science</w:t>
      </w:r>
      <w:r>
        <w:t>. 2024;103(12):104425. doi:10.1016/j.psj.2024.104425.</w:t>
      </w:r>
    </w:p>
    <w:p>
      <w:r>
        <w:t xml:space="preserve">77. Wang H, Cahaner A, Zhang L, et al. Genetics and breeding of a black-bone and blue eggshell chicken line. 4. Responses to 3 cycles of selection for blue or green eggshell. </w:t>
      </w:r>
      <w:r>
        <w:rPr>
          <w:i/>
        </w:rPr>
        <w:t>Poultry Science</w:t>
      </w:r>
      <w:r>
        <w:t>. 2026;105(3):106381. doi:10.1016/j.psj.2026.106381.</w:t>
      </w:r>
    </w:p>
    <w:p>
      <w:r>
        <w:t xml:space="preserve">78. Wang D, Tan L, Zhi Y, et al. Genome-wide variation study and inter-tissue communication analysis unveil regulatory mechanisms of egg-laying performance in chickens. </w:t>
      </w:r>
      <w:r>
        <w:rPr>
          <w:i/>
        </w:rPr>
        <w:t>Nature Communications</w:t>
      </w:r>
      <w:r>
        <w:t>. 2024;15(1):7069. doi:10.1038/s41467-024-50809-9.</w:t>
      </w:r>
    </w:p>
    <w:p>
      <w:r>
        <w:t xml:space="preserve">79. Wang D, Zhu Y, Dong J, et al. Exploring the functional variations of key candidate genes affecting egg production by hypothalamic-pituitary-ovarian axis in chickens. </w:t>
      </w:r>
      <w:r>
        <w:rPr>
          <w:i/>
        </w:rPr>
        <w:t>Poultry Science</w:t>
      </w:r>
      <w:r>
        <w:t>. 2025;104(5):105027. doi:10.1016/j.psj.2025.105027.</w:t>
      </w:r>
    </w:p>
    <w:p>
      <w:r>
        <w:t xml:space="preserve">80. Briles WE, Stone HA, Cole RK. Marek's disease: effects of B histocompatibility alloalleles in resistant and susceptible chicken lines. </w:t>
      </w:r>
      <w:r>
        <w:rPr>
          <w:i/>
        </w:rPr>
        <w:t>Science</w:t>
      </w:r>
      <w:r>
        <w:t>. 1977;195(4274):193–195. doi:10.1126/science.831269.</w:t>
      </w:r>
    </w:p>
    <w:p>
      <w:r>
        <w:t xml:space="preserve">81. Briles WE, Briles RW, Taffs RE, et al. Resistance to a malignant lymphoma in chickens is mapped to subregion of major histocompatibility (B) complex. </w:t>
      </w:r>
      <w:r>
        <w:rPr>
          <w:i/>
        </w:rPr>
        <w:t>Science</w:t>
      </w:r>
      <w:r>
        <w:t>. 1983;219(4587):977–979. doi:10.1126/science.6823560.</w:t>
      </w:r>
    </w:p>
    <w:p>
      <w:r>
        <w:t xml:space="preserve">82. Goto RM, Wang Y, Taylor RL Jr, et al. BG1 has a major role in MHC-linked resistance to malignant lymphoma in the chicken. </w:t>
      </w:r>
      <w:r>
        <w:rPr>
          <w:i/>
        </w:rPr>
        <w:t>Proceedings of the National Academy of Sciences of the United States of America</w:t>
      </w:r>
      <w:r>
        <w:t>. 2009;106(39):16740–16745. doi:10.1073/pnas.0906776106.</w:t>
      </w:r>
    </w:p>
    <w:p>
      <w:r>
        <w:t xml:space="preserve">83. Luu AH, Budi T, Singchat W, et al. Ancestral BG1 Alleles and Structural Conservation Ensure Immune-Related Genetic Resilience in Southeast Asian Chicken Lineages. </w:t>
      </w:r>
      <w:r>
        <w:rPr>
          <w:i/>
        </w:rPr>
        <w:t>Animals</w:t>
      </w:r>
      <w:r>
        <w:t>. 2026;16(9):1398. doi:10.3390/ani16091398.</w:t>
      </w:r>
    </w:p>
    <w:p>
      <w:r>
        <w:t xml:space="preserve">84. Bertzbach LD, Tregaskes CA, Martin RJ, et al. The diverse major histocompatibility complex haplotypes of a common commercial chicken line and their effect on Marek’s disease virus pathogenesis and tumorigenesis. </w:t>
      </w:r>
      <w:r>
        <w:rPr>
          <w:i/>
        </w:rPr>
        <w:t>Frontiers in Immunology</w:t>
      </w:r>
      <w:r>
        <w:t>. 2022;13:908305. doi:10.3389/fimmu.2022.908305.</w:t>
      </w:r>
    </w:p>
    <w:p>
      <w:r>
        <w:t xml:space="preserve">85. Fulton JE, Arango J, Wolc A. Effect of MHC haplotype on mortality due to Marek’s disease in commercial laying hens. </w:t>
      </w:r>
      <w:r>
        <w:rPr>
          <w:i/>
        </w:rPr>
        <w:t>Animals</w:t>
      </w:r>
      <w:r>
        <w:t>. 2025;15(11):1647. doi:10.3390/ani15111647.</w:t>
      </w:r>
    </w:p>
    <w:p>
      <w:r>
        <w:t xml:space="preserve">86. Fulton JE, Arango J, Arthur JA, et al. Improving the outcome of a Marek’s disease challenge in multiple lines of egg type chickens. </w:t>
      </w:r>
      <w:r>
        <w:rPr>
          <w:i/>
        </w:rPr>
        <w:t>Avian Diseases</w:t>
      </w:r>
      <w:r>
        <w:t>. 2013;57(2 Suppl):519–522. doi:10.1637/10408-100212-Reg.1.</w:t>
      </w:r>
    </w:p>
    <w:p>
      <w:r>
        <w:t xml:space="preserve">87. Arango J, Fulton JE. Commercial breeding for disease resistance in poultry: The breeder’s perspective. </w:t>
      </w:r>
      <w:r>
        <w:rPr>
          <w:i/>
        </w:rPr>
        <w:t>Poultry Science</w:t>
      </w:r>
      <w:r>
        <w:t>. 2026;105(1):106188. doi:10.1016/j.psj.2025.106188.</w:t>
      </w:r>
    </w:p>
    <w:p>
      <w:r>
        <w:t xml:space="preserve">88. Elleder D, Melder DC, Trejbalová K, et al. Two different molecular defects in the Tva receptor gene explain the resistance of two tvaᵣ lines of chickens to infection by subgroup A avian sarcoma and leukosis viruses. </w:t>
      </w:r>
      <w:r>
        <w:rPr>
          <w:i/>
        </w:rPr>
        <w:t>Journal of Virology</w:t>
      </w:r>
      <w:r>
        <w:t>. 2004;78(24):13489–13500. doi:10.1128/JVI.78.24.13489-13500.2004.</w:t>
      </w:r>
    </w:p>
    <w:p>
      <w:r>
        <w:t xml:space="preserve">89. Reinišová M, Plachý J, Trejbalová K, et al. Intronic deletions that disrupt mRNA splicing of the tva receptor gene result in decreased susceptibility to infection by avian sarcoma and leukosis virus subgroup A. </w:t>
      </w:r>
      <w:r>
        <w:rPr>
          <w:i/>
        </w:rPr>
        <w:t>Journal of Virology</w:t>
      </w:r>
      <w:r>
        <w:t>. 2012;86(4):2021–2030. doi:10.1128/JVI.05771-11.</w:t>
      </w:r>
    </w:p>
    <w:p>
      <w:r>
        <w:t xml:space="preserve">90. Chen W, Liu Y, Li H, et al. Intronic deletions of tva receptor gene decrease the susceptibility to infection by avian sarcoma and leukosis virus subgroup A. </w:t>
      </w:r>
      <w:r>
        <w:rPr>
          <w:i/>
        </w:rPr>
        <w:t>Scientific Reports</w:t>
      </w:r>
      <w:r>
        <w:t>. 2015;5:9900. doi:10.1038/srep09900.</w:t>
      </w:r>
    </w:p>
    <w:p>
      <w:r>
        <w:t xml:space="preserve">91. Přikryl D, Plachý J, Kučerová D, et al. The novel avian leukosis virus subgroup K shares its cellular receptor with subgroup A. </w:t>
      </w:r>
      <w:r>
        <w:rPr>
          <w:i/>
        </w:rPr>
        <w:t>Journal of Virology</w:t>
      </w:r>
      <w:r>
        <w:t>. 2019;93(17):e00580–19. doi:10.1128/JVI.00580-19.</w:t>
      </w:r>
    </w:p>
    <w:p>
      <w:r>
        <w:t xml:space="preserve">92. Gáliková E, Přikryl D, Prost S, et al. Single Amino Acid Residue W33 of tva Receptor Is Critical for Viral Entry and High-Affinity Binding of Avian Leukosis Virus Subgroup K. </w:t>
      </w:r>
      <w:r>
        <w:rPr>
          <w:i/>
        </w:rPr>
        <w:t>Viruses</w:t>
      </w:r>
      <w:r>
        <w:t>. 2025;17(5):709. doi:10.3390/v17050709.</w:t>
      </w:r>
    </w:p>
    <w:p>
      <w:r>
        <w:t xml:space="preserve">93. Xu H, Zuo K, Kuang Z, et al. Insertion/deletion mutations within tva receptor gene confer chicken resistance to infection by avian leukosis virus subgroups A and K. </w:t>
      </w:r>
      <w:r>
        <w:rPr>
          <w:i/>
        </w:rPr>
        <w:t>Poultry Science</w:t>
      </w:r>
      <w:r>
        <w:t>. 2025;104(4):104949. doi:10.1016/j.psj.2025.104949.</w:t>
      </w:r>
    </w:p>
    <w:p>
      <w:r>
        <w:t xml:space="preserve">94. Xu H, Chen H, Yang M, et al. Genetic mutations within tva receptor gene confer resistance to ALV-A and ALV-K infection in chickens. </w:t>
      </w:r>
      <w:r>
        <w:rPr>
          <w:i/>
        </w:rPr>
        <w:t>Poultry Science</w:t>
      </w:r>
      <w:r>
        <w:t>. 2026;105(11):107497. doi:10.1016/j.psj.2026.107497.</w:t>
      </w:r>
    </w:p>
    <w:p>
      <w:r>
        <w:t xml:space="preserve">95. Koslová A, Trefil P, Mucksová J, et al. Knock-out of retrovirus receptor gene Tva in the chicken confers resistance to avian leukosis virus subgroups A and K and affects cobalamin (vitamin B12)-dependent level of methylmalonic acid. </w:t>
      </w:r>
      <w:r>
        <w:rPr>
          <w:i/>
        </w:rPr>
        <w:t>Viruses</w:t>
      </w:r>
      <w:r>
        <w:t>. 2021;13(12):2504. doi:10.3390/v13122504.</w:t>
      </w:r>
    </w:p>
    <w:p>
      <w:r>
        <w:t xml:space="preserve">96. Shin YJ, Kim JK, Woo SJ, et al. Salvage pathway of vitamin B12 absorption in chickens with mutant tumor virus a receptor. </w:t>
      </w:r>
      <w:r>
        <w:rPr>
          <w:i/>
        </w:rPr>
        <w:t>Poultry Science</w:t>
      </w:r>
      <w:r>
        <w:t>. 2025;104(2):104744. doi:10.1016/j.psj.2024.104744.</w:t>
      </w:r>
    </w:p>
    <w:p>
      <w:r>
        <w:t xml:space="preserve">97. Lee KY, Shin YJ, Han JY. Genetic polymorphism of avian leukosis virus host receptors in Korean native chickens and establishment of resistant line. </w:t>
      </w:r>
      <w:r>
        <w:rPr>
          <w:i/>
        </w:rPr>
        <w:t>Korean Journal of Poultry Science</w:t>
      </w:r>
      <w:r>
        <w:t>. 2022;49(2):99–108. doi:10.5536/KJPS.2022.49.2.99.</w:t>
      </w:r>
    </w:p>
    <w:p>
      <w:r>
        <w:t xml:space="preserve">98. Xiao G, Chen W, Chen X, et al. Generation of chimeric chickens resistant to infection by avian leukemia virus subgroups A, B, D, E, and K through primordial germ cells. </w:t>
      </w:r>
      <w:r>
        <w:rPr>
          <w:i/>
        </w:rPr>
        <w:t>Poultry Science</w:t>
      </w:r>
      <w:r>
        <w:t>. 2026;105(5):106642. doi:10.1016/j.psj.2026.106642.</w:t>
      </w:r>
    </w:p>
    <w:p>
      <w:r>
        <w:t xml:space="preserve">99. Long JS, Idoko-Akoh A, Mistry B, et al. Species specific differences in use of ANP32 proteins by influenza A virus. </w:t>
      </w:r>
      <w:r>
        <w:rPr>
          <w:i/>
        </w:rPr>
        <w:t>eLife</w:t>
      </w:r>
      <w:r>
        <w:t>. 2019;8:e45066. doi:10.7554/eLife.45066.</w:t>
      </w:r>
    </w:p>
    <w:p>
      <w:r>
        <w:t xml:space="preserve">100. Idoko-Akoh A, Goldhill DH, Sheppard CM, et al. Creating resistance to avian influenza infection through genome editing of the ANP32 gene family. </w:t>
      </w:r>
      <w:r>
        <w:rPr>
          <w:i/>
        </w:rPr>
        <w:t>Nature Communications</w:t>
      </w:r>
      <w:r>
        <w:t>. 2023;14:6136. doi:10.1038/s41467-023-41476-3.</w:t>
      </w:r>
    </w:p>
    <w:p>
      <w:r>
        <w:t xml:space="preserve">101. Fujimoto Y, Ozaki K, Ono E. Chicken ANP32A-independent replication of highly pathogenic avian influenza viruses potentially leads to mammalian adaptation-related amino acid substitutions in viral PB2 and PA proteins. </w:t>
      </w:r>
      <w:r>
        <w:rPr>
          <w:i/>
        </w:rPr>
        <w:t>Journal of Virology</w:t>
      </w:r>
      <w:r>
        <w:t>. 2025;99(1):e01840–24. doi:10.1128/jvi.01840-24.</w:t>
      </w:r>
    </w:p>
    <w:p>
      <w:r>
        <w:t xml:space="preserve">102. Kim J, Agulto TN, Cho E, et al. Screening of genetic variation for the ANP32A gene in Korean native chickens. </w:t>
      </w:r>
      <w:r>
        <w:rPr>
          <w:i/>
        </w:rPr>
        <w:t>Journal of Animal Breeding and Genomics</w:t>
      </w:r>
      <w:r>
        <w:t>. 2025;9(2):49–55. doi:10.12972/jabng.2025.9.2.1.</w:t>
      </w:r>
    </w:p>
    <w:p>
      <w:r>
        <w:t xml:space="preserve">103. Ko JH, Jin HK, Asano A, et al. Polymorphisms and the differential antiviral activity of the chicken Mx gene. </w:t>
      </w:r>
      <w:r>
        <w:rPr>
          <w:i/>
        </w:rPr>
        <w:t>Genome Research</w:t>
      </w:r>
      <w:r>
        <w:t>. 2002;12:595–601. doi:10.1101/gr.210702.</w:t>
      </w:r>
    </w:p>
    <w:p>
      <w:r>
        <w:t xml:space="preserve">104. Ko JH, Takada A, Mitsuhashi T, et al. Native antiviral specificity of chicken Mx protein depends on amino acid variation at position 631. </w:t>
      </w:r>
      <w:r>
        <w:rPr>
          <w:i/>
        </w:rPr>
        <w:t>Animal Genetics</w:t>
      </w:r>
      <w:r>
        <w:t>. 2004;35:119–122. doi:10.1111/j.1365-2052.2004.01096.x.</w:t>
      </w:r>
    </w:p>
    <w:p>
      <w:r>
        <w:t xml:space="preserve">105. Benfield CTO, Lyall JW, Kochs G, et al. Asparagine 631 variants of the chicken Mx protein do not inhibit influenza virus replication in primary chicken embryo fibroblasts or in vitro surrogate assays. </w:t>
      </w:r>
      <w:r>
        <w:rPr>
          <w:i/>
        </w:rPr>
        <w:t>Journal of Virology</w:t>
      </w:r>
      <w:r>
        <w:t>. 2008;82(15):7533–7539. doi:10.1128/JVI.00185-08.</w:t>
      </w:r>
    </w:p>
    <w:p>
      <w:r>
        <w:t xml:space="preserve">106. Schusser B, Reuter A, von der Malsburg A, et al. Mx is dispensable for interferon-mediated resistance of chicken cells against influenza A virus. </w:t>
      </w:r>
      <w:r>
        <w:rPr>
          <w:i/>
        </w:rPr>
        <w:t>Journal of Virology</w:t>
      </w:r>
      <w:r>
        <w:t>. 2011;85(16):8307–8315. doi:10.1128/JVI.00535-11.</w:t>
      </w:r>
    </w:p>
    <w:p>
      <w:r>
        <w:t xml:space="preserve">107. Sironi L, Williams JL, Moreno-Martin AM, et al. Susceptibility of different chicken lines to H7N1 highly pathogenic avian influenza virus and the role of Mx gene polymorphism coding amino acid position 631. </w:t>
      </w:r>
      <w:r>
        <w:rPr>
          <w:i/>
        </w:rPr>
        <w:t>Virology</w:t>
      </w:r>
      <w:r>
        <w:t>. 2008;380:152–156. doi:10.1016/j.virol.2008.07.022.</w:t>
      </w:r>
    </w:p>
    <w:p>
      <w:r>
        <w:t xml:space="preserve">108. Ewald SJ, Kapczynski DR, Livant EJ, et al. Association of Mx1 Asn631 variant alleles with reductions in morbidity, early mortality, viral shedding, and cytokine responses in chickens infected with a highly pathogenic avian influenza virus. </w:t>
      </w:r>
      <w:r>
        <w:rPr>
          <w:i/>
        </w:rPr>
        <w:t>Immunogenetics</w:t>
      </w:r>
      <w:r>
        <w:t>. 2011;63:363–375. doi:10.1007/s00251-010-0509-1.</w:t>
      </w:r>
    </w:p>
    <w:p>
      <w:r>
        <w:t xml:space="preserve">109. Wang Y, Brahmakshatriya V, Lupiani B, et al. Associations of chicken Mx1 polymorphism with antiviral responses in avian influenza virus infected embryos and broilers. </w:t>
      </w:r>
      <w:r>
        <w:rPr>
          <w:i/>
        </w:rPr>
        <w:t>Poultry Science</w:t>
      </w:r>
      <w:r>
        <w:t>. 2012;91:3019–3024. doi:10.3382/ps.2012-02471.</w:t>
      </w:r>
    </w:p>
    <w:p>
      <w:r>
        <w:t xml:space="preserve">110. Matsuu A, Kobayashi T, Patchimasiri T, et al. Pathogenicity of Genetically Similar, H5N1 Highly Pathogenic Avian Influenza Virus Strains in Chicken and the Differences in Sensitivity among Different Chicken Breeds. </w:t>
      </w:r>
      <w:r>
        <w:rPr>
          <w:i/>
        </w:rPr>
        <w:t>PLOS ONE</w:t>
      </w:r>
      <w:r>
        <w:t>. 2016;11(4):e0153649. doi:10.1371/journal.pone.0153649.</w:t>
      </w:r>
    </w:p>
    <w:p>
      <w:r>
        <w:t xml:space="preserve">111. Vu TH, Hong Y, Truong AD, et al. Cytokine-cytokine receptor interactions in the highly pathogenic avian influenza H5N1 virus-infected lungs of genetically disparate Ri chicken lines. </w:t>
      </w:r>
      <w:r>
        <w:rPr>
          <w:i/>
        </w:rPr>
        <w:t>Animal Bioscience</w:t>
      </w:r>
      <w:r>
        <w:t>. 2022;35(3):367–376. doi:10.5713/ab.21.0163.</w:t>
      </w:r>
    </w:p>
    <w:p>
      <w:r>
        <w:t xml:space="preserve">112. Vu TH, Kim C, Truong AD, et al. Unveiling the role of long non-coding RNAs in chicken immune response to highly pathogenic avian influenza H5N1 infection. </w:t>
      </w:r>
      <w:r>
        <w:rPr>
          <w:i/>
        </w:rPr>
        <w:t>Poultry Science</w:t>
      </w:r>
      <w:r>
        <w:t>. 2025;104(1):104524. doi:10.1016/j.psj.2024.104524.</w:t>
      </w:r>
    </w:p>
    <w:p>
      <w:r>
        <w:t xml:space="preserve">113. Kim YW, Jeong S, Yang JH, et al. Genetic insights into avian influenza resistance in Jeju Island chickens: the roles of Mx1 and oligoadenylate synthetase-like single nucleotide polymorphisms. </w:t>
      </w:r>
      <w:r>
        <w:rPr>
          <w:i/>
        </w:rPr>
        <w:t>Journal of Animal Science and Technology</w:t>
      </w:r>
      <w:r>
        <w:t>. 2025;67(1):69–85. doi:10.5187/jast.2025.e10.</w:t>
      </w:r>
    </w:p>
    <w:p>
      <w:r>
        <w:t xml:space="preserve">114. Fulton JE, Arango J, Ali RA, et al. Genetic Variation within the Mx Gene of Commercially Selected Chicken Lines Reveals Multiple Haplotypes, Recombination and a Protein under Selection Pressure. </w:t>
      </w:r>
      <w:r>
        <w:rPr>
          <w:i/>
        </w:rPr>
        <w:t>PLoS ONE</w:t>
      </w:r>
      <w:r>
        <w:t>. 2014;9(9):e108054. doi:10.1371/journal.pone.0108054.</w:t>
      </w:r>
    </w:p>
    <w:p>
      <w:r>
        <w:t xml:space="preserve">115. Mou C, Pitel F, Gourichon D, et al. Cryptic patterning of avian skin confers a developmental facility for loss of neck feathering. </w:t>
      </w:r>
      <w:r>
        <w:rPr>
          <w:i/>
        </w:rPr>
        <w:t>PLoS Biology</w:t>
      </w:r>
      <w:r>
        <w:t>. 2011;9(3):e1001028. doi:10.1371/journal.pbio.1001028.</w:t>
      </w:r>
    </w:p>
    <w:p>
      <w:r>
        <w:t xml:space="preserve">116. Cai R, Yin Z, Gu S, et al. Research note: Genetic basis of the naked-neck trait in Ake chickens revealed by whole-genome sequencing. </w:t>
      </w:r>
      <w:r>
        <w:rPr>
          <w:i/>
        </w:rPr>
        <w:t>Poultry Science</w:t>
      </w:r>
      <w:r>
        <w:t>. 2025;104(4):104934. doi:10.1016/j.psj.2025.104934.</w:t>
      </w:r>
    </w:p>
    <w:p>
      <w:r>
        <w:t xml:space="preserve">117. Chen CF, Huang NZ, Gourichon D, et al. Effect of introducing the naked neck gene in a line selected for low residual feed consumption on performance in temperate or subtropical environments. </w:t>
      </w:r>
      <w:r>
        <w:rPr>
          <w:i/>
        </w:rPr>
        <w:t>Poultry Science</w:t>
      </w:r>
      <w:r>
        <w:t>. 2008;87(7):1320–1327. doi:10.3382/ps.2008-00002.</w:t>
      </w:r>
    </w:p>
    <w:p>
      <w:r>
        <w:t xml:space="preserve">118. Abou-Emera O, Al-Homidan I, Rayan G, et al. The interaction effects of the naked neck gene and housing system on egg production, egg quality, blood biochemical parameters and immunity of laying hens under hot climate. </w:t>
      </w:r>
      <w:r>
        <w:rPr>
          <w:i/>
        </w:rPr>
        <w:t>Animal Bioscience</w:t>
      </w:r>
      <w:r>
        <w:t>. 2025;38(12):2779–2788. doi:10.5713/ab.24.0851.</w:t>
      </w:r>
    </w:p>
    <w:p>
      <w:r>
        <w:t xml:space="preserve">119. Asumah C, Adomako K, Olympio OS, et al. Influence of thermoregulatory (Na &amp; F) genes on performance and blood parameters of F₂ and F₃ generations of crosses of local and commercial chickens. </w:t>
      </w:r>
      <w:r>
        <w:rPr>
          <w:i/>
        </w:rPr>
        <w:t>Tropical Animal Health and Production</w:t>
      </w:r>
      <w:r>
        <w:t>. 2022;54(4):207. doi:10.1007/s11250-022-03207-6.</w:t>
      </w:r>
    </w:p>
    <w:p>
      <w:r>
        <w:t xml:space="preserve">120. Chen CF, Gourichon D, Huang NZ, et al. Performance comparison of dwarf laying hens segregating for the naked neck gene in temperate and subtropical environments. </w:t>
      </w:r>
      <w:r>
        <w:rPr>
          <w:i/>
        </w:rPr>
        <w:t>Genetics Selection Evolution</w:t>
      </w:r>
      <w:r>
        <w:t>. 2009;41:13. doi:10.1186/1297-9686-41-13.</w:t>
      </w:r>
    </w:p>
    <w:p>
      <w:r>
        <w:t xml:space="preserve">121. Sharifi AR, Horst P, Simianer H. The effect of naked neck gene and ambient temperature and their interaction on reproductive traits of heavy broiler dams. </w:t>
      </w:r>
      <w:r>
        <w:rPr>
          <w:i/>
        </w:rPr>
        <w:t>Poultry Science</w:t>
      </w:r>
      <w:r>
        <w:t>. 2010;89(7):1360–1371. doi:10.3382/ps.2009-00593.</w:t>
      </w:r>
    </w:p>
    <w:p>
      <w:r>
        <w:t xml:space="preserve">122. Mott AC, Blaschka C, Mott A, et al. Transcriptional profiling of the M. complexus in naked neck chickens suggest a direct pleiotropic effect of GDF7 on feathering and reduced hatchability. </w:t>
      </w:r>
      <w:r>
        <w:rPr>
          <w:i/>
        </w:rPr>
        <w:t>BMC Genomics</w:t>
      </w:r>
      <w:r>
        <w:t>. 2024;25(1):1092. doi:10.1186/s12864-024-10965-0.</w:t>
      </w:r>
    </w:p>
    <w:p>
      <w:r>
        <w:t xml:space="preserve">123. Zhang H, Wang XT, Chamba Y, et al. Influences of Hypoxia on Hatching Performance in Chickens with Different Genetic Adaptation to High Altitude. </w:t>
      </w:r>
      <w:r>
        <w:rPr>
          <w:i/>
        </w:rPr>
        <w:t>Poultry Science</w:t>
      </w:r>
      <w:r>
        <w:t>. 2008;87:2112–2116. doi:10.3382/ps.2008-00122.</w:t>
      </w:r>
    </w:p>
    <w:p>
      <w:r>
        <w:t xml:space="preserve">124. Zhang Q, Gou W, Wang X, et al. Genome Resequencing Identifies Unique Adaptations of Tibetan Chickens to Hypoxia and High-Dose Ultraviolet Radiation in High-Altitude Environments. </w:t>
      </w:r>
      <w:r>
        <w:rPr>
          <w:i/>
        </w:rPr>
        <w:t>Genome Biology and Evolution</w:t>
      </w:r>
      <w:r>
        <w:t>. 2016;8(3):765–776. doi:10.1093/gbe/evw032.</w:t>
      </w:r>
    </w:p>
    <w:p>
      <w:r>
        <w:t xml:space="preserve">125. Zhao Z, Nie R, Fan H, et al. Large‐Scale Genomics Reveals Three‐Source Ancestry and Layered Adaptation to High Altitude in Tibetan Chickens. </w:t>
      </w:r>
      <w:r>
        <w:rPr>
          <w:i/>
        </w:rPr>
        <w:t>Advanced Science</w:t>
      </w:r>
      <w:r>
        <w:t>. 2026;13(42):e22994. doi:10.1002/advs.202522994.</w:t>
      </w:r>
    </w:p>
    <w:p>
      <w:r>
        <w:t xml:space="preserve">126. Shi S, Shao D, Yang L, et al. Whole genome analyses reveal novel genes associated with chicken adaptation to tropical and frigid environments. </w:t>
      </w:r>
      <w:r>
        <w:rPr>
          <w:i/>
        </w:rPr>
        <w:t>Journal of Advanced Research</w:t>
      </w:r>
      <w:r>
        <w:t>. 2023;47:13–25. doi:10.1016/j.jare.2022.07.005.</w:t>
      </w:r>
    </w:p>
    <w:p>
      <w:r>
        <w:t xml:space="preserve">127. Chin IM, Gardell ZA, Corces MR. Decoding polygenic diseases: advances in noncoding variant prioritization and validation. </w:t>
      </w:r>
      <w:r>
        <w:rPr>
          <w:i/>
        </w:rPr>
        <w:t>Trends in Cell Biology</w:t>
      </w:r>
      <w:r>
        <w:t>. 2024;34(6):465–483. doi:10.1016/j.tcb.2024.03.005.</w:t>
      </w:r>
    </w:p>
    <w:p>
      <w:r>
        <w:t xml:space="preserve">128. Kim J, Han JH, Kim M, et al. From GWAS signal to function: targeted CRISPR activation enables functional characterization of non-coding SNPs in chickens. </w:t>
      </w:r>
      <w:r>
        <w:rPr>
          <w:i/>
        </w:rPr>
        <w:t>Frontiers in Genome Editing</w:t>
      </w:r>
      <w:r>
        <w:t>. 2025;7:1662152. doi:10.3389/fgeed.2025.1662152.</w:t>
      </w:r>
    </w:p>
    <w:p>
      <w:r>
        <w:t xml:space="preserve">129. Guan D, Bai Z, Zhu X, et al. Genetic regulation of gene expression across multiple tissues in chickens. </w:t>
      </w:r>
      <w:r>
        <w:rPr>
          <w:i/>
        </w:rPr>
        <w:t>Nature Genetics</w:t>
      </w:r>
      <w:r>
        <w:t>. 2025;57:1298–1308. doi:10.1038/s41588-025-02155-9.</w:t>
      </w:r>
    </w:p>
    <w:p>
      <w:r>
        <w:t xml:space="preserve">130. Zhu X, Li C, Luo C, et al. Mapping the regulatory genetic landscape of complex traits using a chicken advanced intercross line. </w:t>
      </w:r>
      <w:r>
        <w:rPr>
          <w:i/>
        </w:rPr>
        <w:t>Nature Communications</w:t>
      </w:r>
      <w:r>
        <w:t>. 2025;16:5841. doi:10.1038/s41467-025-60834-x.</w:t>
      </w:r>
    </w:p>
    <w:p>
      <w:r>
        <w:t xml:space="preserve">131. Dekkers JCM, van Arendonk JAM. Optimizing selection for quantitative traits with information on an identified locus in outbred populations. </w:t>
      </w:r>
      <w:r>
        <w:rPr>
          <w:i/>
        </w:rPr>
        <w:t>Genetical Research</w:t>
      </w:r>
      <w:r>
        <w:t>. 1998;71(3):257–275. doi:10.1017/S0016672398003267.</w:t>
      </w:r>
    </w:p>
    <w:p>
      <w:r>
        <w:t xml:space="preserve">132. Tu TC, Lin CJ, Liu MC, et al. Comparison of genomic prediction accuracy using different models for egg production traits in Taiwan country chicken. </w:t>
      </w:r>
      <w:r>
        <w:rPr>
          <w:i/>
        </w:rPr>
        <w:t>Poultry Science</w:t>
      </w:r>
      <w:r>
        <w:t>. 2024;103(10):104063. doi:10.1016/j.psj.2024.104063.</w:t>
      </w:r>
    </w:p>
    <w:p>
      <w:r>
        <w:t xml:space="preserve">133. Wolc A, Zhao HH, Arango J, et al. Response and inbreeding from a genomic selection experiment in layer chickens. </w:t>
      </w:r>
      <w:r>
        <w:rPr>
          <w:i/>
        </w:rPr>
        <w:t>Genetics Selection Evolution</w:t>
      </w:r>
      <w:r>
        <w:t>. 2015;47:59. doi:10.1186/s12711-015-0133-5.</w:t>
      </w:r>
    </w:p>
    <w:p>
      <w:r>
        <w:t xml:space="preserve">134. Heidaritabar M, Calus MPL, Megens HJ, et al. Accuracy of genomic prediction using imputed whole-genome sequence data in white layers. </w:t>
      </w:r>
      <w:r>
        <w:rPr>
          <w:i/>
        </w:rPr>
        <w:t>Journal of Animal Breeding and Genetics</w:t>
      </w:r>
      <w:r>
        <w:t>. 2016;133:167–179. doi:10.1111/jbg.12199.</w:t>
      </w:r>
    </w:p>
    <w:p>
      <w:r>
        <w:t xml:space="preserve">135. Ni G, Cavero D, Fangmann A, et al. Whole-genome sequence-based genomic prediction in laying chickens with different genomic relationship matrices to account for genetic architecture. </w:t>
      </w:r>
      <w:r>
        <w:rPr>
          <w:i/>
        </w:rPr>
        <w:t>Genetics Selection Evolution</w:t>
      </w:r>
      <w:r>
        <w:t>. 2017;49(1):8. doi:10.1186/s12711-016-0277-y.</w:t>
      </w:r>
    </w:p>
    <w:p>
      <w:r>
        <w:t xml:space="preserve">136. Ye H, Xu Z, Bello SF, et al. Haplotype analysis of genomic prediction by incorporating genomic pathway information based on high-density SNP marker in Chinese yellow-feathered chicken. </w:t>
      </w:r>
      <w:r>
        <w:rPr>
          <w:i/>
        </w:rPr>
        <w:t>Poultry Science</w:t>
      </w:r>
      <w:r>
        <w:t>. 2023;102(5):102549. doi:10.1016/j.psj.2023.102549.</w:t>
      </w:r>
    </w:p>
    <w:p>
      <w:r>
        <w:t xml:space="preserve">137. Zhou Z, Cai D, Zhao C, et al. Pan-3D Genome Analysis Reveals the Roles of Structural Variation in Chicken Chromatin Architectures, Domestication and Production Traits. </w:t>
      </w:r>
      <w:r>
        <w:rPr>
          <w:i/>
        </w:rPr>
        <w:t>Advanced Science</w:t>
      </w:r>
      <w:r>
        <w:t>. 2026;13(24):e20068. doi:10.1002/advs.202520068.</w:t>
      </w:r>
    </w:p>
    <w:p>
      <w:r>
        <w:t xml:space="preserve">138. Cheng HH, Perumbakkam S, Pyrkosz AB, et al. Fine mapping of QTL and genomic prediction using allele-specific expression SNPs demonstrates that the complex trait of genetic resistance to Marek’s disease is predominantly determined by transcriptional regulation. </w:t>
      </w:r>
      <w:r>
        <w:rPr>
          <w:i/>
        </w:rPr>
        <w:t>BMC Genomics</w:t>
      </w:r>
      <w:r>
        <w:t>. 2015;16(1):816. doi:10.1186/s12864-015-2016-0.</w:t>
      </w:r>
    </w:p>
    <w:p>
      <w:r>
        <w:t xml:space="preserve">139. Chomchuen K, Tuntiyasawasdikul V, Chankitisakul V, et al. Genetic evaluation of body weights and egg production traits using a multi-trait animal model and selection index in Thai native synthetic chickens (Kaimook e-san2). </w:t>
      </w:r>
      <w:r>
        <w:rPr>
          <w:i/>
        </w:rPr>
        <w:t>Animals</w:t>
      </w:r>
      <w:r>
        <w:t>. 2022;12:335. doi:10.3390/ani12030335.</w:t>
      </w:r>
    </w:p>
    <w:p>
      <w:r>
        <w:t xml:space="preserve">140. Raymond B, Bouwman AC, Schrooten C, et al. Utility of whole-genome sequence data for across-breed genomic prediction. </w:t>
      </w:r>
      <w:r>
        <w:rPr>
          <w:i/>
        </w:rPr>
        <w:t>Genetics Selection Evolution</w:t>
      </w:r>
      <w:r>
        <w:t>. 2018;50:27. doi:10.1186/s12711-018-0396-8.</w:t>
      </w:r>
    </w:p>
    <w:p>
      <w:r>
        <w:t xml:space="preserve">141. Xiang R, MacLeod IM, Daetwyler HD, et al. Genome-wide fine-mapping identifies pleiotropic and functional variants that predict many traits across global cattle populations. </w:t>
      </w:r>
      <w:r>
        <w:rPr>
          <w:i/>
        </w:rPr>
        <w:t>Nature Communications</w:t>
      </w:r>
      <w:r>
        <w:t>. 2021;12:860. doi:10.1038/s41467-021-21001-0.</w:t>
      </w:r>
    </w:p>
    <w:p>
      <w:r>
        <w:t xml:space="preserve">142. Zhu D, Shi K, The ChickenGTEx Consortium, et al. Egg-laying ChickenGTEx resource deciphers context-specific regulatory effects on fertility traits. </w:t>
      </w:r>
      <w:r>
        <w:rPr>
          <w:i/>
        </w:rPr>
        <w:t>Nature Communications</w:t>
      </w:r>
      <w:r>
        <w:t>. 2026;17:553. doi:10.1038/s41467-025-67245-y.</w:t>
      </w:r>
    </w:p>
    <w:p>
      <w:r>
        <w:t xml:space="preserve">143. Mok GF, Turner S, Smith EL, et al. Single cell RNA-sequencing and RNA-tomography of the avian embryo extending body axis. </w:t>
      </w:r>
      <w:r>
        <w:rPr>
          <w:i/>
        </w:rPr>
        <w:t>Frontiers in Cell and Developmental Biology</w:t>
      </w:r>
      <w:r>
        <w:t>. 2024;12:1382960. doi:10.3389/fcell.2024.1382960.</w:t>
      </w:r>
    </w:p>
    <w:p>
      <w:r>
        <w:t xml:space="preserve">144. Chapman B, Han JH, Lee HJ, et al. Targeted modulation of chicken genes in vitro using CRISPRa and CRISPRi toolkit. </w:t>
      </w:r>
      <w:r>
        <w:rPr>
          <w:i/>
        </w:rPr>
        <w:t>Genes</w:t>
      </w:r>
      <w:r>
        <w:t>. 2023;14(4):906. doi:10.3390/genes14040906.</w:t>
      </w:r>
    </w:p>
    <w:p>
      <w:pPr>
        <w:pStyle w:val="Heading1"/>
      </w:pPr>
      <w:r>
        <w:t>正文表及附表汇总</w:t>
      </w:r>
    </w:p>
    <w:p>
      <w:r>
        <w:t>表1见正文第2.2节；以下引文与本稿参考文献编号一致。</w:t>
      </w:r>
    </w:p>
    <w:p>
      <w:pPr>
        <w:sectPr>
          <w:footerReference w:type="default" r:id="rId9"/>
          <w:pgSz w:w="11909" w:h="16834"/>
          <w:pgMar w:top="1080" w:right="1152" w:bottom="1080" w:left="1152" w:header="720" w:footer="720" w:gutter="0"/>
          <w:cols w:space="720"/>
          <w:docGrid w:linePitch="360"/>
        </w:sectPr>
      </w:pPr>
    </w:p>
    <w:p>
      <w:pPr>
        <w:pStyle w:val="Heading1"/>
      </w:pPr>
      <w:r>
        <w:t>表2 代表性遗传对象的因果证据与解释范围</w:t>
      </w:r>
    </w:p>
    <w:tbl>
      <w:tblPr>
        <w:tblStyle w:val="TableGrid"/>
        <w:tblW w:type="auto" w:w="0"/>
        <w:tblLayout w:type="fixed"/>
        <w:tblLook w:firstColumn="1" w:firstRow="1" w:lastColumn="0" w:lastRow="0" w:noHBand="0" w:noVBand="1" w:val="04A0"/>
      </w:tblPr>
      <w:tblGrid>
        <w:gridCol w:w="2394"/>
        <w:gridCol w:w="3292"/>
        <w:gridCol w:w="4788"/>
        <w:gridCol w:w="4488"/>
      </w:tblGrid>
      <w:tr>
        <w:trPr>
          <w:tblHeader/>
        </w:trPr>
        <w:tc>
          <w:tcPr>
            <w:tcW w:type="dxa" w:w="2394"/>
            <w:shd w:fill="E8EDF2"/>
          </w:tcPr>
          <w:p>
            <w:pPr>
              <w:spacing w:line="264" w:lineRule="auto" w:after="80" w:before="80"/>
            </w:pPr>
            <w:r>
              <w:rPr>
                <w:b/>
                <w:sz w:val="18"/>
              </w:rPr>
              <w:t>案例</w:t>
            </w:r>
          </w:p>
        </w:tc>
        <w:tc>
          <w:tcPr>
            <w:tcW w:type="dxa" w:w="3292"/>
            <w:shd w:fill="E8EDF2"/>
          </w:tcPr>
          <w:p>
            <w:pPr>
              <w:spacing w:line="264" w:lineRule="auto" w:after="80" w:before="80"/>
            </w:pPr>
            <w:r>
              <w:rPr>
                <w:b/>
                <w:sz w:val="18"/>
              </w:rPr>
              <w:t>具体遗传对象</w:t>
            </w:r>
          </w:p>
        </w:tc>
        <w:tc>
          <w:tcPr>
            <w:tcW w:type="dxa" w:w="4788"/>
            <w:shd w:fill="E8EDF2"/>
          </w:tcPr>
          <w:p>
            <w:pPr>
              <w:spacing w:line="264" w:lineRule="auto" w:after="80" w:before="80"/>
            </w:pPr>
            <w:r>
              <w:rPr>
                <w:b/>
                <w:sz w:val="18"/>
              </w:rPr>
              <w:t>关键证据</w:t>
            </w:r>
          </w:p>
        </w:tc>
        <w:tc>
          <w:tcPr>
            <w:tcW w:type="dxa" w:w="4488"/>
            <w:shd w:fill="E8EDF2"/>
          </w:tcPr>
          <w:p>
            <w:pPr>
              <w:spacing w:line="264" w:lineRule="auto" w:after="80" w:before="80"/>
            </w:pPr>
            <w:r>
              <w:rPr>
                <w:b/>
                <w:sz w:val="18"/>
              </w:rPr>
              <w:t>可支持的解释</w:t>
            </w:r>
          </w:p>
        </w:tc>
      </w:tr>
      <w:tr>
        <w:tc>
          <w:tcPr>
            <w:tcW w:type="dxa" w:w="2394"/>
          </w:tcPr>
          <w:p>
            <w:pPr>
              <w:spacing w:line="264" w:lineRule="auto" w:after="80" w:before="80"/>
            </w:pPr>
            <w:r>
              <w:rPr>
                <w:i/>
                <w:sz w:val="18"/>
              </w:rPr>
              <w:t>CCKAR</w:t>
            </w:r>
          </w:p>
        </w:tc>
        <w:tc>
          <w:tcPr>
            <w:tcW w:type="dxa" w:w="3292"/>
          </w:tcPr>
          <w:p>
            <w:pPr>
              <w:spacing w:line="264" w:lineRule="auto" w:after="80" w:before="80"/>
            </w:pPr>
            <w:r>
              <w:rPr>
                <w:sz w:val="18"/>
              </w:rPr>
              <w:t>g.420 C&gt;A及同区域其他调控候选</w:t>
            </w:r>
          </w:p>
        </w:tc>
        <w:tc>
          <w:tcPr>
            <w:tcW w:type="dxa" w:w="4788"/>
          </w:tcPr>
          <w:p>
            <w:pPr>
              <w:spacing w:line="264" w:lineRule="auto" w:after="80" w:before="80"/>
            </w:pPr>
            <w:r>
              <w:rPr>
                <w:sz w:val="18"/>
              </w:rPr>
              <w:t>生长关联、等位基因表达与调控功能支持[17][18][19]；原应用位点在另一鸡群未重复关联[24]</w:t>
            </w:r>
          </w:p>
        </w:tc>
        <w:tc>
          <w:tcPr>
            <w:tcW w:type="dxa" w:w="4488"/>
          </w:tcPr>
          <w:p>
            <w:pPr>
              <w:spacing w:line="264" w:lineRule="auto" w:after="80" w:before="80"/>
            </w:pPr>
            <w:r>
              <w:rPr>
                <w:sz w:val="18"/>
              </w:rPr>
              <w:t>区域机制有支持，具体变异贡献与适用群体仍需区分</w:t>
            </w:r>
          </w:p>
        </w:tc>
      </w:tr>
      <w:tr>
        <w:tc>
          <w:tcPr>
            <w:tcW w:type="dxa" w:w="2394"/>
          </w:tcPr>
          <w:p>
            <w:pPr>
              <w:spacing w:line="264" w:lineRule="auto" w:after="80" w:before="80"/>
            </w:pPr>
            <w:r>
              <w:rPr>
                <w:i/>
                <w:sz w:val="18"/>
              </w:rPr>
              <w:t>IGF2BP1</w:t>
            </w:r>
            <w:r>
              <w:rPr>
                <w:sz w:val="18"/>
              </w:rPr>
              <w:t xml:space="preserve"> L1</w:t>
            </w:r>
          </w:p>
        </w:tc>
        <w:tc>
          <w:tcPr>
            <w:tcW w:type="dxa" w:w="3292"/>
          </w:tcPr>
          <w:p>
            <w:pPr>
              <w:spacing w:line="264" w:lineRule="auto" w:after="80" w:before="80"/>
            </w:pPr>
            <w:r>
              <w:rPr>
                <w:sz w:val="18"/>
              </w:rPr>
              <w:t>约3.2 kb启动子缺失</w:t>
            </w:r>
          </w:p>
        </w:tc>
        <w:tc>
          <w:tcPr>
            <w:tcW w:type="dxa" w:w="4788"/>
          </w:tcPr>
          <w:p>
            <w:pPr>
              <w:spacing w:line="264" w:lineRule="auto" w:after="80" w:before="80"/>
            </w:pPr>
            <w:r>
              <w:rPr>
                <w:sz w:val="18"/>
              </w:rPr>
              <w:t>生长与胴体关联、报告活性及自然背景表达支持[2]；后续含L1组合有两群体体重分析[47]</w:t>
            </w:r>
          </w:p>
        </w:tc>
        <w:tc>
          <w:tcPr>
            <w:tcW w:type="dxa" w:w="4488"/>
          </w:tcPr>
          <w:p>
            <w:pPr>
              <w:spacing w:line="264" w:lineRule="auto" w:after="80" w:before="80"/>
            </w:pPr>
            <w:r>
              <w:rPr>
                <w:sz w:val="18"/>
              </w:rPr>
              <w:t>候选因果变异；组合关联与单变异重复分别解释</w:t>
            </w:r>
          </w:p>
        </w:tc>
      </w:tr>
      <w:tr>
        <w:tc>
          <w:tcPr>
            <w:tcW w:type="dxa" w:w="2394"/>
          </w:tcPr>
          <w:p>
            <w:pPr>
              <w:spacing w:line="264" w:lineRule="auto" w:after="80" w:before="80"/>
            </w:pPr>
            <w:r>
              <w:rPr>
                <w:i/>
                <w:sz w:val="18"/>
              </w:rPr>
              <w:t>IGF2BP1</w:t>
            </w:r>
            <w:r>
              <w:rPr>
                <w:sz w:val="18"/>
              </w:rPr>
              <w:t xml:space="preserve"> L2</w:t>
            </w:r>
          </w:p>
        </w:tc>
        <w:tc>
          <w:tcPr>
            <w:tcW w:type="dxa" w:w="3292"/>
          </w:tcPr>
          <w:p>
            <w:pPr>
              <w:spacing w:line="264" w:lineRule="auto" w:after="80" w:before="80"/>
            </w:pPr>
            <w:r>
              <w:rPr>
                <w:sz w:val="18"/>
              </w:rPr>
              <w:t>约1.5 kb启动子缺失</w:t>
            </w:r>
          </w:p>
        </w:tc>
        <w:tc>
          <w:tcPr>
            <w:tcW w:type="dxa" w:w="4788"/>
          </w:tcPr>
          <w:p>
            <w:pPr>
              <w:spacing w:line="264" w:lineRule="auto" w:after="80" w:before="80"/>
            </w:pPr>
            <w:r>
              <w:rPr>
                <w:sz w:val="18"/>
              </w:rPr>
              <w:t>报告活性与表达支持[2]；后续L1L2组合进入F₂及金陵麻鸡体重比较[47]</w:t>
            </w:r>
          </w:p>
        </w:tc>
        <w:tc>
          <w:tcPr>
            <w:tcW w:type="dxa" w:w="4488"/>
          </w:tcPr>
          <w:p>
            <w:pPr>
              <w:spacing w:line="264" w:lineRule="auto" w:after="80" w:before="80"/>
            </w:pPr>
            <w:r>
              <w:rPr>
                <w:sz w:val="18"/>
              </w:rPr>
              <w:t>具有功能支持和联合基因型背景的整鸡比较；相对W的独立效应尚未确立</w:t>
            </w:r>
          </w:p>
        </w:tc>
      </w:tr>
      <w:tr>
        <w:tc>
          <w:tcPr>
            <w:tcW w:type="dxa" w:w="2394"/>
          </w:tcPr>
          <w:p>
            <w:pPr>
              <w:spacing w:line="264" w:lineRule="auto" w:after="80" w:before="80"/>
            </w:pPr>
            <w:r>
              <w:rPr>
                <w:sz w:val="18"/>
              </w:rPr>
              <w:t>rs734209466</w:t>
            </w:r>
          </w:p>
        </w:tc>
        <w:tc>
          <w:tcPr>
            <w:tcW w:type="dxa" w:w="3292"/>
          </w:tcPr>
          <w:p>
            <w:pPr>
              <w:spacing w:line="264" w:lineRule="auto" w:after="80" w:before="80"/>
            </w:pPr>
            <w:r>
              <w:rPr>
                <w:sz w:val="18"/>
              </w:rPr>
              <w:t>连接</w:t>
            </w:r>
            <w:r>
              <w:rPr>
                <w:i/>
                <w:sz w:val="18"/>
              </w:rPr>
              <w:t>IGFBP2/IGFBP5</w:t>
            </w:r>
            <w:r>
              <w:rPr>
                <w:sz w:val="18"/>
              </w:rPr>
              <w:t>的13 bp InDel</w:t>
            </w:r>
          </w:p>
        </w:tc>
        <w:tc>
          <w:tcPr>
            <w:tcW w:type="dxa" w:w="4788"/>
          </w:tcPr>
          <w:p>
            <w:pPr>
              <w:spacing w:line="264" w:lineRule="auto" w:after="80" w:before="80"/>
            </w:pPr>
            <w:r>
              <w:rPr>
                <w:sz w:val="18"/>
              </w:rPr>
              <w:t>腹脂关联、等位基因功能与远端靶基因支持[3]</w:t>
            </w:r>
          </w:p>
        </w:tc>
        <w:tc>
          <w:tcPr>
            <w:tcW w:type="dxa" w:w="4488"/>
          </w:tcPr>
          <w:p>
            <w:pPr>
              <w:spacing w:line="264" w:lineRule="auto" w:after="80" w:before="80"/>
            </w:pPr>
            <w:r>
              <w:rPr>
                <w:sz w:val="18"/>
              </w:rPr>
              <w:t>候选因果调控变异；整鸡归因保留选择系与连锁背景限制</w:t>
            </w:r>
          </w:p>
        </w:tc>
      </w:tr>
      <w:tr>
        <w:tc>
          <w:tcPr>
            <w:tcW w:type="dxa" w:w="2394"/>
          </w:tcPr>
          <w:p>
            <w:pPr>
              <w:spacing w:line="264" w:lineRule="auto" w:after="80" w:before="80"/>
            </w:pPr>
            <w:r>
              <w:rPr>
                <w:i/>
                <w:sz w:val="18"/>
              </w:rPr>
              <w:t>PHKG1</w:t>
            </w:r>
          </w:p>
        </w:tc>
        <w:tc>
          <w:tcPr>
            <w:tcW w:type="dxa" w:w="3292"/>
          </w:tcPr>
          <w:p>
            <w:pPr>
              <w:spacing w:line="264" w:lineRule="auto" w:after="80" w:before="80"/>
            </w:pPr>
            <w:r>
              <w:rPr>
                <w:sz w:val="18"/>
              </w:rPr>
              <w:t>3′UTR标记rs15845448</w:t>
            </w:r>
          </w:p>
        </w:tc>
        <w:tc>
          <w:tcPr>
            <w:tcW w:type="dxa" w:w="4788"/>
          </w:tcPr>
          <w:p>
            <w:pPr>
              <w:spacing w:line="264" w:lineRule="auto" w:after="80" w:before="80"/>
            </w:pPr>
            <w:r>
              <w:rPr>
                <w:sz w:val="18"/>
              </w:rPr>
              <w:t>肉品质关联及按基因型、滴水损失联合选样的表达差异[59]</w:t>
            </w:r>
          </w:p>
        </w:tc>
        <w:tc>
          <w:tcPr>
            <w:tcW w:type="dxa" w:w="4488"/>
          </w:tcPr>
          <w:p>
            <w:pPr>
              <w:spacing w:line="264" w:lineRule="auto" w:after="80" w:before="80"/>
            </w:pPr>
            <w:r>
              <w:rPr>
                <w:sz w:val="18"/>
              </w:rPr>
              <w:t>有表达线索的关联标记</w:t>
            </w:r>
          </w:p>
        </w:tc>
      </w:tr>
      <w:tr>
        <w:tc>
          <w:tcPr>
            <w:tcW w:type="dxa" w:w="2394"/>
          </w:tcPr>
          <w:p>
            <w:pPr>
              <w:spacing w:line="264" w:lineRule="auto" w:after="80" w:before="80"/>
            </w:pPr>
            <w:r>
              <w:rPr>
                <w:i/>
                <w:sz w:val="18"/>
              </w:rPr>
              <w:t>FMO3</w:t>
            </w:r>
          </w:p>
        </w:tc>
        <w:tc>
          <w:tcPr>
            <w:tcW w:type="dxa" w:w="3292"/>
          </w:tcPr>
          <w:p>
            <w:pPr>
              <w:spacing w:line="264" w:lineRule="auto" w:after="80" w:before="80"/>
            </w:pPr>
            <w:r>
              <w:rPr>
                <w:sz w:val="18"/>
              </w:rPr>
              <w:t>T329S</w:t>
            </w:r>
          </w:p>
        </w:tc>
        <w:tc>
          <w:tcPr>
            <w:tcW w:type="dxa" w:w="4788"/>
          </w:tcPr>
          <w:p>
            <w:pPr>
              <w:spacing w:line="264" w:lineRule="auto" w:after="80" w:before="80"/>
            </w:pPr>
            <w:r>
              <w:rPr>
                <w:sz w:val="18"/>
              </w:rPr>
              <w:t>自然遗传、代谢功能及基因型×饲粮证据相接[62][63][64]</w:t>
            </w:r>
          </w:p>
        </w:tc>
        <w:tc>
          <w:tcPr>
            <w:tcW w:type="dxa" w:w="4488"/>
          </w:tcPr>
          <w:p>
            <w:pPr>
              <w:spacing w:line="264" w:lineRule="auto" w:after="80" w:before="80"/>
            </w:pPr>
            <w:r>
              <w:rPr>
                <w:sz w:val="18"/>
              </w:rPr>
              <w:t>具有强因果支持的自然变异</w:t>
            </w:r>
          </w:p>
        </w:tc>
      </w:tr>
      <w:tr>
        <w:tc>
          <w:tcPr>
            <w:tcW w:type="dxa" w:w="2394"/>
          </w:tcPr>
          <w:p>
            <w:pPr>
              <w:spacing w:line="264" w:lineRule="auto" w:after="80" w:before="80"/>
            </w:pPr>
            <w:r>
              <w:rPr>
                <w:i/>
                <w:sz w:val="18"/>
              </w:rPr>
              <w:t>SLCO1B3</w:t>
            </w:r>
          </w:p>
        </w:tc>
        <w:tc>
          <w:tcPr>
            <w:tcW w:type="dxa" w:w="3292"/>
          </w:tcPr>
          <w:p>
            <w:pPr>
              <w:spacing w:line="264" w:lineRule="auto" w:after="80" w:before="80"/>
            </w:pPr>
            <w:r>
              <w:rPr>
                <w:sz w:val="18"/>
              </w:rPr>
              <w:t>经典上游EAV-HP插入</w:t>
            </w:r>
          </w:p>
        </w:tc>
        <w:tc>
          <w:tcPr>
            <w:tcW w:type="dxa" w:w="4788"/>
          </w:tcPr>
          <w:p>
            <w:pPr>
              <w:spacing w:line="264" w:lineRule="auto" w:after="80" w:before="80"/>
            </w:pPr>
            <w:r>
              <w:rPr>
                <w:sz w:val="18"/>
              </w:rPr>
              <w:t>家系共分离、顺式表达及不同起源插入支持[71][72]；另有不携带该插入的蓝绿色蛋群体[73][74]</w:t>
            </w:r>
          </w:p>
        </w:tc>
        <w:tc>
          <w:tcPr>
            <w:tcW w:type="dxa" w:w="4488"/>
          </w:tcPr>
          <w:p>
            <w:pPr>
              <w:spacing w:line="264" w:lineRule="auto" w:after="80" w:before="80"/>
            </w:pPr>
            <w:r>
              <w:rPr>
                <w:sz w:val="18"/>
              </w:rPr>
              <w:t>经典插入有强因果支持，解释范围对应其分离群体</w:t>
            </w:r>
          </w:p>
        </w:tc>
      </w:tr>
      <w:tr>
        <w:tc>
          <w:tcPr>
            <w:tcW w:type="dxa" w:w="2394"/>
          </w:tcPr>
          <w:p>
            <w:pPr>
              <w:spacing w:line="264" w:lineRule="auto" w:after="80" w:before="80"/>
            </w:pPr>
            <w:r>
              <w:rPr>
                <w:sz w:val="18"/>
              </w:rPr>
              <w:t xml:space="preserve">MHC-B / </w:t>
            </w:r>
            <w:r>
              <w:rPr>
                <w:i/>
                <w:sz w:val="18"/>
              </w:rPr>
              <w:t>BG1</w:t>
            </w:r>
          </w:p>
        </w:tc>
        <w:tc>
          <w:tcPr>
            <w:tcW w:type="dxa" w:w="3292"/>
          </w:tcPr>
          <w:p>
            <w:pPr>
              <w:spacing w:line="264" w:lineRule="auto" w:after="80" w:before="80"/>
            </w:pPr>
            <w:r>
              <w:rPr>
                <w:sz w:val="18"/>
              </w:rPr>
              <w:t>MHC单倍型与特定重组背景的</w:t>
            </w:r>
            <w:r>
              <w:rPr>
                <w:i/>
                <w:sz w:val="18"/>
              </w:rPr>
              <w:t>BG1</w:t>
            </w:r>
            <w:r>
              <w:rPr>
                <w:sz w:val="18"/>
              </w:rPr>
              <w:t xml:space="preserve"> 3′UTR</w:t>
            </w:r>
          </w:p>
        </w:tc>
        <w:tc>
          <w:tcPr>
            <w:tcW w:type="dxa" w:w="4788"/>
          </w:tcPr>
          <w:p>
            <w:pPr>
              <w:spacing w:line="264" w:lineRule="auto" w:after="80" w:before="80"/>
            </w:pPr>
            <w:r>
              <w:rPr>
                <w:sz w:val="18"/>
              </w:rPr>
              <w:t>重组定位和完整3′UTR功能支持[82]；区域效应随群体、终点变化[84][85]</w:t>
            </w:r>
          </w:p>
        </w:tc>
        <w:tc>
          <w:tcPr>
            <w:tcW w:type="dxa" w:w="4488"/>
          </w:tcPr>
          <w:p>
            <w:pPr>
              <w:spacing w:line="264" w:lineRule="auto" w:after="80" w:before="80"/>
            </w:pPr>
            <w:r>
              <w:rPr>
                <w:i/>
                <w:sz w:val="18"/>
              </w:rPr>
              <w:t>BG1</w:t>
            </w:r>
            <w:r>
              <w:rPr>
                <w:sz w:val="18"/>
              </w:rPr>
              <w:t>候选机制与整体MHC效应分别评价</w:t>
            </w:r>
          </w:p>
        </w:tc>
      </w:tr>
      <w:tr>
        <w:tc>
          <w:tcPr>
            <w:tcW w:type="dxa" w:w="2394"/>
          </w:tcPr>
          <w:p>
            <w:pPr>
              <w:spacing w:line="264" w:lineRule="auto" w:after="80" w:before="80"/>
            </w:pPr>
            <w:r>
              <w:rPr>
                <w:i/>
                <w:sz w:val="18"/>
              </w:rPr>
              <w:t>tva</w:t>
            </w:r>
          </w:p>
        </w:tc>
        <w:tc>
          <w:tcPr>
            <w:tcW w:type="dxa" w:w="3292"/>
          </w:tcPr>
          <w:p>
            <w:pPr>
              <w:spacing w:line="264" w:lineRule="auto" w:after="80" w:before="80"/>
            </w:pPr>
            <w:r>
              <w:rPr>
                <w:sz w:val="18"/>
              </w:rPr>
              <w:t>不同自然等位基因；工程敲除另评</w:t>
            </w:r>
          </w:p>
        </w:tc>
        <w:tc>
          <w:tcPr>
            <w:tcW w:type="dxa" w:w="4788"/>
          </w:tcPr>
          <w:p>
            <w:pPr>
              <w:spacing w:line="264" w:lineRule="auto" w:after="80" w:before="80"/>
            </w:pPr>
            <w:r>
              <w:rPr>
                <w:sz w:val="18"/>
              </w:rPr>
              <w:t>受体或剪接功能、自然基因型细胞与整鸡证据[88][89][90][93][94]</w:t>
            </w:r>
          </w:p>
        </w:tc>
        <w:tc>
          <w:tcPr>
            <w:tcW w:type="dxa" w:w="4488"/>
          </w:tcPr>
          <w:p>
            <w:pPr>
              <w:spacing w:line="264" w:lineRule="auto" w:after="80" w:before="80"/>
            </w:pPr>
            <w:r>
              <w:rPr>
                <w:sz w:val="18"/>
              </w:rPr>
              <w:t>按具体等位基因及病毒亚群限定解释，研究组对应见S1</w:t>
            </w:r>
          </w:p>
        </w:tc>
      </w:tr>
      <w:tr>
        <w:tc>
          <w:tcPr>
            <w:tcW w:type="dxa" w:w="2394"/>
          </w:tcPr>
          <w:p>
            <w:pPr>
              <w:spacing w:line="264" w:lineRule="auto" w:after="80" w:before="80"/>
            </w:pPr>
            <w:r>
              <w:rPr>
                <w:i/>
                <w:sz w:val="18"/>
              </w:rPr>
              <w:t>ANP32A</w:t>
            </w:r>
          </w:p>
        </w:tc>
        <w:tc>
          <w:tcPr>
            <w:tcW w:type="dxa" w:w="3292"/>
          </w:tcPr>
          <w:p>
            <w:pPr>
              <w:spacing w:line="264" w:lineRule="auto" w:after="80" w:before="80"/>
            </w:pPr>
            <w:r>
              <w:rPr>
                <w:sz w:val="18"/>
              </w:rPr>
              <w:t>特定工程化遗传改变</w:t>
            </w:r>
          </w:p>
        </w:tc>
        <w:tc>
          <w:tcPr>
            <w:tcW w:type="dxa" w:w="4788"/>
          </w:tcPr>
          <w:p>
            <w:pPr>
              <w:spacing w:line="264" w:lineRule="auto" w:after="80" w:before="80"/>
            </w:pPr>
            <w:r>
              <w:rPr>
                <w:sz w:val="18"/>
              </w:rPr>
              <w:t>有适用范围的整鸡禽流感抗性及研究性遗传传递[100]</w:t>
            </w:r>
          </w:p>
        </w:tc>
        <w:tc>
          <w:tcPr>
            <w:tcW w:type="dxa" w:w="4488"/>
          </w:tcPr>
          <w:p>
            <w:pPr>
              <w:spacing w:line="264" w:lineRule="auto" w:after="80" w:before="80"/>
            </w:pPr>
            <w:r>
              <w:rPr>
                <w:sz w:val="18"/>
              </w:rPr>
              <w:t>工程化个体概念验证，不归入自然变异状态</w:t>
            </w:r>
          </w:p>
        </w:tc>
      </w:tr>
      <w:tr>
        <w:tc>
          <w:tcPr>
            <w:tcW w:type="dxa" w:w="2394"/>
          </w:tcPr>
          <w:p>
            <w:pPr>
              <w:spacing w:line="264" w:lineRule="auto" w:after="80" w:before="80"/>
            </w:pPr>
            <w:r>
              <w:rPr>
                <w:sz w:val="18"/>
              </w:rPr>
              <w:t>Na裸颈</w:t>
            </w:r>
          </w:p>
        </w:tc>
        <w:tc>
          <w:tcPr>
            <w:tcW w:type="dxa" w:w="3292"/>
          </w:tcPr>
          <w:p>
            <w:pPr>
              <w:spacing w:line="264" w:lineRule="auto" w:after="80" w:before="80"/>
            </w:pPr>
            <w:r>
              <w:rPr>
                <w:sz w:val="18"/>
              </w:rPr>
              <w:t>大型插入及</w:t>
            </w:r>
            <w:r>
              <w:rPr>
                <w:i/>
                <w:sz w:val="18"/>
              </w:rPr>
              <w:t>BMP12/GDF7</w:t>
            </w:r>
            <w:r>
              <w:rPr>
                <w:sz w:val="18"/>
              </w:rPr>
              <w:t>调控</w:t>
            </w:r>
          </w:p>
        </w:tc>
        <w:tc>
          <w:tcPr>
            <w:tcW w:type="dxa" w:w="4788"/>
          </w:tcPr>
          <w:p>
            <w:pPr>
              <w:spacing w:line="264" w:lineRule="auto" w:after="80" w:before="80"/>
            </w:pPr>
            <w:r>
              <w:rPr>
                <w:sz w:val="18"/>
              </w:rPr>
              <w:t>形态、顺式表达和发育证据；来源片段保留支持复制插入[115][116]</w:t>
            </w:r>
          </w:p>
        </w:tc>
        <w:tc>
          <w:tcPr>
            <w:tcW w:type="dxa" w:w="4488"/>
          </w:tcPr>
          <w:p>
            <w:pPr>
              <w:spacing w:line="264" w:lineRule="auto" w:after="80" w:before="80"/>
            </w:pPr>
            <w:r>
              <w:rPr>
                <w:sz w:val="18"/>
              </w:rPr>
              <w:t>形态解释较深入，生产效应另按环境与群体判断</w:t>
            </w:r>
          </w:p>
        </w:tc>
      </w:tr>
      <w:tr>
        <w:tc>
          <w:tcPr>
            <w:tcW w:type="dxa" w:w="2394"/>
          </w:tcPr>
          <w:p>
            <w:pPr>
              <w:spacing w:line="264" w:lineRule="auto" w:after="80" w:before="80"/>
            </w:pPr>
            <w:r>
              <w:rPr>
                <w:i/>
                <w:sz w:val="18"/>
              </w:rPr>
              <w:t>MX</w:t>
            </w:r>
            <w:r>
              <w:rPr>
                <w:sz w:val="18"/>
              </w:rPr>
              <w:t xml:space="preserve"> S631N</w:t>
            </w:r>
          </w:p>
        </w:tc>
        <w:tc>
          <w:tcPr>
            <w:tcW w:type="dxa" w:w="3292"/>
          </w:tcPr>
          <w:p>
            <w:pPr>
              <w:spacing w:line="264" w:lineRule="auto" w:after="80" w:before="80"/>
            </w:pPr>
            <w:r>
              <w:rPr>
                <w:sz w:val="18"/>
              </w:rPr>
              <w:t>p.Ser631Asn</w:t>
            </w:r>
          </w:p>
        </w:tc>
        <w:tc>
          <w:tcPr>
            <w:tcW w:type="dxa" w:w="4788"/>
          </w:tcPr>
          <w:p>
            <w:pPr>
              <w:spacing w:line="264" w:lineRule="auto" w:after="80" w:before="80"/>
            </w:pPr>
            <w:r>
              <w:rPr>
                <w:sz w:val="18"/>
              </w:rPr>
              <w:t>异源细胞抗VSV功能支持[104]；抗流感功能阴性与部分整鸡支持并存[105][106][107][108][110]</w:t>
            </w:r>
          </w:p>
        </w:tc>
        <w:tc>
          <w:tcPr>
            <w:tcW w:type="dxa" w:w="4488"/>
          </w:tcPr>
          <w:p>
            <w:pPr>
              <w:spacing w:line="264" w:lineRule="auto" w:after="80" w:before="80"/>
            </w:pPr>
            <w:r>
              <w:rPr>
                <w:sz w:val="18"/>
              </w:rPr>
              <w:t>直接功能与整鸡比较未建立S631N稳定独立的抗流感作用；抗VSV结果另作解释</w:t>
            </w:r>
          </w:p>
        </w:tc>
      </w:tr>
      <w:tr>
        <w:tc>
          <w:tcPr>
            <w:tcW w:type="dxa" w:w="2394"/>
          </w:tcPr>
          <w:p>
            <w:pPr>
              <w:spacing w:line="264" w:lineRule="auto" w:after="80" w:before="80"/>
            </w:pPr>
            <w:r>
              <w:rPr>
                <w:i/>
                <w:sz w:val="18"/>
              </w:rPr>
              <w:t>PHIP</w:t>
            </w:r>
          </w:p>
        </w:tc>
        <w:tc>
          <w:tcPr>
            <w:tcW w:type="dxa" w:w="3292"/>
          </w:tcPr>
          <w:p>
            <w:pPr>
              <w:spacing w:line="264" w:lineRule="auto" w:after="80" w:before="80"/>
            </w:pPr>
            <w:r>
              <w:rPr>
                <w:sz w:val="18"/>
              </w:rPr>
              <w:t>内含子chr3:79510218A&gt;T</w:t>
            </w:r>
          </w:p>
        </w:tc>
        <w:tc>
          <w:tcPr>
            <w:tcW w:type="dxa" w:w="4788"/>
          </w:tcPr>
          <w:p>
            <w:pPr>
              <w:spacing w:line="264" w:lineRule="auto" w:after="80" w:before="80"/>
            </w:pPr>
            <w:r>
              <w:rPr>
                <w:sz w:val="18"/>
              </w:rPr>
              <w:t>两鸡群产蛋关联、等位基因报告及颗粒细胞功能支持[79]</w:t>
            </w:r>
          </w:p>
        </w:tc>
        <w:tc>
          <w:tcPr>
            <w:tcW w:type="dxa" w:w="4488"/>
          </w:tcPr>
          <w:p>
            <w:pPr>
              <w:spacing w:line="264" w:lineRule="auto" w:after="80" w:before="80"/>
            </w:pPr>
            <w:r>
              <w:rPr>
                <w:sz w:val="18"/>
              </w:rPr>
              <w:t>候选因果调控变异；基因干预与变异作用分别解释</w:t>
            </w:r>
          </w:p>
        </w:tc>
      </w:tr>
    </w:tbl>
    <w:p/>
    <w:p>
      <w:r>
        <w:t>注：本表分别呈现具体遗传对象、关键证据及可支持的解释；术语沿用表1，不将三者合成等级或评分。L1与L2按具体缺失分别记录；工程化ANP32A与自然变异分开解释。VSV：水疱性口炎病毒。详细研究背景见补充表S1；引文编号与正文统一。</w:t>
      </w:r>
    </w:p>
    <w:p>
      <w:pPr>
        <w:pStyle w:val="Heading1"/>
      </w:pPr>
      <w:r>
        <w:t>表3 遗传信息的选择用途、实施记录与结果</w:t>
      </w:r>
    </w:p>
    <w:p>
      <w:r>
        <w:rPr>
          <w:b/>
        </w:rPr>
        <w:t>A. 已有选育实施或导入评价的案例</w:t>
      </w:r>
    </w:p>
    <w:tbl>
      <w:tblPr>
        <w:tblStyle w:val="TableGrid"/>
        <w:tblW w:type="auto" w:w="0"/>
        <w:tblLayout w:type="fixed"/>
        <w:tblLook w:firstColumn="1" w:firstRow="1" w:lastColumn="0" w:lastRow="0" w:noHBand="0" w:noVBand="1" w:val="04A0"/>
      </w:tblPr>
      <w:tblGrid>
        <w:gridCol w:w="2394"/>
        <w:gridCol w:w="3292"/>
        <w:gridCol w:w="4788"/>
        <w:gridCol w:w="4488"/>
      </w:tblGrid>
      <w:tr>
        <w:trPr>
          <w:tblHeader/>
        </w:trPr>
        <w:tc>
          <w:tcPr>
            <w:tcW w:type="dxa" w:w="2394"/>
            <w:shd w:fill="E8EDF2"/>
          </w:tcPr>
          <w:p>
            <w:pPr>
              <w:spacing w:line="264" w:lineRule="auto" w:after="80" w:before="80"/>
            </w:pPr>
            <w:r>
              <w:rPr>
                <w:b/>
                <w:sz w:val="18"/>
              </w:rPr>
              <w:t>遗传对象与目标用途</w:t>
            </w:r>
          </w:p>
        </w:tc>
        <w:tc>
          <w:tcPr>
            <w:tcW w:type="dxa" w:w="3292"/>
            <w:shd w:fill="E8EDF2"/>
          </w:tcPr>
          <w:p>
            <w:pPr>
              <w:spacing w:line="264" w:lineRule="auto" w:after="80" w:before="80"/>
            </w:pPr>
            <w:r>
              <w:rPr>
                <w:b/>
                <w:sz w:val="18"/>
              </w:rPr>
              <w:t>实施记录</w:t>
            </w:r>
          </w:p>
        </w:tc>
        <w:tc>
          <w:tcPr>
            <w:tcW w:type="dxa" w:w="4788"/>
            <w:shd w:fill="E8EDF2"/>
          </w:tcPr>
          <w:p>
            <w:pPr>
              <w:spacing w:line="264" w:lineRule="auto" w:after="80" w:before="80"/>
            </w:pPr>
            <w:r>
              <w:rPr>
                <w:b/>
                <w:sz w:val="18"/>
              </w:rPr>
              <w:t>已记录的结果及终点</w:t>
            </w:r>
          </w:p>
        </w:tc>
        <w:tc>
          <w:tcPr>
            <w:tcW w:type="dxa" w:w="4488"/>
            <w:shd w:fill="E8EDF2"/>
          </w:tcPr>
          <w:p>
            <w:pPr>
              <w:spacing w:line="264" w:lineRule="auto" w:after="80" w:before="80"/>
            </w:pPr>
            <w:r>
              <w:rPr>
                <w:b/>
                <w:sz w:val="18"/>
              </w:rPr>
              <w:t>适用范围</w:t>
            </w:r>
          </w:p>
        </w:tc>
      </w:tr>
      <w:tr>
        <w:tc>
          <w:tcPr>
            <w:tcW w:type="dxa" w:w="2394"/>
          </w:tcPr>
          <w:p>
            <w:pPr>
              <w:spacing w:line="264" w:lineRule="auto" w:after="80" w:before="80"/>
            </w:pPr>
            <w:r>
              <w:rPr>
                <w:i/>
                <w:sz w:val="18"/>
              </w:rPr>
              <w:t>CCKAR</w:t>
            </w:r>
            <w:r>
              <w:rPr>
                <w:sz w:val="18"/>
              </w:rPr>
              <w:t xml:space="preserve"> g.420 C&gt;A：生长与胴体</w:t>
            </w:r>
          </w:p>
        </w:tc>
        <w:tc>
          <w:tcPr>
            <w:tcW w:type="dxa" w:w="3292"/>
          </w:tcPr>
          <w:p>
            <w:pPr>
              <w:spacing w:line="264" w:lineRule="auto" w:after="80" w:before="80"/>
            </w:pPr>
            <w:r>
              <w:rPr>
                <w:sz w:val="18"/>
              </w:rPr>
              <w:t>部分日本鸡群按标记选亲本，并比较改良后代[28][29][30][6]。</w:t>
            </w:r>
          </w:p>
        </w:tc>
        <w:tc>
          <w:tcPr>
            <w:tcW w:type="dxa" w:w="4788"/>
          </w:tcPr>
          <w:p>
            <w:pPr>
              <w:spacing w:line="264" w:lineRule="auto" w:after="80" w:before="80"/>
            </w:pPr>
            <w:r>
              <w:rPr>
                <w:b/>
                <w:sz w:val="18"/>
              </w:rPr>
              <w:t>遗传</w:t>
            </w:r>
            <w:r>
              <w:rPr>
                <w:sz w:val="18"/>
              </w:rPr>
              <w:t>：亲本有利等位基因频率提高或固定[28][30]。</w:t>
            </w:r>
            <w:r>
              <w:rPr>
                <w:b/>
                <w:sz w:val="18"/>
              </w:rPr>
              <w:t>生产</w:t>
            </w:r>
            <w:r>
              <w:rPr>
                <w:sz w:val="18"/>
              </w:rPr>
              <w:t>：部分后代体重或胴体重提高[29][30][6]。</w:t>
            </w:r>
          </w:p>
        </w:tc>
        <w:tc>
          <w:tcPr>
            <w:tcW w:type="dxa" w:w="4488"/>
          </w:tcPr>
          <w:p>
            <w:pPr>
              <w:spacing w:line="264" w:lineRule="auto" w:after="80" w:before="80"/>
            </w:pPr>
            <w:r>
              <w:rPr>
                <w:sz w:val="18"/>
              </w:rPr>
              <w:t>Miyazaki比较改良与常规亲本方案的后代，组间差异未分离单个位点贡献[6]；Sanuki固定后无改善据综述转述[31]。</w:t>
            </w:r>
          </w:p>
        </w:tc>
      </w:tr>
      <w:tr>
        <w:tc>
          <w:tcPr>
            <w:tcW w:type="dxa" w:w="2394"/>
          </w:tcPr>
          <w:p>
            <w:pPr>
              <w:spacing w:line="264" w:lineRule="auto" w:after="80" w:before="80"/>
            </w:pPr>
            <w:r>
              <w:rPr>
                <w:i/>
                <w:sz w:val="18"/>
              </w:rPr>
              <w:t>FMO3</w:t>
            </w:r>
            <w:r>
              <w:rPr>
                <w:sz w:val="18"/>
              </w:rPr>
              <w:t xml:space="preserve"> T329S：鱼腥蛋风险</w:t>
            </w:r>
          </w:p>
        </w:tc>
        <w:tc>
          <w:tcPr>
            <w:tcW w:type="dxa" w:w="3292"/>
          </w:tcPr>
          <w:p>
            <w:pPr>
              <w:spacing w:line="264" w:lineRule="auto" w:after="80" w:before="80"/>
            </w:pPr>
            <w:r>
              <w:rPr>
                <w:sz w:val="18"/>
              </w:rPr>
              <w:t>北京油鸡累计分型2,359只候选种鸡；2010年雌雄筛选，2011—2012年仅筛公鸡[7]。</w:t>
            </w:r>
          </w:p>
        </w:tc>
        <w:tc>
          <w:tcPr>
            <w:tcW w:type="dxa" w:w="4788"/>
          </w:tcPr>
          <w:p>
            <w:pPr>
              <w:spacing w:line="264" w:lineRule="auto" w:after="80" w:before="80"/>
            </w:pPr>
            <w:r>
              <w:rPr>
                <w:b/>
                <w:sz w:val="18"/>
              </w:rPr>
              <w:t>遗传</w:t>
            </w:r>
            <w:r>
              <w:rPr>
                <w:sz w:val="18"/>
              </w:rPr>
              <w:t>：2010—2013年T样本频率约0.186、0.032、0.026、0.022[7]。</w:t>
            </w:r>
          </w:p>
        </w:tc>
        <w:tc>
          <w:tcPr>
            <w:tcW w:type="dxa" w:w="4488"/>
          </w:tcPr>
          <w:p>
            <w:pPr>
              <w:spacing w:line="264" w:lineRule="auto" w:after="80" w:before="80"/>
            </w:pPr>
            <w:r>
              <w:rPr>
                <w:sz w:val="18"/>
              </w:rPr>
              <w:t>前三年为候选种鸡、末年为全群随机样本；频率序列不作统一逐代响应，原文未报告选后鱼腥蛋发生率[7]。</w:t>
            </w:r>
          </w:p>
        </w:tc>
      </w:tr>
      <w:tr>
        <w:tc>
          <w:tcPr>
            <w:tcW w:type="dxa" w:w="2394"/>
          </w:tcPr>
          <w:p>
            <w:pPr>
              <w:spacing w:line="264" w:lineRule="auto" w:after="80" w:before="80"/>
            </w:pPr>
            <w:r>
              <w:rPr>
                <w:i/>
                <w:sz w:val="18"/>
              </w:rPr>
              <w:t>SLCO1B3</w:t>
            </w:r>
            <w:r>
              <w:rPr>
                <w:sz w:val="18"/>
              </w:rPr>
              <w:t>经典插入：蓝壳性状</w:t>
            </w:r>
          </w:p>
        </w:tc>
        <w:tc>
          <w:tcPr>
            <w:tcW w:type="dxa" w:w="3292"/>
          </w:tcPr>
          <w:p>
            <w:pPr>
              <w:spacing w:line="264" w:lineRule="auto" w:after="80" w:before="80"/>
            </w:pPr>
            <w:r>
              <w:rPr>
                <w:sz w:val="18"/>
              </w:rPr>
              <w:t>在蓝壳与矮小联合选育群体中采用EAV-HP插入及</w:t>
            </w:r>
            <w:r>
              <w:rPr>
                <w:i/>
                <w:sz w:val="18"/>
              </w:rPr>
              <w:t>GHR</w:t>
            </w:r>
            <w:r>
              <w:rPr>
                <w:sz w:val="18"/>
              </w:rPr>
              <w:t>标记选留配种[75]；DOMINANT Greenshell另有EAV-HP插入分型筛选[76]。</w:t>
            </w:r>
          </w:p>
        </w:tc>
        <w:tc>
          <w:tcPr>
            <w:tcW w:type="dxa" w:w="4788"/>
          </w:tcPr>
          <w:p>
            <w:pPr>
              <w:spacing w:line="264" w:lineRule="auto" w:after="80" w:before="80"/>
            </w:pPr>
            <w:r>
              <w:rPr>
                <w:b/>
                <w:sz w:val="18"/>
              </w:rPr>
              <w:t>品质</w:t>
            </w:r>
            <w:r>
              <w:rPr>
                <w:sz w:val="18"/>
              </w:rPr>
              <w:t>：两组验证交配的901只后代母鸡均产蓝壳蛋[75]；另一个由O/O亲本建系的群体报告三轮颜色表型选择结果[77]。</w:t>
            </w:r>
          </w:p>
        </w:tc>
        <w:tc>
          <w:tcPr>
            <w:tcW w:type="dxa" w:w="4488"/>
          </w:tcPr>
          <w:p>
            <w:pPr>
              <w:spacing w:line="264" w:lineRule="auto" w:after="80" w:before="80"/>
            </w:pPr>
            <w:r>
              <w:rPr>
                <w:sz w:val="18"/>
              </w:rPr>
              <w:t>蓝壳传递与色调改良对应不同选择任务；商业后代固定据企业内部检测转述[76]。</w:t>
            </w:r>
          </w:p>
        </w:tc>
      </w:tr>
      <w:tr>
        <w:tc>
          <w:tcPr>
            <w:tcW w:type="dxa" w:w="2394"/>
          </w:tcPr>
          <w:p>
            <w:pPr>
              <w:spacing w:line="264" w:lineRule="auto" w:after="80" w:before="80"/>
            </w:pPr>
            <w:r>
              <w:rPr>
                <w:sz w:val="18"/>
              </w:rPr>
              <w:t>MHC-B单倍型：马立克病抗性</w:t>
            </w:r>
          </w:p>
        </w:tc>
        <w:tc>
          <w:tcPr>
            <w:tcW w:type="dxa" w:w="3292"/>
          </w:tcPr>
          <w:p>
            <w:pPr>
              <w:spacing w:line="264" w:lineRule="auto" w:after="80" w:before="80"/>
            </w:pPr>
            <w:r>
              <w:rPr>
                <w:sz w:val="18"/>
              </w:rPr>
              <w:t>白壳系实施MHC型管理；褐壳系开展整体抗病选择并回顾分型[86]。</w:t>
            </w:r>
          </w:p>
        </w:tc>
        <w:tc>
          <w:tcPr>
            <w:tcW w:type="dxa" w:w="4788"/>
          </w:tcPr>
          <w:p>
            <w:pPr>
              <w:spacing w:line="264" w:lineRule="auto" w:after="80" w:before="80"/>
            </w:pPr>
            <w:r>
              <w:rPr>
                <w:b/>
                <w:sz w:val="18"/>
              </w:rPr>
              <w:t>遗传</w:t>
            </w:r>
            <w:r>
              <w:rPr>
                <w:sz w:val="18"/>
              </w:rPr>
              <w:t>：褐壳系单倍型频率变化。</w:t>
            </w:r>
            <w:r>
              <w:rPr>
                <w:b/>
                <w:sz w:val="18"/>
              </w:rPr>
              <w:t>抗病表型</w:t>
            </w:r>
            <w:r>
              <w:rPr>
                <w:sz w:val="18"/>
              </w:rPr>
              <w:t>：整体选择计划中九系的八系后裔测定MD相关死亡率下降；该统计类别包含测定结束时有临床表现的存活个体[86]。</w:t>
            </w:r>
          </w:p>
        </w:tc>
        <w:tc>
          <w:tcPr>
            <w:tcW w:type="dxa" w:w="4488"/>
          </w:tcPr>
          <w:p>
            <w:pPr>
              <w:spacing w:line="264" w:lineRule="auto" w:after="80" w:before="80"/>
            </w:pPr>
            <w:r>
              <w:rPr>
                <w:sz w:val="18"/>
              </w:rPr>
              <w:t>死亡率响应归于整体选择程序；褐壳系未按MHC型定向选择，结果不分配给</w:t>
            </w:r>
            <w:r>
              <w:rPr>
                <w:i/>
                <w:sz w:val="18"/>
              </w:rPr>
              <w:t>BG1</w:t>
            </w:r>
            <w:r>
              <w:rPr>
                <w:sz w:val="18"/>
              </w:rPr>
              <w:t>单变异[86]。</w:t>
            </w:r>
          </w:p>
        </w:tc>
      </w:tr>
      <w:tr>
        <w:tc>
          <w:tcPr>
            <w:tcW w:type="dxa" w:w="2394"/>
          </w:tcPr>
          <w:p>
            <w:pPr>
              <w:spacing w:line="264" w:lineRule="auto" w:after="80" w:before="80"/>
            </w:pPr>
            <w:r>
              <w:rPr>
                <w:sz w:val="18"/>
              </w:rPr>
              <w:t>Na裸颈：环境适应与生产</w:t>
            </w:r>
          </w:p>
        </w:tc>
        <w:tc>
          <w:tcPr>
            <w:tcW w:type="dxa" w:w="3292"/>
          </w:tcPr>
          <w:p>
            <w:pPr>
              <w:spacing w:line="264" w:lineRule="auto" w:after="80" w:before="80"/>
            </w:pPr>
            <w:r>
              <w:rPr>
                <w:sz w:val="18"/>
              </w:rPr>
              <w:t>在低RFI背景中六代导入后评价[117]；另有研究性选育[120]。</w:t>
            </w:r>
          </w:p>
        </w:tc>
        <w:tc>
          <w:tcPr>
            <w:tcW w:type="dxa" w:w="4788"/>
          </w:tcPr>
          <w:p>
            <w:pPr>
              <w:spacing w:line="264" w:lineRule="auto" w:after="80" w:before="80"/>
            </w:pPr>
            <w:r>
              <w:rPr>
                <w:b/>
                <w:sz w:val="18"/>
              </w:rPr>
              <w:t>生产</w:t>
            </w:r>
            <w:r>
              <w:rPr>
                <w:sz w:val="18"/>
              </w:rPr>
              <w:t>：导入后部分性状改善，亚热带产蛋未改善[117]；其他群体、环境比较结果不同[118][119][121]。</w:t>
            </w:r>
          </w:p>
        </w:tc>
        <w:tc>
          <w:tcPr>
            <w:tcW w:type="dxa" w:w="4488"/>
          </w:tcPr>
          <w:p>
            <w:pPr>
              <w:spacing w:line="264" w:lineRule="auto" w:after="80" w:before="80"/>
            </w:pPr>
            <w:r>
              <w:rPr>
                <w:sz w:val="18"/>
              </w:rPr>
              <w:t>导入评价与独立群体比较分别解释；按羽型选育不等于针对结构变异的分型MAS。</w:t>
            </w:r>
          </w:p>
        </w:tc>
      </w:tr>
    </w:tbl>
    <w:p/>
    <w:p>
      <w:r>
        <w:rPr>
          <w:b/>
        </w:rPr>
        <w:t>B. 选育方案、候选标记及研究用途</w:t>
      </w:r>
    </w:p>
    <w:tbl>
      <w:tblPr>
        <w:tblStyle w:val="TableGrid"/>
        <w:tblW w:type="auto" w:w="0"/>
        <w:tblLayout w:type="fixed"/>
        <w:tblLook w:firstColumn="1" w:firstRow="1" w:lastColumn="0" w:lastRow="0" w:noHBand="0" w:noVBand="1" w:val="04A0"/>
      </w:tblPr>
      <w:tblGrid>
        <w:gridCol w:w="2394"/>
        <w:gridCol w:w="3292"/>
        <w:gridCol w:w="4788"/>
        <w:gridCol w:w="4488"/>
      </w:tblGrid>
      <w:tr>
        <w:trPr>
          <w:tblHeader/>
        </w:trPr>
        <w:tc>
          <w:tcPr>
            <w:tcW w:type="dxa" w:w="2394"/>
            <w:shd w:fill="E8EDF2"/>
          </w:tcPr>
          <w:p>
            <w:pPr>
              <w:spacing w:line="264" w:lineRule="auto" w:after="80" w:before="80"/>
            </w:pPr>
            <w:r>
              <w:rPr>
                <w:b/>
                <w:sz w:val="18"/>
              </w:rPr>
              <w:t>遗传对象与用途</w:t>
            </w:r>
          </w:p>
        </w:tc>
        <w:tc>
          <w:tcPr>
            <w:tcW w:type="dxa" w:w="3292"/>
            <w:shd w:fill="E8EDF2"/>
          </w:tcPr>
          <w:p>
            <w:pPr>
              <w:spacing w:line="264" w:lineRule="auto" w:after="80" w:before="80"/>
            </w:pPr>
            <w:r>
              <w:rPr>
                <w:b/>
                <w:sz w:val="18"/>
              </w:rPr>
              <w:t>已经开展的工作</w:t>
            </w:r>
          </w:p>
        </w:tc>
        <w:tc>
          <w:tcPr>
            <w:tcW w:type="dxa" w:w="4788"/>
            <w:shd w:fill="E8EDF2"/>
          </w:tcPr>
          <w:p>
            <w:pPr>
              <w:spacing w:line="264" w:lineRule="auto" w:after="80" w:before="80"/>
            </w:pPr>
            <w:r>
              <w:rPr>
                <w:b/>
                <w:sz w:val="18"/>
              </w:rPr>
              <w:t>当前证据</w:t>
            </w:r>
          </w:p>
        </w:tc>
        <w:tc>
          <w:tcPr>
            <w:tcW w:type="dxa" w:w="4488"/>
            <w:shd w:fill="E8EDF2"/>
          </w:tcPr>
          <w:p>
            <w:pPr>
              <w:spacing w:line="264" w:lineRule="auto" w:after="80" w:before="80"/>
            </w:pPr>
            <w:r>
              <w:rPr>
                <w:b/>
                <w:sz w:val="18"/>
              </w:rPr>
              <w:t>用途范围</w:t>
            </w:r>
          </w:p>
        </w:tc>
      </w:tr>
      <w:tr>
        <w:tc>
          <w:tcPr>
            <w:tcW w:type="dxa" w:w="2394"/>
          </w:tcPr>
          <w:p>
            <w:pPr>
              <w:spacing w:line="264" w:lineRule="auto" w:after="80" w:before="80"/>
            </w:pPr>
            <w:r>
              <w:rPr>
                <w:i/>
                <w:sz w:val="18"/>
              </w:rPr>
              <w:t>IGF2BP1</w:t>
            </w:r>
            <w:r>
              <w:rPr>
                <w:sz w:val="18"/>
              </w:rPr>
              <w:t xml:space="preserve"> L1：生长</w:t>
            </w:r>
          </w:p>
        </w:tc>
        <w:tc>
          <w:tcPr>
            <w:tcW w:type="dxa" w:w="3292"/>
          </w:tcPr>
          <w:p>
            <w:pPr>
              <w:spacing w:line="264" w:lineRule="auto" w:after="80" w:before="80"/>
            </w:pPr>
            <w:r>
              <w:rPr>
                <w:sz w:val="18"/>
              </w:rPr>
              <w:t>分型工具、L1L1专利方案[2][46]及含L1L1联合标记推荐[47]。</w:t>
            </w:r>
          </w:p>
        </w:tc>
        <w:tc>
          <w:tcPr>
            <w:tcW w:type="dxa" w:w="4788"/>
          </w:tcPr>
          <w:p>
            <w:pPr>
              <w:spacing w:line="264" w:lineRule="auto" w:after="80" w:before="80"/>
            </w:pPr>
            <w:r>
              <w:rPr>
                <w:sz w:val="18"/>
              </w:rPr>
              <w:t>历史选择系L1/W分化[2]；联合基因型与体重关联[47]。</w:t>
            </w:r>
          </w:p>
        </w:tc>
        <w:tc>
          <w:tcPr>
            <w:tcW w:type="dxa" w:w="4488"/>
          </w:tcPr>
          <w:p>
            <w:pPr>
              <w:spacing w:line="264" w:lineRule="auto" w:after="80" w:before="80"/>
            </w:pPr>
            <w:r>
              <w:rPr>
                <w:sz w:val="18"/>
              </w:rPr>
              <w:t>方案与关联比较尚未连接按标记选留后的响应。</w:t>
            </w:r>
          </w:p>
        </w:tc>
      </w:tr>
      <w:tr>
        <w:tc>
          <w:tcPr>
            <w:tcW w:type="dxa" w:w="2394"/>
          </w:tcPr>
          <w:p>
            <w:pPr>
              <w:spacing w:line="264" w:lineRule="auto" w:after="80" w:before="80"/>
            </w:pPr>
            <w:r>
              <w:rPr>
                <w:i/>
                <w:sz w:val="18"/>
              </w:rPr>
              <w:t>IGF2BP1</w:t>
            </w:r>
            <w:r>
              <w:rPr>
                <w:sz w:val="18"/>
              </w:rPr>
              <w:t xml:space="preserve"> L2：生长候选</w:t>
            </w:r>
          </w:p>
        </w:tc>
        <w:tc>
          <w:tcPr>
            <w:tcW w:type="dxa" w:w="3292"/>
          </w:tcPr>
          <w:p>
            <w:pPr>
              <w:spacing w:line="264" w:lineRule="auto" w:after="80" w:before="80"/>
            </w:pPr>
            <w:r>
              <w:rPr>
                <w:sz w:val="18"/>
              </w:rPr>
              <w:t>功能与分布研究[2]；含L1L2联合基因型的体重比较[47]。</w:t>
            </w:r>
          </w:p>
        </w:tc>
        <w:tc>
          <w:tcPr>
            <w:tcW w:type="dxa" w:w="4788"/>
          </w:tcPr>
          <w:p>
            <w:pPr>
              <w:spacing w:line="264" w:lineRule="auto" w:after="80" w:before="80"/>
            </w:pPr>
            <w:r>
              <w:rPr>
                <w:sz w:val="18"/>
              </w:rPr>
              <w:t>已有整鸡比较资料；推荐组合含L1L1，不是L2选留方案[47]。</w:t>
            </w:r>
          </w:p>
        </w:tc>
        <w:tc>
          <w:tcPr>
            <w:tcW w:type="dxa" w:w="4488"/>
          </w:tcPr>
          <w:p>
            <w:pPr>
              <w:spacing w:line="264" w:lineRule="auto" w:after="80" w:before="80"/>
            </w:pPr>
            <w:r>
              <w:rPr>
                <w:sz w:val="18"/>
              </w:rPr>
              <w:t>未报告按L2选留后的响应，联合比较不单独确立L2的育种方向。</w:t>
            </w:r>
          </w:p>
        </w:tc>
      </w:tr>
      <w:tr>
        <w:tc>
          <w:tcPr>
            <w:tcW w:type="dxa" w:w="2394"/>
          </w:tcPr>
          <w:p>
            <w:pPr>
              <w:spacing w:line="264" w:lineRule="auto" w:after="80" w:before="80"/>
            </w:pPr>
            <w:r>
              <w:rPr>
                <w:sz w:val="18"/>
              </w:rPr>
              <w:t>rs734209466：腹脂</w:t>
            </w:r>
          </w:p>
        </w:tc>
        <w:tc>
          <w:tcPr>
            <w:tcW w:type="dxa" w:w="3292"/>
          </w:tcPr>
          <w:p>
            <w:pPr>
              <w:spacing w:line="264" w:lineRule="auto" w:after="80" w:before="80"/>
            </w:pPr>
            <w:r>
              <w:rPr>
                <w:sz w:val="18"/>
              </w:rPr>
              <w:t>专利提出DelDel选留方案[56]。</w:t>
            </w:r>
          </w:p>
        </w:tc>
        <w:tc>
          <w:tcPr>
            <w:tcW w:type="dxa" w:w="4788"/>
          </w:tcPr>
          <w:p>
            <w:pPr>
              <w:spacing w:line="264" w:lineRule="auto" w:after="80" w:before="80"/>
            </w:pPr>
            <w:r>
              <w:rPr>
                <w:sz w:val="18"/>
              </w:rPr>
              <w:t>自然基因型关联与调控功能支持[3]。</w:t>
            </w:r>
          </w:p>
        </w:tc>
        <w:tc>
          <w:tcPr>
            <w:tcW w:type="dxa" w:w="4488"/>
          </w:tcPr>
          <w:p>
            <w:pPr>
              <w:spacing w:line="264" w:lineRule="auto" w:after="80" w:before="80"/>
            </w:pPr>
            <w:r>
              <w:rPr>
                <w:sz w:val="18"/>
              </w:rPr>
              <w:t>当前为选育方案，未连接独立实施及选后结果。</w:t>
            </w:r>
          </w:p>
        </w:tc>
      </w:tr>
      <w:tr>
        <w:tc>
          <w:tcPr>
            <w:tcW w:type="dxa" w:w="2394"/>
          </w:tcPr>
          <w:p>
            <w:pPr>
              <w:spacing w:line="264" w:lineRule="auto" w:after="80" w:before="80"/>
            </w:pPr>
            <w:r>
              <w:rPr>
                <w:i/>
                <w:sz w:val="18"/>
              </w:rPr>
              <w:t>PHKG1</w:t>
            </w:r>
            <w:r>
              <w:rPr>
                <w:sz w:val="18"/>
              </w:rPr>
              <w:t>：肉品质</w:t>
            </w:r>
          </w:p>
        </w:tc>
        <w:tc>
          <w:tcPr>
            <w:tcW w:type="dxa" w:w="3292"/>
          </w:tcPr>
          <w:p>
            <w:pPr>
              <w:spacing w:line="264" w:lineRule="auto" w:after="80" w:before="80"/>
            </w:pPr>
            <w:r>
              <w:rPr>
                <w:sz w:val="18"/>
              </w:rPr>
              <w:t>提出MAS用途[59]。</w:t>
            </w:r>
          </w:p>
        </w:tc>
        <w:tc>
          <w:tcPr>
            <w:tcW w:type="dxa" w:w="4788"/>
          </w:tcPr>
          <w:p>
            <w:pPr>
              <w:spacing w:line="264" w:lineRule="auto" w:after="80" w:before="80"/>
            </w:pPr>
            <w:r>
              <w:rPr>
                <w:sz w:val="18"/>
              </w:rPr>
              <w:t>基因型与肉品质关联[59]。</w:t>
            </w:r>
          </w:p>
        </w:tc>
        <w:tc>
          <w:tcPr>
            <w:tcW w:type="dxa" w:w="4488"/>
          </w:tcPr>
          <w:p>
            <w:pPr>
              <w:spacing w:line="264" w:lineRule="auto" w:after="80" w:before="80"/>
            </w:pPr>
            <w:r>
              <w:rPr>
                <w:sz w:val="18"/>
              </w:rPr>
              <w:t>关联结果用于提出候选，不记为选后品质改善。</w:t>
            </w:r>
          </w:p>
        </w:tc>
      </w:tr>
      <w:tr>
        <w:tc>
          <w:tcPr>
            <w:tcW w:type="dxa" w:w="2394"/>
          </w:tcPr>
          <w:p>
            <w:pPr>
              <w:spacing w:line="264" w:lineRule="auto" w:after="80" w:before="80"/>
            </w:pPr>
            <w:r>
              <w:rPr>
                <w:i/>
                <w:sz w:val="18"/>
              </w:rPr>
              <w:t>PHIP</w:t>
            </w:r>
            <w:r>
              <w:rPr>
                <w:sz w:val="18"/>
              </w:rPr>
              <w:t>：产蛋</w:t>
            </w:r>
          </w:p>
        </w:tc>
        <w:tc>
          <w:tcPr>
            <w:tcW w:type="dxa" w:w="3292"/>
          </w:tcPr>
          <w:p>
            <w:pPr>
              <w:spacing w:line="264" w:lineRule="auto" w:after="80" w:before="80"/>
            </w:pPr>
            <w:r>
              <w:rPr>
                <w:sz w:val="18"/>
              </w:rPr>
              <w:t>提出潜在产蛋标记[79]。</w:t>
            </w:r>
          </w:p>
        </w:tc>
        <w:tc>
          <w:tcPr>
            <w:tcW w:type="dxa" w:w="4788"/>
          </w:tcPr>
          <w:p>
            <w:pPr>
              <w:spacing w:line="264" w:lineRule="auto" w:after="80" w:before="80"/>
            </w:pPr>
            <w:r>
              <w:rPr>
                <w:sz w:val="18"/>
              </w:rPr>
              <w:t>自然基因型产蛋关联与功能支持[79]。</w:t>
            </w:r>
          </w:p>
        </w:tc>
        <w:tc>
          <w:tcPr>
            <w:tcW w:type="dxa" w:w="4488"/>
          </w:tcPr>
          <w:p>
            <w:pPr>
              <w:spacing w:line="264" w:lineRule="auto" w:after="80" w:before="80"/>
            </w:pPr>
            <w:r>
              <w:rPr>
                <w:sz w:val="18"/>
              </w:rPr>
              <w:t>当前为候选标记研究。</w:t>
            </w:r>
          </w:p>
        </w:tc>
      </w:tr>
      <w:tr>
        <w:tc>
          <w:tcPr>
            <w:tcW w:type="dxa" w:w="2394"/>
          </w:tcPr>
          <w:p>
            <w:pPr>
              <w:spacing w:line="264" w:lineRule="auto" w:after="80" w:before="80"/>
            </w:pPr>
            <w:r>
              <w:rPr>
                <w:i/>
                <w:sz w:val="18"/>
              </w:rPr>
              <w:t>tva</w:t>
            </w:r>
            <w:r>
              <w:rPr>
                <w:sz w:val="18"/>
              </w:rPr>
              <w:t>：研究供体构建</w:t>
            </w:r>
          </w:p>
        </w:tc>
        <w:tc>
          <w:tcPr>
            <w:tcW w:type="dxa" w:w="3292"/>
          </w:tcPr>
          <w:p>
            <w:pPr>
              <w:spacing w:line="264" w:lineRule="auto" w:after="80" w:before="80"/>
            </w:pPr>
            <w:r>
              <w:rPr>
                <w:sz w:val="18"/>
              </w:rPr>
              <w:t>按</w:t>
            </w:r>
            <w:r>
              <w:rPr>
                <w:i/>
                <w:sz w:val="18"/>
              </w:rPr>
              <w:t>tva/tvb</w:t>
            </w:r>
            <w:r>
              <w:rPr>
                <w:sz w:val="18"/>
              </w:rPr>
              <w:t>基因型配种[98]。</w:t>
            </w:r>
          </w:p>
        </w:tc>
        <w:tc>
          <w:tcPr>
            <w:tcW w:type="dxa" w:w="4788"/>
          </w:tcPr>
          <w:p>
            <w:pPr>
              <w:spacing w:line="264" w:lineRule="auto" w:after="80" w:before="80"/>
            </w:pPr>
            <w:r>
              <w:rPr>
                <w:sz w:val="18"/>
              </w:rPr>
              <w:t>检出供体基因型，支持生殖系嵌合[98]。</w:t>
            </w:r>
          </w:p>
        </w:tc>
        <w:tc>
          <w:tcPr>
            <w:tcW w:type="dxa" w:w="4488"/>
          </w:tcPr>
          <w:p>
            <w:pPr>
              <w:spacing w:line="264" w:lineRule="auto" w:after="80" w:before="80"/>
            </w:pPr>
            <w:r>
              <w:rPr>
                <w:sz w:val="18"/>
              </w:rPr>
              <w:t>研究材料构建；未据此验证后代抗性传递率。</w:t>
            </w:r>
          </w:p>
        </w:tc>
      </w:tr>
      <w:tr>
        <w:tc>
          <w:tcPr>
            <w:tcW w:type="dxa" w:w="2394"/>
          </w:tcPr>
          <w:p>
            <w:pPr>
              <w:spacing w:line="264" w:lineRule="auto" w:after="80" w:before="80"/>
            </w:pPr>
            <w:r>
              <w:rPr>
                <w:i/>
                <w:sz w:val="18"/>
              </w:rPr>
              <w:t>ANP32A</w:t>
            </w:r>
            <w:r>
              <w:rPr>
                <w:sz w:val="18"/>
              </w:rPr>
              <w:t>：工程化抗性</w:t>
            </w:r>
          </w:p>
        </w:tc>
        <w:tc>
          <w:tcPr>
            <w:tcW w:type="dxa" w:w="3292"/>
          </w:tcPr>
          <w:p>
            <w:pPr>
              <w:spacing w:line="264" w:lineRule="auto" w:after="80" w:before="80"/>
            </w:pPr>
            <w:r>
              <w:rPr>
                <w:sz w:val="18"/>
              </w:rPr>
              <w:t>研究性繁殖并取得编辑后代[100]。</w:t>
            </w:r>
          </w:p>
        </w:tc>
        <w:tc>
          <w:tcPr>
            <w:tcW w:type="dxa" w:w="4788"/>
          </w:tcPr>
          <w:p>
            <w:pPr>
              <w:spacing w:line="264" w:lineRule="auto" w:after="80" w:before="80"/>
            </w:pPr>
            <w:r>
              <w:rPr>
                <w:sz w:val="18"/>
              </w:rPr>
              <w:t>整鸡抗性及遗传传递[100]。</w:t>
            </w:r>
          </w:p>
        </w:tc>
        <w:tc>
          <w:tcPr>
            <w:tcW w:type="dxa" w:w="4488"/>
          </w:tcPr>
          <w:p>
            <w:pPr>
              <w:spacing w:line="264" w:lineRule="auto" w:after="80" w:before="80"/>
            </w:pPr>
            <w:r>
              <w:rPr>
                <w:sz w:val="18"/>
              </w:rPr>
              <w:t>工程化基础验证与研究性传递；该研究未报告商业部署评价[100]。</w:t>
            </w:r>
          </w:p>
        </w:tc>
      </w:tr>
      <w:tr>
        <w:tc>
          <w:tcPr>
            <w:tcW w:type="dxa" w:w="2394"/>
          </w:tcPr>
          <w:p>
            <w:pPr>
              <w:spacing w:line="264" w:lineRule="auto" w:after="80" w:before="80"/>
            </w:pPr>
            <w:r>
              <w:rPr>
                <w:i/>
                <w:sz w:val="18"/>
              </w:rPr>
              <w:t>MX</w:t>
            </w:r>
            <w:r>
              <w:rPr>
                <w:sz w:val="18"/>
              </w:rPr>
              <w:t xml:space="preserve"> S631N：禽流感抗性候选</w:t>
            </w:r>
          </w:p>
        </w:tc>
        <w:tc>
          <w:tcPr>
            <w:tcW w:type="dxa" w:w="3292"/>
          </w:tcPr>
          <w:p>
            <w:pPr>
              <w:spacing w:line="264" w:lineRule="auto" w:after="80" w:before="80"/>
            </w:pPr>
            <w:r>
              <w:rPr>
                <w:sz w:val="18"/>
              </w:rPr>
              <w:t>按基因型选择亲本或配种，构建研究材料[108][109]。</w:t>
            </w:r>
          </w:p>
        </w:tc>
        <w:tc>
          <w:tcPr>
            <w:tcW w:type="dxa" w:w="4788"/>
          </w:tcPr>
          <w:p>
            <w:pPr>
              <w:spacing w:line="264" w:lineRule="auto" w:after="80" w:before="80"/>
            </w:pPr>
            <w:r>
              <w:rPr>
                <w:sz w:val="18"/>
              </w:rPr>
              <w:t>另有商业MX单倍型频率变化及生产、马立克病/商业环境死亡关联记录[114]。</w:t>
            </w:r>
          </w:p>
        </w:tc>
        <w:tc>
          <w:tcPr>
            <w:tcW w:type="dxa" w:w="4488"/>
          </w:tcPr>
          <w:p>
            <w:pPr>
              <w:spacing w:line="264" w:lineRule="auto" w:after="80" w:before="80"/>
            </w:pPr>
            <w:r>
              <w:rPr>
                <w:sz w:val="18"/>
              </w:rPr>
              <w:t>现有研究不支持以S631N作为具有稳定独立效应的抗流感选种依据；商业单倍型变化属于另一用途。</w:t>
            </w:r>
          </w:p>
        </w:tc>
      </w:tr>
    </w:tbl>
    <w:p/>
    <w:p>
      <w:r>
        <w:t>注：A、B按实际用途组织，不构成证据等级。A中的遗传、表型或品质、生产结果分别标注，各案例仅列与其选择目标对应的已报告终点；“遗传”标签记录遗传组成变化，是否支持选择响应另依研究设计判断。B中的关联、功能和研究性遗传传递用于说明当前进展，不计为选后响应。分组依据所核公开资料；研究设计与结果归因见补充表S2，检索范围见补充材料S4。MAS：标记辅助选择；RFI：剩余采食量；MD：马立克病。</w:t>
      </w:r>
    </w:p>
    <w:p>
      <w:pPr>
        <w:pStyle w:val="Heading1"/>
      </w:pPr>
      <w:r>
        <w:t>补充表S1 因果证据的研究背景与解释细节</w:t>
      </w:r>
    </w:p>
    <w:tbl>
      <w:tblPr>
        <w:tblStyle w:val="TableGrid"/>
        <w:tblW w:type="auto" w:w="0"/>
        <w:tblLayout w:type="fixed"/>
        <w:tblLook w:firstColumn="1" w:firstRow="1" w:lastColumn="0" w:lastRow="0" w:noHBand="0" w:noVBand="1" w:val="04A0"/>
      </w:tblPr>
      <w:tblGrid>
        <w:gridCol w:w="4987"/>
        <w:gridCol w:w="4987"/>
        <w:gridCol w:w="4987"/>
      </w:tblGrid>
      <w:tr>
        <w:trPr>
          <w:tblHeader/>
        </w:trPr>
        <w:tc>
          <w:tcPr>
            <w:tcW w:type="dxa" w:w="4987"/>
            <w:shd w:fill="E8EDF2"/>
          </w:tcPr>
          <w:p>
            <w:pPr>
              <w:spacing w:line="264" w:lineRule="auto" w:after="80" w:before="80"/>
            </w:pPr>
            <w:r>
              <w:rPr>
                <w:b/>
                <w:sz w:val="18"/>
              </w:rPr>
              <w:t>案例</w:t>
            </w:r>
          </w:p>
        </w:tc>
        <w:tc>
          <w:tcPr>
            <w:tcW w:type="dxa" w:w="4987"/>
            <w:shd w:fill="E8EDF2"/>
          </w:tcPr>
          <w:p>
            <w:pPr>
              <w:spacing w:line="264" w:lineRule="auto" w:after="80" w:before="80"/>
            </w:pPr>
            <w:r>
              <w:rPr>
                <w:b/>
                <w:sz w:val="18"/>
              </w:rPr>
              <w:t>研究背景与证据</w:t>
            </w:r>
          </w:p>
        </w:tc>
        <w:tc>
          <w:tcPr>
            <w:tcW w:type="dxa" w:w="4987"/>
            <w:shd w:fill="E8EDF2"/>
          </w:tcPr>
          <w:p>
            <w:pPr>
              <w:spacing w:line="264" w:lineRule="auto" w:after="80" w:before="80"/>
            </w:pPr>
            <w:r>
              <w:rPr>
                <w:b/>
                <w:sz w:val="18"/>
              </w:rPr>
              <w:t>解释细节</w:t>
            </w:r>
          </w:p>
        </w:tc>
      </w:tr>
      <w:tr>
        <w:tc>
          <w:tcPr>
            <w:tcW w:type="dxa" w:w="4987"/>
          </w:tcPr>
          <w:p>
            <w:pPr>
              <w:spacing w:line="264" w:lineRule="auto" w:after="80" w:before="80"/>
            </w:pPr>
            <w:r>
              <w:rPr>
                <w:i/>
                <w:sz w:val="18"/>
              </w:rPr>
              <w:t>CCKAR</w:t>
            </w:r>
          </w:p>
        </w:tc>
        <w:tc>
          <w:tcPr>
            <w:tcW w:type="dxa" w:w="4987"/>
          </w:tcPr>
          <w:p>
            <w:pPr>
              <w:spacing w:line="264" w:lineRule="auto" w:after="80" w:before="80"/>
            </w:pPr>
            <w:r>
              <w:rPr>
                <w:sz w:val="18"/>
              </w:rPr>
              <w:t>Hinai-dori关联与YY1结合差异；独立高级互交群体高生长单倍型伴随较低表达与CCK抑食反应；后续有多个调控候选[17][18][19]。</w:t>
            </w:r>
          </w:p>
        </w:tc>
        <w:tc>
          <w:tcPr>
            <w:tcW w:type="dxa" w:w="4987"/>
          </w:tcPr>
          <w:p>
            <w:pPr>
              <w:spacing w:line="264" w:lineRule="auto" w:after="80" w:before="80"/>
            </w:pPr>
            <w:r>
              <w:rPr>
                <w:sz w:val="18"/>
              </w:rPr>
              <w:t>中国鸡群的标记、组织与性状并不相同；略阳原应用位点未重复关联[24]。区域功能不能锁定唯一QTN。Hinai-dori保存系211只的基因型比较另见[20] pp. J44–J45、图1；对应4—10周料肉比改善，全期4—14周未显著。</w:t>
            </w:r>
          </w:p>
        </w:tc>
      </w:tr>
      <w:tr>
        <w:tc>
          <w:tcPr>
            <w:tcW w:type="dxa" w:w="4987"/>
          </w:tcPr>
          <w:p>
            <w:pPr>
              <w:spacing w:line="264" w:lineRule="auto" w:after="80" w:before="80"/>
            </w:pPr>
            <w:r>
              <w:rPr>
                <w:i/>
                <w:sz w:val="18"/>
              </w:rPr>
              <w:t>IGF2BP1</w:t>
            </w:r>
            <w:r>
              <w:rPr>
                <w:sz w:val="18"/>
              </w:rPr>
              <w:t xml:space="preserve"> L1</w:t>
            </w:r>
          </w:p>
        </w:tc>
        <w:tc>
          <w:tcPr>
            <w:tcW w:type="dxa" w:w="4987"/>
          </w:tcPr>
          <w:p>
            <w:pPr>
              <w:spacing w:line="264" w:lineRule="auto" w:after="80" w:before="80"/>
            </w:pPr>
            <w:r>
              <w:rPr>
                <w:sz w:val="18"/>
              </w:rPr>
              <w:t>2021年734只固始×安卡F₂关联来自204只初始分析的同群扩展（[2] Fig.5及PAV关联方法）；2025年联合分型覆盖7群体2,228只，体重分析为752只F₂及217只金陵麻鸡公鸡（[47] §1.1/1.5、表4/5）。</w:t>
            </w:r>
          </w:p>
        </w:tc>
        <w:tc>
          <w:tcPr>
            <w:tcW w:type="dxa" w:w="4987"/>
          </w:tcPr>
          <w:p>
            <w:pPr>
              <w:spacing w:line="264" w:lineRule="auto" w:after="80" w:before="80"/>
            </w:pPr>
            <w:r>
              <w:rPr>
                <w:sz w:val="18"/>
              </w:rPr>
              <w:t>后续752只F₂与2021年734只的个体重叠未说明，不计作已证实的独立重复，也不断言完全同群；金陵麻鸡是另一群体背景的组合分析。其他研究分别涉及胸肌重单倍型[35]、三黄鸡胴体区域[36]、回交群体体重[37]、白城油鸡体尺SNP[38]、SNP/SV联合分析[39]、脾脏TWAS与共定位[40]及胸肌cis-eQTL[41]；这些区域或基因结果与L1特异验证分别归位。</w:t>
            </w:r>
          </w:p>
        </w:tc>
      </w:tr>
      <w:tr>
        <w:tc>
          <w:tcPr>
            <w:tcW w:type="dxa" w:w="4987"/>
          </w:tcPr>
          <w:p>
            <w:pPr>
              <w:spacing w:line="264" w:lineRule="auto" w:after="80" w:before="80"/>
            </w:pPr>
            <w:r>
              <w:rPr>
                <w:i/>
                <w:sz w:val="18"/>
              </w:rPr>
              <w:t>IGF2BP1</w:t>
            </w:r>
            <w:r>
              <w:rPr>
                <w:sz w:val="18"/>
              </w:rPr>
              <w:t xml:space="preserve"> L2</w:t>
            </w:r>
          </w:p>
        </w:tc>
        <w:tc>
          <w:tcPr>
            <w:tcW w:type="dxa" w:w="4987"/>
          </w:tcPr>
          <w:p>
            <w:pPr>
              <w:spacing w:line="264" w:lineRule="auto" w:after="80" w:before="80"/>
            </w:pPr>
            <w:r>
              <w:rPr>
                <w:sz w:val="18"/>
              </w:rPr>
              <w:t>2021年核心734只群体未检出L2，有报告活性与表达支持[2]；2025年752只F₂报告L2频率0.048，表4/5均含L1L2组合[47]。金陵麻鸡中SH3RF2-II/LncFAM-II背景的L1L1和L1L2分别126与72只，体重报告均值为5,106.98与4,809.58 g。</w:t>
            </w:r>
          </w:p>
        </w:tc>
        <w:tc>
          <w:tcPr>
            <w:tcW w:type="dxa" w:w="4987"/>
          </w:tcPr>
          <w:p>
            <w:pPr>
              <w:spacing w:line="264" w:lineRule="auto" w:after="80" w:before="80"/>
            </w:pPr>
            <w:r>
              <w:rPr>
                <w:sz w:val="18"/>
              </w:rPr>
              <w:t>两篇论文的L2检出情况不同，样本重叠及分型差异来源未交代，保留这一来源差异。2025年提供含L2个体的整鸡比较，不能再概括为只有功能或未开展性状分析；组合比较未单独确立L2相对W的效应。表4有4—6只小组，显著性肩标需结合不确定性核对，本文不照搬全部两两差异；表5部分组合共享显著性字母。</w:t>
            </w:r>
          </w:p>
        </w:tc>
      </w:tr>
      <w:tr>
        <w:tc>
          <w:tcPr>
            <w:tcW w:type="dxa" w:w="4987"/>
          </w:tcPr>
          <w:p>
            <w:pPr>
              <w:spacing w:line="264" w:lineRule="auto" w:after="80" w:before="80"/>
            </w:pPr>
            <w:r>
              <w:rPr>
                <w:sz w:val="18"/>
              </w:rPr>
              <w:t>rs734209466</w:t>
            </w:r>
          </w:p>
        </w:tc>
        <w:tc>
          <w:tcPr>
            <w:tcW w:type="dxa" w:w="4987"/>
          </w:tcPr>
          <w:p>
            <w:pPr>
              <w:spacing w:line="264" w:lineRule="auto" w:after="80" w:before="80"/>
            </w:pPr>
            <w:r>
              <w:rPr>
                <w:sz w:val="18"/>
              </w:rPr>
              <w:t>高脂160只与低脂170只公鸡合并作基因型比较；Fig.6c为单因素ANOVA及Tukey比较，未报告该项系别校正[3]。等位基因报告、IRF4结合、远端接触及靶基因干预支持调控联系；Fig.6e为系间表达，Supplementary Fig.8另提供自然等位基因组的表达比较。</w:t>
            </w:r>
          </w:p>
        </w:tc>
        <w:tc>
          <w:tcPr>
            <w:tcW w:type="dxa" w:w="4987"/>
          </w:tcPr>
          <w:p>
            <w:pPr>
              <w:spacing w:line="264" w:lineRule="auto" w:after="80" w:before="80"/>
            </w:pPr>
            <w:r>
              <w:rPr>
                <w:sz w:val="18"/>
              </w:rPr>
              <w:t>未见该整鸡结果以系内比较或条件关联分离选择系与连锁贡献，未报告精确内源等位基因替换；接触证据未直接证明InDel改变环结构；论文[3] Fig.6c与专利[56]实施例2、说明书第0044—0048段均报告330只高低脂系鸡，DelDel/InDel/InIn分别131/87/112只；这些对应材料不另计为独立重复，未逐只核对身份。</w:t>
            </w:r>
          </w:p>
        </w:tc>
      </w:tr>
      <w:tr>
        <w:tc>
          <w:tcPr>
            <w:tcW w:type="dxa" w:w="4987"/>
          </w:tcPr>
          <w:p>
            <w:pPr>
              <w:spacing w:line="264" w:lineRule="auto" w:after="80" w:before="80"/>
            </w:pPr>
            <w:r>
              <w:rPr>
                <w:i/>
                <w:sz w:val="18"/>
              </w:rPr>
              <w:t>PHKG1</w:t>
            </w:r>
          </w:p>
        </w:tc>
        <w:tc>
          <w:tcPr>
            <w:tcW w:type="dxa" w:w="4987"/>
          </w:tcPr>
          <w:p>
            <w:pPr>
              <w:spacing w:line="264" w:lineRule="auto" w:after="80" w:before="80"/>
            </w:pPr>
            <w:r>
              <w:rPr>
                <w:sz w:val="18"/>
              </w:rPr>
              <w:t>同群25只极端表型初筛（高滴水损失15只、低10只）后扩展至全部325只；表达比较为AA且高滴水损失与CC且低滴水损失，各6只（[59] Experimental Population、Results变异识别/关联小节、Fig.2、Tables 2–3及Fig.4）。</w:t>
            </w:r>
          </w:p>
        </w:tc>
        <w:tc>
          <w:tcPr>
            <w:tcW w:type="dxa" w:w="4987"/>
          </w:tcPr>
          <w:p>
            <w:pPr>
              <w:spacing w:line="264" w:lineRule="auto" w:after="80" w:before="80"/>
            </w:pPr>
            <w:r>
              <w:rPr>
                <w:sz w:val="18"/>
              </w:rPr>
              <w:t>初筛与扩展不算独立群体重复；表达差异同时包含基因型和表型选样差异，邻近标记与单倍型亦有关联。</w:t>
            </w:r>
          </w:p>
        </w:tc>
      </w:tr>
      <w:tr>
        <w:tc>
          <w:tcPr>
            <w:tcW w:type="dxa" w:w="4987"/>
          </w:tcPr>
          <w:p>
            <w:pPr>
              <w:spacing w:line="264" w:lineRule="auto" w:after="80" w:before="80"/>
            </w:pPr>
            <w:r>
              <w:rPr>
                <w:i/>
                <w:sz w:val="18"/>
              </w:rPr>
              <w:t>FMO3</w:t>
            </w:r>
          </w:p>
        </w:tc>
        <w:tc>
          <w:tcPr>
            <w:tcW w:type="dxa" w:w="4987"/>
          </w:tcPr>
          <w:p>
            <w:pPr>
              <w:spacing w:line="264" w:lineRule="auto" w:after="80" w:before="80"/>
            </w:pPr>
            <w:r>
              <w:rPr>
                <w:sz w:val="18"/>
              </w:rPr>
              <w:t>独立F₂按表型抽取168只分型，高TMA-N组为TT、低组为AA或AT[62]；自然基因型肝微粒体支持代谢差异（[63] Table 5），蛋黄TMA-N见Table 2。</w:t>
            </w:r>
          </w:p>
        </w:tc>
        <w:tc>
          <w:tcPr>
            <w:tcW w:type="dxa" w:w="4987"/>
          </w:tcPr>
          <w:p>
            <w:pPr>
              <w:spacing w:line="264" w:lineRule="auto" w:after="80" w:before="80"/>
            </w:pPr>
            <w:r>
              <w:rPr>
                <w:sz w:val="18"/>
              </w:rPr>
              <w:t>强因果支持的判断来自证据汇合：[62]的家系连锁及独立F₂关联缩小了作用区域和单一家系解释，编码区比较将候选集中到保守基序中的T329S；Table 3未检出所测基因型表达差异，削弱简单表达量差异的解释，但不排除全部调控或连锁作用。[63]的微粒体活性和TMA表型提供代谢联系，仍不是等基因替换；表型选样不用于估计一般群体发生率；菜籽粕交互对应TMA浓度（[64] Results—Experiment 1），感官接受度见[65] Table 3；两者与健康终点[67][68]分别解释。[69]有母鸡基因型×饲粮分组，Table 4高低TMA比较为按组平均浓度重新归组，不能单独归为T329S效应。</w:t>
            </w:r>
          </w:p>
        </w:tc>
      </w:tr>
      <w:tr>
        <w:tc>
          <w:tcPr>
            <w:tcW w:type="dxa" w:w="4987"/>
          </w:tcPr>
          <w:p>
            <w:pPr>
              <w:spacing w:line="264" w:lineRule="auto" w:after="80" w:before="80"/>
            </w:pPr>
            <w:r>
              <w:rPr>
                <w:i/>
                <w:sz w:val="18"/>
              </w:rPr>
              <w:t>SLCO1B3</w:t>
            </w:r>
          </w:p>
        </w:tc>
        <w:tc>
          <w:tcPr>
            <w:tcW w:type="dxa" w:w="4987"/>
          </w:tcPr>
          <w:p>
            <w:pPr>
              <w:spacing w:line="264" w:lineRule="auto" w:after="80" w:before="80"/>
            </w:pPr>
            <w:r>
              <w:rPr>
                <w:sz w:val="18"/>
              </w:rPr>
              <w:t>自然家系、插入共分离及壳腺等位基因表达支持经典插入的顺式效应（[71] Table 2、Fig.1E–F）；不同起源插入指向同一基因（[71] Fig.3C；[72] Figs.2–3）。</w:t>
            </w:r>
          </w:p>
        </w:tc>
        <w:tc>
          <w:tcPr>
            <w:tcW w:type="dxa" w:w="4987"/>
          </w:tcPr>
          <w:p>
            <w:pPr>
              <w:spacing w:line="264" w:lineRule="auto" w:after="80" w:before="80"/>
            </w:pPr>
            <w:r>
              <w:rPr>
                <w:sz w:val="18"/>
              </w:rPr>
              <w:t>略阳乌鸡另有启动子/内含子证据[73][74]；不能把经典插入用于解释全部蓝绿色蛋，也不把推定胆绿素转运写成直接测定。</w:t>
            </w:r>
          </w:p>
        </w:tc>
      </w:tr>
      <w:tr>
        <w:tc>
          <w:tcPr>
            <w:tcW w:type="dxa" w:w="4987"/>
          </w:tcPr>
          <w:p>
            <w:pPr>
              <w:spacing w:line="264" w:lineRule="auto" w:after="80" w:before="80"/>
            </w:pPr>
            <w:r>
              <w:rPr>
                <w:sz w:val="18"/>
              </w:rPr>
              <w:t xml:space="preserve">MHC-B / </w:t>
            </w:r>
            <w:r>
              <w:rPr>
                <w:i/>
                <w:sz w:val="18"/>
              </w:rPr>
              <w:t>BG1</w:t>
            </w:r>
          </w:p>
        </w:tc>
        <w:tc>
          <w:tcPr>
            <w:tcW w:type="dxa" w:w="4987"/>
          </w:tcPr>
          <w:p>
            <w:pPr>
              <w:spacing w:line="264" w:lineRule="auto" w:after="80" w:before="80"/>
            </w:pPr>
            <w:r>
              <w:rPr>
                <w:sz w:val="18"/>
              </w:rPr>
              <w:t>特定重组单倍型的</w:t>
            </w:r>
            <w:r>
              <w:rPr>
                <w:i/>
                <w:sz w:val="18"/>
              </w:rPr>
              <w:t>BG1</w:t>
            </w:r>
            <w:r>
              <w:rPr>
                <w:sz w:val="18"/>
              </w:rPr>
              <w:t>完整3′UTR报告活性不同：R2来源与R4来源长、短转录本比较（[82] 3′UTR转录/翻译结果小节、Fig.2B）；商业区域关联与抗性终点比较另有资料[84][85]。</w:t>
            </w:r>
          </w:p>
        </w:tc>
        <w:tc>
          <w:tcPr>
            <w:tcW w:type="dxa" w:w="4987"/>
          </w:tcPr>
          <w:p>
            <w:pPr>
              <w:spacing w:line="264" w:lineRule="auto" w:after="80" w:before="80"/>
            </w:pPr>
            <w:r>
              <w:rPr>
                <w:sz w:val="18"/>
              </w:rPr>
              <w:t>完整3′UTR比较不等于单独225 bp插入替换（[82] Supplementary Fig.S1）；剩余背景分离见Supplementary Table S1，区域效应不能统一归入BG1。</w:t>
            </w:r>
          </w:p>
        </w:tc>
      </w:tr>
      <w:tr>
        <w:tc>
          <w:tcPr>
            <w:tcW w:type="dxa" w:w="4987"/>
          </w:tcPr>
          <w:p>
            <w:pPr>
              <w:spacing w:line="264" w:lineRule="auto" w:after="80" w:before="80"/>
            </w:pPr>
            <w:r>
              <w:rPr>
                <w:i/>
                <w:sz w:val="18"/>
              </w:rPr>
              <w:t>tva</w:t>
            </w:r>
          </w:p>
        </w:tc>
        <w:tc>
          <w:tcPr>
            <w:tcW w:type="dxa" w:w="4987"/>
          </w:tcPr>
          <w:p>
            <w:pPr>
              <w:spacing w:line="264" w:lineRule="auto" w:after="80" w:before="80"/>
            </w:pPr>
            <w:r>
              <w:rPr>
                <w:sz w:val="18"/>
              </w:rPr>
              <w:t>受体、剪接和自然变异整鸡证据来自不同等位基因[88][89][90][93][94]。2025研究中缺失型有直接功能，插入型以推断为主（[93] Results、Discussion及Tables 1–2）。</w:t>
            </w:r>
          </w:p>
        </w:tc>
        <w:tc>
          <w:tcPr>
            <w:tcW w:type="dxa" w:w="4987"/>
          </w:tcPr>
          <w:p>
            <w:pPr>
              <w:spacing w:line="264" w:lineRule="auto" w:after="80" w:before="80"/>
            </w:pPr>
            <w:r>
              <w:rPr>
                <w:sz w:val="18"/>
              </w:rPr>
              <w:t>共享受体不等于相同跨亚群效果[92]；[94] Tables 1–2报告特定基因型未检出感染，Table 3的另一组基因型仍有部分感染阳性；[95]敲除鸡MMA升高与[96] Fig.4自然变异分组的代谢结果分开，后者的缺失组合并R4与R5。</w:t>
            </w:r>
          </w:p>
        </w:tc>
      </w:tr>
      <w:tr>
        <w:tc>
          <w:tcPr>
            <w:tcW w:type="dxa" w:w="4987"/>
          </w:tcPr>
          <w:p>
            <w:pPr>
              <w:spacing w:line="264" w:lineRule="auto" w:after="80" w:before="80"/>
            </w:pPr>
            <w:r>
              <w:rPr>
                <w:i/>
                <w:sz w:val="18"/>
              </w:rPr>
              <w:t>ANP32A</w:t>
            </w:r>
          </w:p>
        </w:tc>
        <w:tc>
          <w:tcPr>
            <w:tcW w:type="dxa" w:w="4987"/>
          </w:tcPr>
          <w:p>
            <w:pPr>
              <w:spacing w:line="264" w:lineRule="auto" w:after="80" w:before="80"/>
            </w:pPr>
            <w:r>
              <w:rPr>
                <w:sz w:val="18"/>
              </w:rPr>
              <w:t>工程化研究提供整鸡效果（[100] Figs.2–3）；生长与疫苗血清学反应见Supplementary Figs.8–9，编辑母鸡短期产蛋见研究鸡结果段。</w:t>
            </w:r>
          </w:p>
        </w:tc>
        <w:tc>
          <w:tcPr>
            <w:tcW w:type="dxa" w:w="4987"/>
          </w:tcPr>
          <w:p>
            <w:pPr>
              <w:spacing w:line="264" w:lineRule="auto" w:after="80" w:before="80"/>
            </w:pPr>
            <w:r>
              <w:rPr>
                <w:sz w:val="18"/>
              </w:rPr>
              <w:t>细胞中的更强阻断不全部对应相同改变的活鸡；后续细胞与自然变异目录[101][102]不算编辑鸡独立群体重复；Supplementary Fig.8为小样本分性别体重比较，部分日龄有名义显著差异，未作等效性检验。</w:t>
            </w:r>
          </w:p>
        </w:tc>
      </w:tr>
      <w:tr>
        <w:tc>
          <w:tcPr>
            <w:tcW w:type="dxa" w:w="4987"/>
          </w:tcPr>
          <w:p>
            <w:pPr>
              <w:spacing w:line="264" w:lineRule="auto" w:after="80" w:before="80"/>
            </w:pPr>
            <w:r>
              <w:rPr>
                <w:sz w:val="18"/>
              </w:rPr>
              <w:t>Na裸颈</w:t>
            </w:r>
          </w:p>
        </w:tc>
        <w:tc>
          <w:tcPr>
            <w:tcW w:type="dxa" w:w="4987"/>
          </w:tcPr>
          <w:p>
            <w:pPr>
              <w:spacing w:line="264" w:lineRule="auto" w:after="80" w:before="80"/>
            </w:pPr>
            <w:r>
              <w:rPr>
                <w:sz w:val="18"/>
              </w:rPr>
              <w:t>插入、顺式表达和部位特异BMP敏感性连接形态（[115] Fig.1G–H、Fig.3）；长读长及其他序列证据支持来源片段保留（[116] Fig.1B–D及对应结果）。</w:t>
            </w:r>
          </w:p>
        </w:tc>
        <w:tc>
          <w:tcPr>
            <w:tcW w:type="dxa" w:w="4987"/>
          </w:tcPr>
          <w:p>
            <w:pPr>
              <w:spacing w:line="264" w:lineRule="auto" w:after="80" w:before="80"/>
            </w:pPr>
            <w:r>
              <w:rPr>
                <w:sz w:val="18"/>
              </w:rPr>
              <w:t>各环境下的生产表现分别评价；孵化肌表达（[122] Results—Differential expression analysis）提供机制线索，不单独证明孵化损失原因。</w:t>
            </w:r>
          </w:p>
        </w:tc>
      </w:tr>
      <w:tr>
        <w:tc>
          <w:tcPr>
            <w:tcW w:type="dxa" w:w="4987"/>
          </w:tcPr>
          <w:p>
            <w:pPr>
              <w:spacing w:line="264" w:lineRule="auto" w:after="80" w:before="80"/>
            </w:pPr>
            <w:r>
              <w:rPr>
                <w:i/>
                <w:sz w:val="18"/>
              </w:rPr>
              <w:t>MX</w:t>
            </w:r>
            <w:r>
              <w:rPr>
                <w:sz w:val="18"/>
              </w:rPr>
              <w:t xml:space="preserve"> S631N</w:t>
            </w:r>
          </w:p>
        </w:tc>
        <w:tc>
          <w:tcPr>
            <w:tcW w:type="dxa" w:w="4987"/>
          </w:tcPr>
          <w:p>
            <w:pPr>
              <w:spacing w:line="264" w:lineRule="auto" w:after="80" w:before="80"/>
            </w:pPr>
            <w:r>
              <w:rPr>
                <w:sz w:val="18"/>
              </w:rPr>
              <w:t>异源细胞双向替换支持抗VSV作用[104]；抗流感细胞阴性与整鸡阴性、部分支持同时保留[105][106][107][108][109][110]。</w:t>
            </w:r>
          </w:p>
        </w:tc>
        <w:tc>
          <w:tcPr>
            <w:tcW w:type="dxa" w:w="4987"/>
          </w:tcPr>
          <w:p>
            <w:pPr>
              <w:spacing w:line="264" w:lineRule="auto" w:after="80" w:before="80"/>
            </w:pPr>
            <w:r>
              <w:rPr>
                <w:sz w:val="18"/>
              </w:rPr>
              <w:t>Ewald整体生存曲线不显著（[108] Fig.1e），早期死亡/患病与排毒另见Tables 1–3及相关结果，排毒有存活者取样限制；MX/BF2联合分组[111][112]与商业单倍型[114]不提供单点独立抗流感效应。</w:t>
            </w:r>
          </w:p>
        </w:tc>
      </w:tr>
      <w:tr>
        <w:tc>
          <w:tcPr>
            <w:tcW w:type="dxa" w:w="4987"/>
          </w:tcPr>
          <w:p>
            <w:pPr>
              <w:spacing w:line="264" w:lineRule="auto" w:after="80" w:before="80"/>
            </w:pPr>
            <w:r>
              <w:rPr>
                <w:i/>
                <w:sz w:val="18"/>
              </w:rPr>
              <w:t>PHIP</w:t>
            </w:r>
          </w:p>
        </w:tc>
        <w:tc>
          <w:tcPr>
            <w:tcW w:type="dxa" w:w="4987"/>
          </w:tcPr>
          <w:p>
            <w:pPr>
              <w:spacing w:line="264" w:lineRule="auto" w:after="80" w:before="80"/>
            </w:pPr>
            <w:r>
              <w:rPr>
                <w:sz w:val="18"/>
              </w:rPr>
              <w:t>2025研究在874只固始和283只广西瑶鸡中报告产蛋关联（[79] Fig.4B–C），自然表达见Fig.4D；报告/FOXI1结果见Fig.5，PHIP基因干预见Figs.6–7。</w:t>
            </w:r>
          </w:p>
        </w:tc>
        <w:tc>
          <w:tcPr>
            <w:tcW w:type="dxa" w:w="4987"/>
          </w:tcPr>
          <w:p>
            <w:pPr>
              <w:spacing w:line="264" w:lineRule="auto" w:after="80" w:before="80"/>
            </w:pPr>
            <w:r>
              <w:rPr>
                <w:sz w:val="18"/>
              </w:rPr>
              <w:t>2024与2025固始材料均来自第12世代，分别见[78] Methods群体小节、[79] Experimental birds and sample preparation；未核逐只重叠数，不计为独立发现。2025广西瑶鸡属于同篇跨群体验证[79]；FOXI1干预不等于直接结合测定。方法写35只广西瑶鸡用于表达关联，Fig.4D图注另提两个品种，不据此认定双群体表达重复；坐标沿原文编号。</w:t>
            </w:r>
          </w:p>
        </w:tc>
      </w:tr>
    </w:tbl>
    <w:p/>
    <w:p>
      <w:r>
        <w:t>注：本表补充正文表2的样本、比较对象与不一致结果，逐项引文与正文统一。PHIP坐标沿原论文编号；其独立补充材料尚未取得，表达样本构成差异按已核主文记录。</w:t>
      </w:r>
    </w:p>
    <w:p>
      <w:pPr>
        <w:pStyle w:val="Heading2"/>
      </w:pPr>
      <w:r>
        <w:t>相关区域与发育功能研究</w:t>
      </w:r>
    </w:p>
    <w:tbl>
      <w:tblPr>
        <w:tblStyle w:val="TableGrid"/>
        <w:tblW w:type="auto" w:w="0"/>
        <w:tblLayout w:type="fixed"/>
        <w:tblLook w:firstColumn="1" w:firstRow="1" w:lastColumn="0" w:lastRow="0" w:noHBand="0" w:noVBand="1" w:val="04A0"/>
      </w:tblPr>
      <w:tblGrid>
        <w:gridCol w:w="7481"/>
        <w:gridCol w:w="7481"/>
      </w:tblGrid>
      <w:tr>
        <w:trPr>
          <w:tblHeader/>
        </w:trPr>
        <w:tc>
          <w:tcPr>
            <w:tcW w:type="dxa" w:w="7481"/>
            <w:shd w:fill="E8EDF2"/>
          </w:tcPr>
          <w:p>
            <w:pPr>
              <w:spacing w:line="264" w:lineRule="auto" w:after="80" w:before="80"/>
            </w:pPr>
            <w:r>
              <w:rPr>
                <w:b/>
                <w:sz w:val="18"/>
              </w:rPr>
              <w:t>对象</w:t>
            </w:r>
          </w:p>
        </w:tc>
        <w:tc>
          <w:tcPr>
            <w:tcW w:type="dxa" w:w="7481"/>
            <w:shd w:fill="E8EDF2"/>
          </w:tcPr>
          <w:p>
            <w:pPr>
              <w:spacing w:line="264" w:lineRule="auto" w:after="80" w:before="80"/>
            </w:pPr>
            <w:r>
              <w:rPr>
                <w:b/>
                <w:sz w:val="18"/>
              </w:rPr>
              <w:t>研究结果及与主案例的关系</w:t>
            </w:r>
          </w:p>
        </w:tc>
      </w:tr>
      <w:tr>
        <w:tc>
          <w:tcPr>
            <w:tcW w:type="dxa" w:w="7481"/>
          </w:tcPr>
          <w:p>
            <w:pPr>
              <w:spacing w:line="264" w:lineRule="auto" w:after="80" w:before="80"/>
            </w:pPr>
            <w:r>
              <w:rPr>
                <w:sz w:val="18"/>
              </w:rPr>
              <w:t>IGF2BP1蛋白修饰</w:t>
            </w:r>
          </w:p>
        </w:tc>
        <w:tc>
          <w:tcPr>
            <w:tcW w:type="dxa" w:w="7481"/>
          </w:tcPr>
          <w:p>
            <w:pPr>
              <w:spacing w:line="264" w:lineRule="auto" w:after="80" w:before="80"/>
            </w:pPr>
            <w:r>
              <w:rPr>
                <w:sz w:val="18"/>
              </w:rPr>
              <w:t>METTL21C共表达伴随IGF2BP1赖氨酸三甲基化增加，并相对IGF2BP1单独过表达缓解增殖抑制[44]。这是基因功能调节的细胞背景，未直接比较L1与L2。</w:t>
            </w:r>
          </w:p>
        </w:tc>
      </w:tr>
      <w:tr>
        <w:tc>
          <w:tcPr>
            <w:tcW w:type="dxa" w:w="7481"/>
          </w:tcPr>
          <w:p>
            <w:pPr>
              <w:spacing w:line="264" w:lineRule="auto" w:after="80" w:before="80"/>
            </w:pPr>
            <w:r>
              <w:rPr>
                <w:sz w:val="18"/>
              </w:rPr>
              <w:t>IGFBP2早期自然标记</w:t>
            </w:r>
          </w:p>
        </w:tc>
        <w:tc>
          <w:tcPr>
            <w:tcW w:type="dxa" w:w="7481"/>
          </w:tcPr>
          <w:p>
            <w:pPr>
              <w:spacing w:line="264" w:lineRule="auto" w:after="80" w:before="80"/>
            </w:pPr>
            <w:r>
              <w:rPr>
                <w:sz w:val="18"/>
              </w:rPr>
              <w:t>单倍型关联研究中，多数单SNP关联在模型校正后不再显著[51]；C1032T与生长、腹脂有关联[52]，1196C&gt;A有腹脂关联[53]及涉及miRNA调控的3′UTR功能结果[54]。这些对象与rs734209466分开。</w:t>
            </w:r>
          </w:p>
        </w:tc>
      </w:tr>
      <w:tr>
        <w:tc>
          <w:tcPr>
            <w:tcW w:type="dxa" w:w="7481"/>
          </w:tcPr>
          <w:p>
            <w:pPr>
              <w:spacing w:line="264" w:lineRule="auto" w:after="80" w:before="80"/>
            </w:pPr>
            <w:r>
              <w:rPr>
                <w:sz w:val="18"/>
              </w:rPr>
              <w:t>PHKG1发育表达</w:t>
            </w:r>
          </w:p>
        </w:tc>
        <w:tc>
          <w:tcPr>
            <w:tcW w:type="dxa" w:w="7481"/>
          </w:tcPr>
          <w:p>
            <w:pPr>
              <w:spacing w:line="264" w:lineRule="auto" w:after="80" w:before="80"/>
            </w:pPr>
            <w:r>
              <w:rPr>
                <w:sz w:val="18"/>
              </w:rPr>
              <w:t>Xue等发现腿肌表达在16周龄低于4和12周龄[57]；乌鸡胚胎胸肌研究将PHKG1列为胚胎第21天特异表达基因[58]。它们提供发育背景，不作为rs15845448的独立功能验证。</w:t>
            </w:r>
          </w:p>
        </w:tc>
      </w:tr>
    </w:tbl>
    <w:p/>
    <w:p>
      <w:pPr>
        <w:pStyle w:val="Heading2"/>
      </w:pPr>
      <w:r>
        <w:t>抗病研究中遗传对象与结果的对应</w:t>
      </w:r>
    </w:p>
    <w:p>
      <w:r>
        <w:t>下表沿用原研究的等位基因或研究组标签。不同文献的标签只有在原文明确对应时才合并；代谢组与抗性组分开记录。</w:t>
      </w:r>
    </w:p>
    <w:tbl>
      <w:tblPr>
        <w:tblStyle w:val="TableGrid"/>
        <w:tblW w:type="auto" w:w="0"/>
        <w:tblLayout w:type="fixed"/>
        <w:tblLook w:firstColumn="1" w:firstRow="1" w:lastColumn="0" w:lastRow="0" w:noHBand="0" w:noVBand="1" w:val="04A0"/>
      </w:tblPr>
      <w:tblGrid>
        <w:gridCol w:w="2394"/>
        <w:gridCol w:w="3292"/>
        <w:gridCol w:w="4788"/>
        <w:gridCol w:w="4488"/>
      </w:tblGrid>
      <w:tr>
        <w:trPr>
          <w:tblHeader/>
        </w:trPr>
        <w:tc>
          <w:tcPr>
            <w:tcW w:type="dxa" w:w="2394"/>
            <w:shd w:fill="E8EDF2"/>
          </w:tcPr>
          <w:p>
            <w:pPr>
              <w:spacing w:line="264" w:lineRule="auto" w:after="80" w:before="80"/>
            </w:pPr>
            <w:r>
              <w:rPr>
                <w:b/>
                <w:sz w:val="18"/>
              </w:rPr>
              <w:t>原研究遗传对象或组别</w:t>
            </w:r>
          </w:p>
        </w:tc>
        <w:tc>
          <w:tcPr>
            <w:tcW w:type="dxa" w:w="3292"/>
            <w:shd w:fill="E8EDF2"/>
          </w:tcPr>
          <w:p>
            <w:pPr>
              <w:spacing w:line="264" w:lineRule="auto" w:after="80" w:before="80"/>
            </w:pPr>
            <w:r>
              <w:rPr>
                <w:b/>
                <w:sz w:val="18"/>
              </w:rPr>
              <w:t>证据类型与定性结果</w:t>
            </w:r>
          </w:p>
        </w:tc>
        <w:tc>
          <w:tcPr>
            <w:tcW w:type="dxa" w:w="4788"/>
            <w:shd w:fill="E8EDF2"/>
          </w:tcPr>
          <w:p>
            <w:pPr>
              <w:spacing w:line="264" w:lineRule="auto" w:after="80" w:before="80"/>
            </w:pPr>
            <w:r>
              <w:rPr>
                <w:b/>
                <w:sz w:val="18"/>
              </w:rPr>
              <w:t>代谢资料的对应范围</w:t>
            </w:r>
          </w:p>
        </w:tc>
        <w:tc>
          <w:tcPr>
            <w:tcW w:type="dxa" w:w="4488"/>
            <w:shd w:fill="E8EDF2"/>
          </w:tcPr>
          <w:p>
            <w:pPr>
              <w:spacing w:line="264" w:lineRule="auto" w:after="80" w:before="80"/>
            </w:pPr>
            <w:r>
              <w:rPr>
                <w:b/>
                <w:sz w:val="18"/>
              </w:rPr>
              <w:t>来源定位</w:t>
            </w:r>
          </w:p>
        </w:tc>
      </w:tr>
      <w:tr>
        <w:tc>
          <w:tcPr>
            <w:tcW w:type="dxa" w:w="2394"/>
          </w:tcPr>
          <w:p>
            <w:pPr>
              <w:spacing w:line="264" w:lineRule="auto" w:after="80" w:before="80"/>
            </w:pPr>
            <w:r>
              <w:rPr>
                <w:sz w:val="18"/>
              </w:rPr>
              <w:t>Xu2025外显子1插入候选</w:t>
            </w:r>
          </w:p>
        </w:tc>
        <w:tc>
          <w:tcPr>
            <w:tcW w:type="dxa" w:w="3292"/>
          </w:tcPr>
          <w:p>
            <w:pPr>
              <w:spacing w:line="264" w:lineRule="auto" w:after="80" w:before="80"/>
            </w:pPr>
            <w:r>
              <w:rPr>
                <w:sz w:val="18"/>
              </w:rPr>
              <w:t>序列及结构推断支持候选抗性作用；该文直接细胞与整鸡比较主要针对另一缺失对象</w:t>
            </w:r>
          </w:p>
        </w:tc>
        <w:tc>
          <w:tcPr>
            <w:tcW w:type="dxa" w:w="4788"/>
          </w:tcPr>
          <w:p>
            <w:pPr>
              <w:spacing w:line="264" w:lineRule="auto" w:after="80" w:before="80"/>
            </w:pPr>
            <w:r>
              <w:rPr>
                <w:sz w:val="18"/>
              </w:rPr>
              <w:t>该研究未报告相应代谢比较</w:t>
            </w:r>
          </w:p>
        </w:tc>
        <w:tc>
          <w:tcPr>
            <w:tcW w:type="dxa" w:w="4488"/>
          </w:tcPr>
          <w:p>
            <w:pPr>
              <w:spacing w:line="264" w:lineRule="auto" w:after="80" w:before="80"/>
            </w:pPr>
            <w:r>
              <w:rPr>
                <w:sz w:val="18"/>
              </w:rPr>
              <w:t>[93] Abstract、Results、Tables 1–2</w:t>
            </w:r>
          </w:p>
        </w:tc>
      </w:tr>
      <w:tr>
        <w:tc>
          <w:tcPr>
            <w:tcW w:type="dxa" w:w="2394"/>
          </w:tcPr>
          <w:p>
            <w:pPr>
              <w:spacing w:line="264" w:lineRule="auto" w:after="80" w:before="80"/>
            </w:pPr>
            <w:r>
              <w:rPr>
                <w:sz w:val="18"/>
              </w:rPr>
              <w:t>Xu2025外显子1缺失对象</w:t>
            </w:r>
          </w:p>
        </w:tc>
        <w:tc>
          <w:tcPr>
            <w:tcW w:type="dxa" w:w="3292"/>
          </w:tcPr>
          <w:p>
            <w:pPr>
              <w:spacing w:line="264" w:lineRule="auto" w:after="80" w:before="80"/>
            </w:pPr>
            <w:r>
              <w:rPr>
                <w:sz w:val="18"/>
              </w:rPr>
              <w:t>受体功能及整鸡资料支持对A、K亚群易感性降低，纯合组仍有阳性个体</w:t>
            </w:r>
          </w:p>
        </w:tc>
        <w:tc>
          <w:tcPr>
            <w:tcW w:type="dxa" w:w="4788"/>
          </w:tcPr>
          <w:p>
            <w:pPr>
              <w:spacing w:line="264" w:lineRule="auto" w:after="80" w:before="80"/>
            </w:pPr>
            <w:r>
              <w:rPr>
                <w:sz w:val="18"/>
              </w:rPr>
              <w:t>该研究未报告相应代谢比较</w:t>
            </w:r>
          </w:p>
        </w:tc>
        <w:tc>
          <w:tcPr>
            <w:tcW w:type="dxa" w:w="4488"/>
          </w:tcPr>
          <w:p>
            <w:pPr>
              <w:spacing w:line="264" w:lineRule="auto" w:after="80" w:before="80"/>
            </w:pPr>
            <w:r>
              <w:rPr>
                <w:sz w:val="18"/>
              </w:rPr>
              <w:t>[93] Tables 1–2及受体功能结果</w:t>
            </w:r>
          </w:p>
        </w:tc>
      </w:tr>
      <w:tr>
        <w:tc>
          <w:tcPr>
            <w:tcW w:type="dxa" w:w="2394"/>
          </w:tcPr>
          <w:p>
            <w:pPr>
              <w:spacing w:line="264" w:lineRule="auto" w:after="80" w:before="80"/>
            </w:pPr>
            <w:r>
              <w:rPr>
                <w:sz w:val="18"/>
              </w:rPr>
              <w:t>Xu2026 r2/r2</w:t>
            </w:r>
          </w:p>
        </w:tc>
        <w:tc>
          <w:tcPr>
            <w:tcW w:type="dxa" w:w="3292"/>
          </w:tcPr>
          <w:p>
            <w:pPr>
              <w:spacing w:line="264" w:lineRule="auto" w:after="80" w:before="80"/>
            </w:pPr>
            <w:r>
              <w:rPr>
                <w:sz w:val="18"/>
              </w:rPr>
              <w:t>细胞与整鸡结果一致，所测A、K亚群整鸡评价的感染检测阳性数分别为0/13、0/11；含易感等位基因的杂合组仍有感染</w:t>
            </w:r>
          </w:p>
        </w:tc>
        <w:tc>
          <w:tcPr>
            <w:tcW w:type="dxa" w:w="4788"/>
          </w:tcPr>
          <w:p>
            <w:pPr>
              <w:spacing w:line="264" w:lineRule="auto" w:after="80" w:before="80"/>
            </w:pPr>
            <w:r>
              <w:rPr>
                <w:sz w:val="18"/>
              </w:rPr>
              <w:t>不与其他研究的自然缺失代谢组合并</w:t>
            </w:r>
          </w:p>
        </w:tc>
        <w:tc>
          <w:tcPr>
            <w:tcW w:type="dxa" w:w="4488"/>
          </w:tcPr>
          <w:p>
            <w:pPr>
              <w:spacing w:line="264" w:lineRule="auto" w:after="80" w:before="80"/>
            </w:pPr>
            <w:r>
              <w:rPr>
                <w:sz w:val="18"/>
              </w:rPr>
              <w:t>[94] Tables 1–2</w:t>
            </w:r>
          </w:p>
        </w:tc>
      </w:tr>
      <w:tr>
        <w:tc>
          <w:tcPr>
            <w:tcW w:type="dxa" w:w="2394"/>
          </w:tcPr>
          <w:p>
            <w:pPr>
              <w:spacing w:line="264" w:lineRule="auto" w:after="80" w:before="80"/>
            </w:pPr>
            <w:r>
              <w:rPr>
                <w:sz w:val="18"/>
              </w:rPr>
              <w:t>Xu2026 r3/r3、r5/r5、r3/r5</w:t>
            </w:r>
          </w:p>
        </w:tc>
        <w:tc>
          <w:tcPr>
            <w:tcW w:type="dxa" w:w="3292"/>
          </w:tcPr>
          <w:p>
            <w:pPr>
              <w:spacing w:line="264" w:lineRule="auto" w:after="80" w:before="80"/>
            </w:pPr>
            <w:r>
              <w:rPr>
                <w:sz w:val="18"/>
              </w:rPr>
              <w:t>K亚群整鸡比较中易感性降低，仍检出阳性个体</w:t>
            </w:r>
          </w:p>
        </w:tc>
        <w:tc>
          <w:tcPr>
            <w:tcW w:type="dxa" w:w="4788"/>
          </w:tcPr>
          <w:p>
            <w:pPr>
              <w:spacing w:line="264" w:lineRule="auto" w:after="80" w:before="80"/>
            </w:pPr>
            <w:r>
              <w:rPr>
                <w:sz w:val="18"/>
              </w:rPr>
              <w:t>该研究未报告对应代谢分组</w:t>
            </w:r>
          </w:p>
        </w:tc>
        <w:tc>
          <w:tcPr>
            <w:tcW w:type="dxa" w:w="4488"/>
          </w:tcPr>
          <w:p>
            <w:pPr>
              <w:spacing w:line="264" w:lineRule="auto" w:after="80" w:before="80"/>
            </w:pPr>
            <w:r>
              <w:rPr>
                <w:sz w:val="18"/>
              </w:rPr>
              <w:t>[94] Table 3；正文与表中r3/r3样本数有差异，本表不提取比例</w:t>
            </w:r>
          </w:p>
        </w:tc>
      </w:tr>
      <w:tr>
        <w:tc>
          <w:tcPr>
            <w:tcW w:type="dxa" w:w="2394"/>
          </w:tcPr>
          <w:p>
            <w:pPr>
              <w:spacing w:line="264" w:lineRule="auto" w:after="80" w:before="80"/>
            </w:pPr>
            <w:r>
              <w:rPr>
                <w:sz w:val="18"/>
              </w:rPr>
              <w:t>Xu2026 r4/r4、r6/r6及其余所测缺失复合杂合组</w:t>
            </w:r>
          </w:p>
        </w:tc>
        <w:tc>
          <w:tcPr>
            <w:tcW w:type="dxa" w:w="3292"/>
          </w:tcPr>
          <w:p>
            <w:pPr>
              <w:spacing w:line="264" w:lineRule="auto" w:after="80" w:before="80"/>
            </w:pPr>
            <w:r>
              <w:rPr>
                <w:sz w:val="18"/>
              </w:rPr>
              <w:t>K亚群整鸡比较中未检出感染；结果限定于原研究的组别与条件</w:t>
            </w:r>
          </w:p>
        </w:tc>
        <w:tc>
          <w:tcPr>
            <w:tcW w:type="dxa" w:w="4788"/>
          </w:tcPr>
          <w:p>
            <w:pPr>
              <w:spacing w:line="264" w:lineRule="auto" w:after="80" w:before="80"/>
            </w:pPr>
            <w:r>
              <w:rPr>
                <w:sz w:val="18"/>
              </w:rPr>
              <w:t>另一研究仅对R4/R5作合并代谢观察，不覆盖本行全部遗传对象或本群体</w:t>
            </w:r>
          </w:p>
        </w:tc>
        <w:tc>
          <w:tcPr>
            <w:tcW w:type="dxa" w:w="4488"/>
          </w:tcPr>
          <w:p>
            <w:pPr>
              <w:spacing w:line="264" w:lineRule="auto" w:after="80" w:before="80"/>
            </w:pPr>
            <w:r>
              <w:rPr>
                <w:sz w:val="18"/>
              </w:rPr>
              <w:t>[94] Table 3</w:t>
            </w:r>
          </w:p>
        </w:tc>
      </w:tr>
      <w:tr>
        <w:tc>
          <w:tcPr>
            <w:tcW w:type="dxa" w:w="2394"/>
          </w:tcPr>
          <w:p>
            <w:pPr>
              <w:spacing w:line="264" w:lineRule="auto" w:after="80" w:before="80"/>
            </w:pPr>
            <w:r>
              <w:rPr>
                <w:sz w:val="18"/>
              </w:rPr>
              <w:t>自然变异研究TVAᴿ组，合并R4与R5</w:t>
            </w:r>
          </w:p>
        </w:tc>
        <w:tc>
          <w:tcPr>
            <w:tcW w:type="dxa" w:w="3292"/>
          </w:tcPr>
          <w:p>
            <w:pPr>
              <w:spacing w:line="264" w:lineRule="auto" w:after="80" w:before="80"/>
            </w:pPr>
            <w:r>
              <w:rPr>
                <w:sz w:val="18"/>
              </w:rPr>
              <w:t>本研究的主要对应终点为代谢，不据其结构推断新增整鸡抗性证据</w:t>
            </w:r>
          </w:p>
        </w:tc>
        <w:tc>
          <w:tcPr>
            <w:tcW w:type="dxa" w:w="4788"/>
          </w:tcPr>
          <w:p>
            <w:pPr>
              <w:spacing w:line="264" w:lineRule="auto" w:after="80" w:before="80"/>
            </w:pPr>
            <w:r>
              <w:rPr>
                <w:sz w:val="18"/>
              </w:rPr>
              <w:t>未见所测B12及相关代谢指标的缺乏；结果属于合并组，不能拆成R4、R5单独效应</w:t>
            </w:r>
          </w:p>
        </w:tc>
        <w:tc>
          <w:tcPr>
            <w:tcW w:type="dxa" w:w="4488"/>
          </w:tcPr>
          <w:p>
            <w:pPr>
              <w:spacing w:line="264" w:lineRule="auto" w:after="80" w:before="80"/>
            </w:pPr>
            <w:r>
              <w:rPr>
                <w:sz w:val="18"/>
              </w:rPr>
              <w:t>[96] Fig.4及对应Results</w:t>
            </w:r>
          </w:p>
        </w:tc>
      </w:tr>
      <w:tr>
        <w:tc>
          <w:tcPr>
            <w:tcW w:type="dxa" w:w="2394"/>
          </w:tcPr>
          <w:p>
            <w:pPr>
              <w:spacing w:line="264" w:lineRule="auto" w:after="80" w:before="80"/>
            </w:pPr>
            <w:r>
              <w:rPr>
                <w:sz w:val="18"/>
              </w:rPr>
              <w:t>工程化tva敲除组</w:t>
            </w:r>
          </w:p>
        </w:tc>
        <w:tc>
          <w:tcPr>
            <w:tcW w:type="dxa" w:w="3292"/>
          </w:tcPr>
          <w:p>
            <w:pPr>
              <w:spacing w:line="264" w:lineRule="auto" w:after="80" w:before="80"/>
            </w:pPr>
            <w:r>
              <w:rPr>
                <w:sz w:val="18"/>
              </w:rPr>
              <w:t>所测A、K亚群整鸡抗性证据</w:t>
            </w:r>
          </w:p>
        </w:tc>
        <w:tc>
          <w:tcPr>
            <w:tcW w:type="dxa" w:w="4788"/>
          </w:tcPr>
          <w:p>
            <w:pPr>
              <w:spacing w:line="264" w:lineRule="auto" w:after="80" w:before="80"/>
            </w:pPr>
            <w:r>
              <w:rPr>
                <w:sz w:val="18"/>
              </w:rPr>
              <w:t>同一工程研究观察到B12相关代谢指标变化；与自然变异组分开解释</w:t>
            </w:r>
          </w:p>
        </w:tc>
        <w:tc>
          <w:tcPr>
            <w:tcW w:type="dxa" w:w="4488"/>
          </w:tcPr>
          <w:p>
            <w:pPr>
              <w:spacing w:line="264" w:lineRule="auto" w:after="80" w:before="80"/>
            </w:pPr>
            <w:r>
              <w:rPr>
                <w:sz w:val="18"/>
              </w:rPr>
              <w:t>[95] 整鸡与代谢结果；自然组另见[96]</w:t>
            </w:r>
          </w:p>
        </w:tc>
      </w:tr>
      <w:tr>
        <w:tc>
          <w:tcPr>
            <w:tcW w:type="dxa" w:w="2394"/>
          </w:tcPr>
          <w:p>
            <w:pPr>
              <w:spacing w:line="264" w:lineRule="auto" w:after="80" w:before="80"/>
            </w:pPr>
            <w:r>
              <w:rPr>
                <w:sz w:val="18"/>
              </w:rPr>
              <w:t>ANP32A编辑鸡研究组</w:t>
            </w:r>
          </w:p>
        </w:tc>
        <w:tc>
          <w:tcPr>
            <w:tcW w:type="dxa" w:w="3292"/>
          </w:tcPr>
          <w:p>
            <w:pPr>
              <w:spacing w:line="264" w:lineRule="auto" w:after="80" w:before="80"/>
            </w:pPr>
            <w:r>
              <w:rPr>
                <w:sz w:val="18"/>
              </w:rPr>
              <w:t>人工遗传改变的整鸡抗性与研究性遗传传递；部分条件仍检出感染</w:t>
            </w:r>
          </w:p>
        </w:tc>
        <w:tc>
          <w:tcPr>
            <w:tcW w:type="dxa" w:w="4788"/>
          </w:tcPr>
          <w:p>
            <w:pPr>
              <w:spacing w:line="264" w:lineRule="auto" w:after="80" w:before="80"/>
            </w:pPr>
            <w:r>
              <w:rPr>
                <w:sz w:val="18"/>
              </w:rPr>
              <w:t>生长、免疫与短期产蛋为该整鸡研究的附加观察</w:t>
            </w:r>
          </w:p>
        </w:tc>
        <w:tc>
          <w:tcPr>
            <w:tcW w:type="dxa" w:w="4488"/>
          </w:tcPr>
          <w:p>
            <w:pPr>
              <w:spacing w:line="264" w:lineRule="auto" w:after="80" w:before="80"/>
            </w:pPr>
            <w:r>
              <w:rPr>
                <w:sz w:val="18"/>
              </w:rPr>
              <w:t>[100] Figs.2–3、Supplementary Figs.8–9及产蛋结果段</w:t>
            </w:r>
          </w:p>
        </w:tc>
      </w:tr>
      <w:tr>
        <w:tc>
          <w:tcPr>
            <w:tcW w:type="dxa" w:w="2394"/>
          </w:tcPr>
          <w:p>
            <w:pPr>
              <w:spacing w:line="264" w:lineRule="auto" w:after="80" w:before="80"/>
            </w:pPr>
            <w:r>
              <w:rPr>
                <w:sz w:val="18"/>
              </w:rPr>
              <w:t>ANP32A研究中的其他细胞改变组</w:t>
            </w:r>
          </w:p>
        </w:tc>
        <w:tc>
          <w:tcPr>
            <w:tcW w:type="dxa" w:w="3292"/>
          </w:tcPr>
          <w:p>
            <w:pPr>
              <w:spacing w:line="264" w:lineRule="auto" w:after="80" w:before="80"/>
            </w:pPr>
            <w:r>
              <w:rPr>
                <w:sz w:val="18"/>
              </w:rPr>
              <w:t>提供细胞层面的阻断结果，不作为上一行编辑鸡的整鸡结果</w:t>
            </w:r>
          </w:p>
        </w:tc>
        <w:tc>
          <w:tcPr>
            <w:tcW w:type="dxa" w:w="4788"/>
          </w:tcPr>
          <w:p>
            <w:pPr>
              <w:spacing w:line="264" w:lineRule="auto" w:after="80" w:before="80"/>
            </w:pPr>
            <w:r>
              <w:rPr>
                <w:sz w:val="18"/>
              </w:rPr>
              <w:t>无法由这些细胞结果推出生产性状表现</w:t>
            </w:r>
          </w:p>
        </w:tc>
        <w:tc>
          <w:tcPr>
            <w:tcW w:type="dxa" w:w="4488"/>
          </w:tcPr>
          <w:p>
            <w:pPr>
              <w:spacing w:line="264" w:lineRule="auto" w:after="80" w:before="80"/>
            </w:pPr>
            <w:r>
              <w:rPr>
                <w:sz w:val="18"/>
              </w:rPr>
              <w:t>[100] 细胞结果；后续细胞研究见[101]</w:t>
            </w:r>
          </w:p>
        </w:tc>
      </w:tr>
    </w:tbl>
    <w:p/>
    <w:p>
      <w:pPr>
        <w:pStyle w:val="Heading1"/>
      </w:pPr>
      <w:r>
        <w:t>补充表S2 育种实施与结果归因的研究细节</w:t>
      </w:r>
    </w:p>
    <w:tbl>
      <w:tblPr>
        <w:tblStyle w:val="TableGrid"/>
        <w:tblW w:type="auto" w:w="0"/>
        <w:tblLayout w:type="fixed"/>
        <w:tblLook w:firstColumn="1" w:firstRow="1" w:lastColumn="0" w:lastRow="0" w:noHBand="0" w:noVBand="1" w:val="04A0"/>
      </w:tblPr>
      <w:tblGrid>
        <w:gridCol w:w="2394"/>
        <w:gridCol w:w="3292"/>
        <w:gridCol w:w="4788"/>
        <w:gridCol w:w="4488"/>
      </w:tblGrid>
      <w:tr>
        <w:trPr>
          <w:tblHeader/>
        </w:trPr>
        <w:tc>
          <w:tcPr>
            <w:tcW w:type="dxa" w:w="2394"/>
            <w:shd w:fill="E8EDF2"/>
          </w:tcPr>
          <w:p>
            <w:pPr>
              <w:spacing w:line="264" w:lineRule="auto" w:after="80" w:before="80"/>
            </w:pPr>
            <w:r>
              <w:rPr>
                <w:b/>
                <w:sz w:val="18"/>
              </w:rPr>
              <w:t>案例</w:t>
            </w:r>
          </w:p>
        </w:tc>
        <w:tc>
          <w:tcPr>
            <w:tcW w:type="dxa" w:w="3292"/>
            <w:shd w:fill="E8EDF2"/>
          </w:tcPr>
          <w:p>
            <w:pPr>
              <w:spacing w:line="264" w:lineRule="auto" w:after="80" w:before="80"/>
            </w:pPr>
            <w:r>
              <w:rPr>
                <w:b/>
                <w:sz w:val="18"/>
              </w:rPr>
              <w:t>应用或研究用途</w:t>
            </w:r>
          </w:p>
        </w:tc>
        <w:tc>
          <w:tcPr>
            <w:tcW w:type="dxa" w:w="4788"/>
            <w:shd w:fill="E8EDF2"/>
          </w:tcPr>
          <w:p>
            <w:pPr>
              <w:spacing w:line="264" w:lineRule="auto" w:after="80" w:before="80"/>
            </w:pPr>
            <w:r>
              <w:rPr>
                <w:b/>
                <w:sz w:val="18"/>
              </w:rPr>
              <w:t>结果记录</w:t>
            </w:r>
          </w:p>
        </w:tc>
        <w:tc>
          <w:tcPr>
            <w:tcW w:type="dxa" w:w="4488"/>
            <w:shd w:fill="E8EDF2"/>
          </w:tcPr>
          <w:p>
            <w:pPr>
              <w:spacing w:line="264" w:lineRule="auto" w:after="80" w:before="80"/>
            </w:pPr>
            <w:r>
              <w:rPr>
                <w:b/>
                <w:sz w:val="18"/>
              </w:rPr>
              <w:t>归因范围</w:t>
            </w:r>
          </w:p>
        </w:tc>
      </w:tr>
      <w:tr>
        <w:tc>
          <w:tcPr>
            <w:tcW w:type="dxa" w:w="2394"/>
          </w:tcPr>
          <w:p>
            <w:pPr>
              <w:spacing w:line="264" w:lineRule="auto" w:after="80" w:before="80"/>
            </w:pPr>
            <w:r>
              <w:rPr>
                <w:i/>
                <w:sz w:val="18"/>
              </w:rPr>
              <w:t>CCKAR</w:t>
            </w:r>
          </w:p>
        </w:tc>
        <w:tc>
          <w:tcPr>
            <w:tcW w:type="dxa" w:w="3292"/>
          </w:tcPr>
          <w:p>
            <w:pPr>
              <w:spacing w:line="264" w:lineRule="auto" w:after="80" w:before="80"/>
            </w:pPr>
            <w:r>
              <w:rPr>
                <w:sz w:val="18"/>
              </w:rPr>
              <w:t>日本部分鸡群按标记选亲本并评价改良后代[28][29][30][6]。Miyazaki比较A固定亲本系与常规亲本系的同期后代。</w:t>
            </w:r>
          </w:p>
        </w:tc>
        <w:tc>
          <w:tcPr>
            <w:tcW w:type="dxa" w:w="4788"/>
          </w:tcPr>
          <w:p>
            <w:pPr>
              <w:spacing w:line="264" w:lineRule="auto" w:after="80" w:before="80"/>
            </w:pPr>
            <w:r>
              <w:rPr>
                <w:sz w:val="18"/>
              </w:rPr>
              <w:t>Okumino体重、Amakusa母鸡屠宰/胴体重及Miyazaki出栏体重有提高[29][30][6]。Miyazaki两农场随机捕获430只出栏鸡（公176、母254）；分性别模型纳入农场和组别，改良组相对常规组体重差为123.5 ± 40.1 g、131.9 ± 37.8 g（SE，均P&lt;0.01；[6] Table 3）。</w:t>
            </w:r>
          </w:p>
        </w:tc>
        <w:tc>
          <w:tcPr>
            <w:tcW w:type="dxa" w:w="4488"/>
          </w:tcPr>
          <w:p>
            <w:pPr>
              <w:spacing w:line="264" w:lineRule="auto" w:after="80" w:before="80"/>
            </w:pPr>
            <w:r>
              <w:rPr>
                <w:sz w:val="18"/>
              </w:rPr>
              <w:t>差值反映亲本选育方案的后代组间效果，未单独分离g.420 C&gt;A与其他背景贡献；Sanuki固定后无改善据综述[31] §5.1.2及其参考文献33转述；原报告未核，未据此提取效应量或对照细节。</w:t>
            </w:r>
          </w:p>
        </w:tc>
      </w:tr>
      <w:tr>
        <w:tc>
          <w:tcPr>
            <w:tcW w:type="dxa" w:w="2394"/>
          </w:tcPr>
          <w:p>
            <w:pPr>
              <w:spacing w:line="264" w:lineRule="auto" w:after="80" w:before="80"/>
            </w:pPr>
            <w:r>
              <w:rPr>
                <w:i/>
                <w:sz w:val="18"/>
              </w:rPr>
              <w:t>IGF2BP1</w:t>
            </w:r>
            <w:r>
              <w:rPr>
                <w:sz w:val="18"/>
              </w:rPr>
              <w:t xml:space="preserve"> L1</w:t>
            </w:r>
          </w:p>
        </w:tc>
        <w:tc>
          <w:tcPr>
            <w:tcW w:type="dxa" w:w="3292"/>
          </w:tcPr>
          <w:p>
            <w:pPr>
              <w:spacing w:line="264" w:lineRule="auto" w:after="80" w:before="80"/>
            </w:pPr>
            <w:r>
              <w:rPr>
                <w:sz w:val="18"/>
              </w:rPr>
              <w:t>专利提出L1L1选留[46]；联合研究推荐SH3RF2-II/LncFAM-II/IGF2BP1-L1L1（[47] §2.4/4）。</w:t>
            </w:r>
          </w:p>
        </w:tc>
        <w:tc>
          <w:tcPr>
            <w:tcW w:type="dxa" w:w="4788"/>
          </w:tcPr>
          <w:p>
            <w:pPr>
              <w:spacing w:line="264" w:lineRule="auto" w:after="80" w:before="80"/>
            </w:pPr>
            <w:r>
              <w:rPr>
                <w:sz w:val="18"/>
              </w:rPr>
              <w:t>历史选择线索[2]及联合基因型关联；金陵麻鸡推荐组合126只，另一仅5只组合的报告均值更高（[47] 表4），推荐同时考虑体重与组合频率。</w:t>
            </w:r>
          </w:p>
        </w:tc>
        <w:tc>
          <w:tcPr>
            <w:tcW w:type="dxa" w:w="4488"/>
          </w:tcPr>
          <w:p>
            <w:pPr>
              <w:spacing w:line="264" w:lineRule="auto" w:after="80" w:before="80"/>
            </w:pPr>
            <w:r>
              <w:rPr>
                <w:sz w:val="18"/>
              </w:rPr>
              <w:t>专利关联材料对应2021年734只F₂，不另计独立重复；新论文推荐不等于已实际选留，未报告后代响应。其图4与既往单基因研究均值对照不构成同一验证集上联合模型优于单标记的检验。</w:t>
            </w:r>
          </w:p>
        </w:tc>
      </w:tr>
      <w:tr>
        <w:tc>
          <w:tcPr>
            <w:tcW w:type="dxa" w:w="2394"/>
          </w:tcPr>
          <w:p>
            <w:pPr>
              <w:spacing w:line="264" w:lineRule="auto" w:after="80" w:before="80"/>
            </w:pPr>
            <w:r>
              <w:rPr>
                <w:i/>
                <w:sz w:val="18"/>
              </w:rPr>
              <w:t>IGF2BP1</w:t>
            </w:r>
            <w:r>
              <w:rPr>
                <w:sz w:val="18"/>
              </w:rPr>
              <w:t xml:space="preserve"> L2</w:t>
            </w:r>
          </w:p>
        </w:tc>
        <w:tc>
          <w:tcPr>
            <w:tcW w:type="dxa" w:w="3292"/>
          </w:tcPr>
          <w:p>
            <w:pPr>
              <w:spacing w:line="264" w:lineRule="auto" w:after="80" w:before="80"/>
            </w:pPr>
            <w:r>
              <w:rPr>
                <w:sz w:val="18"/>
              </w:rPr>
              <w:t>已有功能研究[2]及包含L1L2组合的整鸡体重分析[47]。</w:t>
            </w:r>
          </w:p>
        </w:tc>
        <w:tc>
          <w:tcPr>
            <w:tcW w:type="dxa" w:w="4788"/>
          </w:tcPr>
          <w:p>
            <w:pPr>
              <w:spacing w:line="264" w:lineRule="auto" w:after="80" w:before="80"/>
            </w:pPr>
            <w:r>
              <w:rPr>
                <w:sz w:val="18"/>
              </w:rPr>
              <w:t>新增结果属于关联比较，未报告按L2选留后的遗传或生产结果。</w:t>
            </w:r>
          </w:p>
        </w:tc>
        <w:tc>
          <w:tcPr>
            <w:tcW w:type="dxa" w:w="4488"/>
          </w:tcPr>
          <w:p>
            <w:pPr>
              <w:spacing w:line="264" w:lineRule="auto" w:after="80" w:before="80"/>
            </w:pPr>
            <w:r>
              <w:rPr>
                <w:sz w:val="18"/>
              </w:rPr>
              <w:t>L1L1专利及联合组合推荐[46][47]不转写为L2选留方案；不同等位基因的相对作用与组合的选择用途分别评价。</w:t>
            </w:r>
          </w:p>
        </w:tc>
      </w:tr>
      <w:tr>
        <w:tc>
          <w:tcPr>
            <w:tcW w:type="dxa" w:w="2394"/>
          </w:tcPr>
          <w:p>
            <w:pPr>
              <w:spacing w:line="264" w:lineRule="auto" w:after="80" w:before="80"/>
            </w:pPr>
            <w:r>
              <w:rPr>
                <w:sz w:val="18"/>
              </w:rPr>
              <w:t>rs734209466</w:t>
            </w:r>
          </w:p>
        </w:tc>
        <w:tc>
          <w:tcPr>
            <w:tcW w:type="dxa" w:w="3292"/>
          </w:tcPr>
          <w:p>
            <w:pPr>
              <w:spacing w:line="264" w:lineRule="auto" w:after="80" w:before="80"/>
            </w:pPr>
            <w:r>
              <w:rPr>
                <w:sz w:val="18"/>
              </w:rPr>
              <w:t>专利提出DelDel低脂选留，专利[56]实施例2、说明书第0044—0048段与论文[3] Fig.6c的群体、总数及三类基因型计数对应，不另计独立样本。</w:t>
            </w:r>
          </w:p>
        </w:tc>
        <w:tc>
          <w:tcPr>
            <w:tcW w:type="dxa" w:w="4788"/>
          </w:tcPr>
          <w:p>
            <w:pPr>
              <w:spacing w:line="264" w:lineRule="auto" w:after="80" w:before="80"/>
            </w:pPr>
            <w:r>
              <w:rPr>
                <w:sz w:val="18"/>
              </w:rPr>
              <w:t>自然基因型腹脂关联和细胞功能仍属基础证据[3]。</w:t>
            </w:r>
          </w:p>
        </w:tc>
        <w:tc>
          <w:tcPr>
            <w:tcW w:type="dxa" w:w="4488"/>
          </w:tcPr>
          <w:p>
            <w:pPr>
              <w:spacing w:line="264" w:lineRule="auto" w:after="80" w:before="80"/>
            </w:pPr>
            <w:r>
              <w:rPr>
                <w:sz w:val="18"/>
              </w:rPr>
              <w:t>所核论文[3]及专利[56]未报告实际选种及选后响应；授权状态不作为实施记录。</w:t>
            </w:r>
          </w:p>
        </w:tc>
      </w:tr>
      <w:tr>
        <w:tc>
          <w:tcPr>
            <w:tcW w:type="dxa" w:w="2394"/>
          </w:tcPr>
          <w:p>
            <w:pPr>
              <w:spacing w:line="264" w:lineRule="auto" w:after="80" w:before="80"/>
            </w:pPr>
            <w:r>
              <w:rPr>
                <w:i/>
                <w:sz w:val="18"/>
              </w:rPr>
              <w:t>PHKG1</w:t>
            </w:r>
          </w:p>
        </w:tc>
        <w:tc>
          <w:tcPr>
            <w:tcW w:type="dxa" w:w="3292"/>
          </w:tcPr>
          <w:p>
            <w:pPr>
              <w:spacing w:line="264" w:lineRule="auto" w:after="80" w:before="80"/>
            </w:pPr>
            <w:r>
              <w:rPr>
                <w:sz w:val="18"/>
              </w:rPr>
              <w:t>论文在Conclusions提出MAS前景[59]。</w:t>
            </w:r>
          </w:p>
        </w:tc>
        <w:tc>
          <w:tcPr>
            <w:tcW w:type="dxa" w:w="4788"/>
          </w:tcPr>
          <w:p>
            <w:pPr>
              <w:spacing w:line="264" w:lineRule="auto" w:after="80" w:before="80"/>
            </w:pPr>
            <w:r>
              <w:rPr>
                <w:sz w:val="18"/>
              </w:rPr>
              <w:t>肉品质与基因型关联见[59] Tables 2–3，表达比较见Fig.4；未报告按标记选择后的品质改善。</w:t>
            </w:r>
          </w:p>
        </w:tc>
        <w:tc>
          <w:tcPr>
            <w:tcW w:type="dxa" w:w="4488"/>
          </w:tcPr>
          <w:p>
            <w:pPr>
              <w:spacing w:line="264" w:lineRule="auto" w:after="80" w:before="80"/>
            </w:pPr>
            <w:r>
              <w:rPr>
                <w:sz w:val="18"/>
              </w:rPr>
              <w:t>发育表达背景[57][58]与选种实施属于不同证据。</w:t>
            </w:r>
          </w:p>
        </w:tc>
      </w:tr>
      <w:tr>
        <w:tc>
          <w:tcPr>
            <w:tcW w:type="dxa" w:w="2394"/>
          </w:tcPr>
          <w:p>
            <w:pPr>
              <w:spacing w:line="264" w:lineRule="auto" w:after="80" w:before="80"/>
            </w:pPr>
            <w:r>
              <w:rPr>
                <w:i/>
                <w:sz w:val="18"/>
              </w:rPr>
              <w:t>FMO3</w:t>
            </w:r>
          </w:p>
        </w:tc>
        <w:tc>
          <w:tcPr>
            <w:tcW w:type="dxa" w:w="3292"/>
          </w:tcPr>
          <w:p>
            <w:pPr>
              <w:spacing w:line="264" w:lineRule="auto" w:after="80" w:before="80"/>
            </w:pPr>
            <w:r>
              <w:rPr>
                <w:sz w:val="18"/>
              </w:rPr>
              <w:t>北京油鸡2010年分型2,028只雌雄候选种鸡，2011和2012年分别分型142及189只公候选种鸡，累计2,359只；按基因型排除携带者留种（[7] Birds、Results及Table 1）。</w:t>
            </w:r>
          </w:p>
        </w:tc>
        <w:tc>
          <w:tcPr>
            <w:tcW w:type="dxa" w:w="4788"/>
          </w:tcPr>
          <w:p>
            <w:pPr>
              <w:spacing w:line="264" w:lineRule="auto" w:after="80" w:before="80"/>
            </w:pPr>
            <w:r>
              <w:rPr>
                <w:sz w:val="18"/>
              </w:rPr>
              <w:t>Table 1四年T样本频率约0.186、0.032、0.026、0.022；2013年全群随机300只（公155、母145）中有13只AT、未检出TT[7]。</w:t>
            </w:r>
          </w:p>
        </w:tc>
        <w:tc>
          <w:tcPr>
            <w:tcW w:type="dxa" w:w="4488"/>
          </w:tcPr>
          <w:p>
            <w:pPr>
              <w:spacing w:line="264" w:lineRule="auto" w:after="80" w:before="80"/>
            </w:pPr>
            <w:r>
              <w:rPr>
                <w:sz w:val="18"/>
              </w:rPr>
              <w:t>选种程序伴随样本T频率下降，但年度筛选范围、抽样和性别构成不同，不据此单独估计选择作用；原文未报告该MAS过程的选前后TMA、鱼腥蛋发生率。同一程序的评价还应联合追踪健康及繁殖终点。早期代谢表型选择[61]、其他群体感官结果[65]及母鸡基因型—饲粮设计下的种蛋比较[69]不拼接为该MAS过程的随访。</w:t>
            </w:r>
          </w:p>
        </w:tc>
      </w:tr>
      <w:tr>
        <w:tc>
          <w:tcPr>
            <w:tcW w:type="dxa" w:w="2394"/>
          </w:tcPr>
          <w:p>
            <w:pPr>
              <w:spacing w:line="264" w:lineRule="auto" w:after="80" w:before="80"/>
            </w:pPr>
            <w:r>
              <w:rPr>
                <w:i/>
                <w:sz w:val="18"/>
              </w:rPr>
              <w:t>SLCO1B3</w:t>
            </w:r>
          </w:p>
        </w:tc>
        <w:tc>
          <w:tcPr>
            <w:tcW w:type="dxa" w:w="3292"/>
          </w:tcPr>
          <w:p>
            <w:pPr>
              <w:spacing w:line="264" w:lineRule="auto" w:after="80" w:before="80"/>
            </w:pPr>
            <w:r>
              <w:rPr>
                <w:sz w:val="18"/>
              </w:rPr>
              <w:t>2019联合SLCO1B3上游EAV-HP插入标记、GHR标记及表型选留配种（[75] Selection of the F2 Generation）；2024的119只母鸡比较显示O/O与O/o测色重叠，分型用于识别纯合亲本；另对2,745只商业种鸡分型（[76] Assessment of The Outputs of Photometric and Molecular Analyzes、Analysis of Breeding Population）。</w:t>
            </w:r>
          </w:p>
        </w:tc>
        <w:tc>
          <w:tcPr>
            <w:tcW w:type="dxa" w:w="4788"/>
          </w:tcPr>
          <w:p>
            <w:pPr>
              <w:spacing w:line="264" w:lineRule="auto" w:after="80" w:before="80"/>
            </w:pPr>
            <w:r>
              <w:rPr>
                <w:sz w:val="18"/>
              </w:rPr>
              <w:t>2019的F₀♂×F₂♀和F₂♂×F₂♀分别有440及461只后代母鸡，均产蓝壳蛋（[75] Table 2、Fig.3B）；2026 BG建系亲本确认O/O，G₅—G₈三轮颜色选择的均值和分布变化见[77] Table 3、Figs.1–2。</w:t>
            </w:r>
          </w:p>
        </w:tc>
        <w:tc>
          <w:tcPr>
            <w:tcW w:type="dxa" w:w="4488"/>
          </w:tcPr>
          <w:p>
            <w:pPr>
              <w:spacing w:line="264" w:lineRule="auto" w:after="80" w:before="80"/>
            </w:pPr>
            <w:r>
              <w:rPr>
                <w:sz w:val="18"/>
              </w:rPr>
              <w:t>2024后代固定据[76] Conclusion末段企业内部检测转述，区别于直接分型记录；2019后代蓝壳不单凭显性表型判为全部纯合，2026颜色变化不作为前两项MAS的随访；2019后代表型及2024判别比较均未量化相对同期替代选育方案的改良。</w:t>
            </w:r>
          </w:p>
        </w:tc>
      </w:tr>
      <w:tr>
        <w:tc>
          <w:tcPr>
            <w:tcW w:type="dxa" w:w="2394"/>
          </w:tcPr>
          <w:p>
            <w:pPr>
              <w:spacing w:line="264" w:lineRule="auto" w:after="80" w:before="80"/>
            </w:pPr>
            <w:r>
              <w:rPr>
                <w:sz w:val="18"/>
              </w:rPr>
              <w:t xml:space="preserve">MHC-B / </w:t>
            </w:r>
            <w:r>
              <w:rPr>
                <w:i/>
                <w:sz w:val="18"/>
              </w:rPr>
              <w:t>BG1</w:t>
            </w:r>
          </w:p>
        </w:tc>
        <w:tc>
          <w:tcPr>
            <w:tcW w:type="dxa" w:w="3292"/>
          </w:tcPr>
          <w:p>
            <w:pPr>
              <w:spacing w:line="264" w:lineRule="auto" w:after="80" w:before="80"/>
            </w:pPr>
            <w:r>
              <w:rPr>
                <w:sz w:val="18"/>
              </w:rPr>
              <w:t>Fulton2013记录白壳系MHC型管理；褐壳系未按MHC型定向选择（[86] MHC identification及Results）。</w:t>
            </w:r>
          </w:p>
        </w:tc>
        <w:tc>
          <w:tcPr>
            <w:tcW w:type="dxa" w:w="4788"/>
          </w:tcPr>
          <w:p>
            <w:pPr>
              <w:spacing w:line="264" w:lineRule="auto" w:after="80" w:before="80"/>
            </w:pPr>
            <w:r>
              <w:rPr>
                <w:sz w:val="18"/>
              </w:rPr>
              <w:t>九系中的八系后裔测定MD相关死亡率跨代下降（[86] Table 2）；原文该终点包含测定结束时有临床表现的存活个体。褐壳系频率变化及父本标记关联来自回顾分型（Fig.1、Table 3）。</w:t>
            </w:r>
          </w:p>
        </w:tc>
        <w:tc>
          <w:tcPr>
            <w:tcW w:type="dxa" w:w="4488"/>
          </w:tcPr>
          <w:p>
            <w:pPr>
              <w:spacing w:line="264" w:lineRule="auto" w:after="80" w:before="80"/>
            </w:pPr>
            <w:r>
              <w:rPr>
                <w:sz w:val="18"/>
              </w:rPr>
              <w:t>整体计划响应不分配给BG1单变异或各MHC型；[86] Discussion将其他生产性状改善注明为未发表数据。[85]为同一公司历史测定资源中1997—2015年资料的回顾分析（2.1 Birds），与[86]不计为完全独立选育计划的重复，逐只重叠未核。</w:t>
            </w:r>
          </w:p>
        </w:tc>
      </w:tr>
      <w:tr>
        <w:tc>
          <w:tcPr>
            <w:tcW w:type="dxa" w:w="2394"/>
          </w:tcPr>
          <w:p>
            <w:pPr>
              <w:spacing w:line="264" w:lineRule="auto" w:after="80" w:before="80"/>
            </w:pPr>
            <w:r>
              <w:rPr>
                <w:i/>
                <w:sz w:val="18"/>
              </w:rPr>
              <w:t>tva</w:t>
            </w:r>
          </w:p>
        </w:tc>
        <w:tc>
          <w:tcPr>
            <w:tcW w:type="dxa" w:w="3292"/>
          </w:tcPr>
          <w:p>
            <w:pPr>
              <w:spacing w:line="264" w:lineRule="auto" w:after="80" w:before="80"/>
            </w:pPr>
            <w:r>
              <w:rPr>
                <w:sz w:val="18"/>
              </w:rPr>
              <w:t>按tva/tvb基因型配种用于研究供体构建[98]。</w:t>
            </w:r>
          </w:p>
        </w:tc>
        <w:tc>
          <w:tcPr>
            <w:tcW w:type="dxa" w:w="4788"/>
          </w:tcPr>
          <w:p>
            <w:pPr>
              <w:spacing w:line="264" w:lineRule="auto" w:after="80" w:before="80"/>
            </w:pPr>
            <w:r>
              <w:rPr>
                <w:sz w:val="18"/>
              </w:rPr>
              <w:t>14只保留至成年的公鸡中5只精液检出供体基因型，支持生殖系嵌合（[98] Results中嵌合鸡生成小节）。</w:t>
            </w:r>
          </w:p>
        </w:tc>
        <w:tc>
          <w:tcPr>
            <w:tcW w:type="dxa" w:w="4488"/>
          </w:tcPr>
          <w:p>
            <w:pPr>
              <w:spacing w:line="264" w:lineRule="auto" w:after="80" w:before="80"/>
            </w:pPr>
            <w:r>
              <w:rPr>
                <w:sz w:val="18"/>
              </w:rPr>
              <w:t>不是已验证的后代抗性传递率或选后响应；普通整鸡抗性结果[93][94]不替代该配种方案后代评价；[94] Tables 4–5的480只调查为横断面分布。</w:t>
            </w:r>
          </w:p>
        </w:tc>
      </w:tr>
      <w:tr>
        <w:tc>
          <w:tcPr>
            <w:tcW w:type="dxa" w:w="2394"/>
          </w:tcPr>
          <w:p>
            <w:pPr>
              <w:spacing w:line="264" w:lineRule="auto" w:after="80" w:before="80"/>
            </w:pPr>
            <w:r>
              <w:rPr>
                <w:i/>
                <w:sz w:val="18"/>
              </w:rPr>
              <w:t>ANP32A</w:t>
            </w:r>
          </w:p>
        </w:tc>
        <w:tc>
          <w:tcPr>
            <w:tcW w:type="dxa" w:w="3292"/>
          </w:tcPr>
          <w:p>
            <w:pPr>
              <w:spacing w:line="264" w:lineRule="auto" w:after="80" w:before="80"/>
            </w:pPr>
            <w:r>
              <w:rPr>
                <w:sz w:val="18"/>
              </w:rPr>
              <w:t>代孕亲本繁殖取得编辑后代（[100] Supplementary Table 2），该表记录代孕亲本产蛋及后代孵化。</w:t>
            </w:r>
          </w:p>
        </w:tc>
        <w:tc>
          <w:tcPr>
            <w:tcW w:type="dxa" w:w="4788"/>
          </w:tcPr>
          <w:p>
            <w:pPr>
              <w:spacing w:line="264" w:lineRule="auto" w:after="80" w:before="80"/>
            </w:pPr>
            <w:r>
              <w:rPr>
                <w:sz w:val="18"/>
              </w:rPr>
              <w:t>整鸡抗性与短期个体观察提供基础验证（[100] Figs.2–3、Supplementary Figs.8–9及研究鸡结果段4只编辑母鸡的短期产蛋记录）。</w:t>
            </w:r>
          </w:p>
        </w:tc>
        <w:tc>
          <w:tcPr>
            <w:tcW w:type="dxa" w:w="4488"/>
          </w:tcPr>
          <w:p>
            <w:pPr>
              <w:spacing w:line="264" w:lineRule="auto" w:after="80" w:before="80"/>
            </w:pPr>
            <w:r>
              <w:rPr>
                <w:sz w:val="18"/>
              </w:rPr>
              <w:t>遗传传递与长期选择响应分开；该研究[100]未报告商业部署。</w:t>
            </w:r>
          </w:p>
        </w:tc>
      </w:tr>
      <w:tr>
        <w:tc>
          <w:tcPr>
            <w:tcW w:type="dxa" w:w="2394"/>
          </w:tcPr>
          <w:p>
            <w:pPr>
              <w:spacing w:line="264" w:lineRule="auto" w:after="80" w:before="80"/>
            </w:pPr>
            <w:r>
              <w:rPr>
                <w:sz w:val="18"/>
              </w:rPr>
              <w:t>Na裸颈</w:t>
            </w:r>
          </w:p>
        </w:tc>
        <w:tc>
          <w:tcPr>
            <w:tcW w:type="dxa" w:w="3292"/>
          </w:tcPr>
          <w:p>
            <w:pPr>
              <w:spacing w:line="264" w:lineRule="auto" w:after="80" w:before="80"/>
            </w:pPr>
            <w:r>
              <w:rPr>
                <w:sz w:val="18"/>
              </w:rPr>
              <w:t>低RFI背景六代导入后评价（[117]群体方法及Tables 4–5），另有实验品系和杂交群生产比较[120][119]。</w:t>
            </w:r>
          </w:p>
        </w:tc>
        <w:tc>
          <w:tcPr>
            <w:tcW w:type="dxa" w:w="4788"/>
          </w:tcPr>
          <w:p>
            <w:pPr>
              <w:spacing w:line="264" w:lineRule="auto" w:after="80" w:before="80"/>
            </w:pPr>
            <w:r>
              <w:rPr>
                <w:sz w:val="18"/>
              </w:rPr>
              <w:t>导入后部分性状改善而亚热带产蛋未改善[117]；热季产蛋与加纳杂交群结果方向不同（[118] Table 1；[119] Figs.1–3）；母鸡热环境优势与胚胎孵化代价分开（[121] Table 1及Hatchability/Embryonic mortality结果）。</w:t>
            </w:r>
          </w:p>
        </w:tc>
        <w:tc>
          <w:tcPr>
            <w:tcW w:type="dxa" w:w="4488"/>
          </w:tcPr>
          <w:p>
            <w:pPr>
              <w:spacing w:line="264" w:lineRule="auto" w:after="80" w:before="80"/>
            </w:pPr>
            <w:r>
              <w:rPr>
                <w:sz w:val="18"/>
              </w:rPr>
              <w:t>多群体比较不串为同一选择响应；按羽型建立研究材料不等于结构变异分型MAS。</w:t>
            </w:r>
          </w:p>
        </w:tc>
      </w:tr>
      <w:tr>
        <w:tc>
          <w:tcPr>
            <w:tcW w:type="dxa" w:w="2394"/>
          </w:tcPr>
          <w:p>
            <w:pPr>
              <w:spacing w:line="264" w:lineRule="auto" w:after="80" w:before="80"/>
            </w:pPr>
            <w:r>
              <w:rPr>
                <w:i/>
                <w:sz w:val="18"/>
              </w:rPr>
              <w:t>MX</w:t>
            </w:r>
            <w:r>
              <w:rPr>
                <w:sz w:val="18"/>
              </w:rPr>
              <w:t xml:space="preserve"> S631N</w:t>
            </w:r>
          </w:p>
        </w:tc>
        <w:tc>
          <w:tcPr>
            <w:tcW w:type="dxa" w:w="3292"/>
          </w:tcPr>
          <w:p>
            <w:pPr>
              <w:spacing w:line="264" w:lineRule="auto" w:after="80" w:before="80"/>
            </w:pPr>
            <w:r>
              <w:rPr>
                <w:sz w:val="18"/>
              </w:rPr>
              <w:t>基因型指导亲本配种或试验材料预选[107][108][109]；[108] pp.364–365记录研究后代来源。</w:t>
            </w:r>
          </w:p>
        </w:tc>
        <w:tc>
          <w:tcPr>
            <w:tcW w:type="dxa" w:w="4788"/>
          </w:tcPr>
          <w:p>
            <w:pPr>
              <w:spacing w:line="264" w:lineRule="auto" w:after="80" w:before="80"/>
            </w:pPr>
            <w:r>
              <w:rPr>
                <w:sz w:val="18"/>
              </w:rPr>
              <w:t>商业MX单倍型频率变化见[114] Table 4；Tables 5–6分析生产、商业环境死亡及马立克病测定死亡，未测禽流感抗性。</w:t>
            </w:r>
          </w:p>
        </w:tc>
        <w:tc>
          <w:tcPr>
            <w:tcW w:type="dxa" w:w="4488"/>
          </w:tcPr>
          <w:p>
            <w:pPr>
              <w:spacing w:line="264" w:lineRule="auto" w:after="80" w:before="80"/>
            </w:pPr>
            <w:r>
              <w:rPr>
                <w:sz w:val="18"/>
              </w:rPr>
              <w:t>S631N对应MxCDS1892不在7个显著关联SNP之列（[114] Discussion及Table 5）；该结果限于所测性状。单倍型关联与频率变化不归为S631N定向抗流感选择响应。</w:t>
            </w:r>
          </w:p>
        </w:tc>
      </w:tr>
      <w:tr>
        <w:tc>
          <w:tcPr>
            <w:tcW w:type="dxa" w:w="2394"/>
          </w:tcPr>
          <w:p>
            <w:pPr>
              <w:spacing w:line="264" w:lineRule="auto" w:after="80" w:before="80"/>
            </w:pPr>
            <w:r>
              <w:rPr>
                <w:i/>
                <w:sz w:val="18"/>
              </w:rPr>
              <w:t>PHIP</w:t>
            </w:r>
          </w:p>
        </w:tc>
        <w:tc>
          <w:tcPr>
            <w:tcW w:type="dxa" w:w="3292"/>
          </w:tcPr>
          <w:p>
            <w:pPr>
              <w:spacing w:line="264" w:lineRule="auto" w:after="80" w:before="80"/>
            </w:pPr>
            <w:r>
              <w:rPr>
                <w:sz w:val="18"/>
              </w:rPr>
              <w:t>自然基因型产蛋关联及功能研究提出潜在标记[78][79]。</w:t>
            </w:r>
          </w:p>
        </w:tc>
        <w:tc>
          <w:tcPr>
            <w:tcW w:type="dxa" w:w="4788"/>
          </w:tcPr>
          <w:p>
            <w:pPr>
              <w:spacing w:line="264" w:lineRule="auto" w:after="80" w:before="80"/>
            </w:pPr>
            <w:r>
              <w:rPr>
                <w:sz w:val="18"/>
              </w:rPr>
              <w:t>已核主文的关联、功能结果及讨论未报告分型用于亲本选留及其后续结果[78][79]。</w:t>
            </w:r>
          </w:p>
        </w:tc>
        <w:tc>
          <w:tcPr>
            <w:tcW w:type="dxa" w:w="4488"/>
          </w:tcPr>
          <w:p>
            <w:pPr>
              <w:spacing w:line="264" w:lineRule="auto" w:after="80" w:before="80"/>
            </w:pPr>
            <w:r>
              <w:rPr>
                <w:sz w:val="18"/>
              </w:rPr>
              <w:t>基因型产蛋差异是关联，群体代次不是该位点选择世代。</w:t>
            </w:r>
          </w:p>
        </w:tc>
      </w:tr>
    </w:tbl>
    <w:p/>
    <w:p>
      <w:r>
        <w:t>注：结果按研究对象和选择程序归因。不同群体的机制、感官与实施记录可构成领域层面的连续解释，但不组成同一群体的随访。</w:t>
      </w:r>
    </w:p>
    <w:p>
      <w:pPr>
        <w:pStyle w:val="Heading2"/>
      </w:pPr>
      <w:r>
        <w:t>决策对照：DOMINANT Greenshell亲本识别</w:t>
      </w:r>
    </w:p>
    <w:p>
      <w:r>
        <w:t>本对照使用同一研究[76]的测色—分型比较及种鸡分型记录，评价增加插入信息解决了什么选择问题。它不将符合基因型条件的个体数量等同于实际入选亲本数。</w:t>
      </w:r>
    </w:p>
    <w:tbl>
      <w:tblPr>
        <w:tblStyle w:val="TableGrid"/>
        <w:tblW w:type="auto" w:w="0"/>
        <w:tblLayout w:type="fixed"/>
        <w:tblLook w:firstColumn="1" w:firstRow="1" w:lastColumn="0" w:lastRow="0" w:noHBand="0" w:noVBand="1" w:val="04A0"/>
      </w:tblPr>
      <w:tblGrid>
        <w:gridCol w:w="7481"/>
        <w:gridCol w:w="7481"/>
      </w:tblGrid>
      <w:tr>
        <w:trPr>
          <w:tblHeader/>
        </w:trPr>
        <w:tc>
          <w:tcPr>
            <w:tcW w:type="dxa" w:w="7481"/>
            <w:shd w:fill="E8EDF2"/>
          </w:tcPr>
          <w:p>
            <w:pPr>
              <w:spacing w:line="264" w:lineRule="auto" w:after="80" w:before="80"/>
            </w:pPr>
            <w:r>
              <w:rPr>
                <w:b/>
                <w:sz w:val="18"/>
              </w:rPr>
              <w:t>决策要素</w:t>
            </w:r>
          </w:p>
        </w:tc>
        <w:tc>
          <w:tcPr>
            <w:tcW w:type="dxa" w:w="7481"/>
            <w:shd w:fill="E8EDF2"/>
          </w:tcPr>
          <w:p>
            <w:pPr>
              <w:spacing w:line="264" w:lineRule="auto" w:after="80" w:before="80"/>
            </w:pPr>
            <w:r>
              <w:rPr>
                <w:b/>
                <w:sz w:val="18"/>
              </w:rPr>
              <w:t>已报告资料及可评价范围</w:t>
            </w:r>
          </w:p>
        </w:tc>
      </w:tr>
      <w:tr>
        <w:tc>
          <w:tcPr>
            <w:tcW w:type="dxa" w:w="7481"/>
          </w:tcPr>
          <w:p>
            <w:pPr>
              <w:spacing w:line="264" w:lineRule="auto" w:after="80" w:before="80"/>
            </w:pPr>
            <w:r>
              <w:rPr>
                <w:sz w:val="18"/>
              </w:rPr>
              <w:t>目标群体与任务</w:t>
            </w:r>
          </w:p>
        </w:tc>
        <w:tc>
          <w:tcPr>
            <w:tcW w:type="dxa" w:w="7481"/>
          </w:tcPr>
          <w:p>
            <w:pPr>
              <w:spacing w:line="264" w:lineRule="auto" w:after="80" w:before="80"/>
            </w:pPr>
            <w:r>
              <w:rPr>
                <w:sz w:val="18"/>
              </w:rPr>
              <w:t>捷克DOMINANT Greenshell；目标为识别O/O亲本以稳定传递蓝绿色蛋壳背景。检测对象是SLCO1B3上游EAV-HP插入，不外推至缺少该插入的略阳乌鸡调控背景。</w:t>
            </w:r>
          </w:p>
        </w:tc>
      </w:tr>
      <w:tr>
        <w:tc>
          <w:tcPr>
            <w:tcW w:type="dxa" w:w="7481"/>
          </w:tcPr>
          <w:p>
            <w:pPr>
              <w:spacing w:line="264" w:lineRule="auto" w:after="80" w:before="80"/>
            </w:pPr>
            <w:r>
              <w:rPr>
                <w:sz w:val="18"/>
              </w:rPr>
              <w:t>基线与新增信息</w:t>
            </w:r>
          </w:p>
        </w:tc>
        <w:tc>
          <w:tcPr>
            <w:tcW w:type="dxa" w:w="7481"/>
          </w:tcPr>
          <w:p>
            <w:pPr>
              <w:spacing w:line="264" w:lineRule="auto" w:after="80" w:before="80"/>
            </w:pPr>
            <w:r>
              <w:rPr>
                <w:sz w:val="18"/>
              </w:rPr>
              <w:t>119只母鸡的蛋壳测色与分型对照：测色可区分显性与隐性表型，但O/O与O/o存在重叠；插入分型进一步区分这两类。未设置与系谱或GS的独立对照。</w:t>
            </w:r>
          </w:p>
        </w:tc>
      </w:tr>
      <w:tr>
        <w:tc>
          <w:tcPr>
            <w:tcW w:type="dxa" w:w="7481"/>
          </w:tcPr>
          <w:p>
            <w:pPr>
              <w:spacing w:line="264" w:lineRule="auto" w:after="80" w:before="80"/>
            </w:pPr>
            <w:r>
              <w:rPr>
                <w:sz w:val="18"/>
              </w:rPr>
              <w:t>选择条件</w:t>
            </w:r>
          </w:p>
        </w:tc>
        <w:tc>
          <w:tcPr>
            <w:tcW w:type="dxa" w:w="7481"/>
          </w:tcPr>
          <w:p>
            <w:pPr>
              <w:spacing w:line="264" w:lineRule="auto" w:after="80" w:before="80"/>
            </w:pPr>
            <w:r>
              <w:rPr>
                <w:sz w:val="18"/>
              </w:rPr>
              <w:t>该位点的目标条件为O/O；论文没有给出结合全部育种性状后的统一留种阈值或留种比例。</w:t>
            </w:r>
          </w:p>
        </w:tc>
      </w:tr>
      <w:tr>
        <w:tc>
          <w:tcPr>
            <w:tcW w:type="dxa" w:w="7481"/>
          </w:tcPr>
          <w:p>
            <w:pPr>
              <w:spacing w:line="264" w:lineRule="auto" w:after="80" w:before="80"/>
            </w:pPr>
            <w:r>
              <w:rPr>
                <w:sz w:val="18"/>
              </w:rPr>
              <w:t>分型规模与频率</w:t>
            </w:r>
          </w:p>
        </w:tc>
        <w:tc>
          <w:tcPr>
            <w:tcW w:type="dxa" w:w="7481"/>
          </w:tcPr>
          <w:p>
            <w:pPr>
              <w:spacing w:line="264" w:lineRule="auto" w:after="80" w:before="80"/>
            </w:pPr>
            <w:r>
              <w:rPr>
                <w:sz w:val="18"/>
              </w:rPr>
              <w:t>2,745只中O/O为2,176、O/o为514、o/o为55。依据原文计数计算，O频率=(2×2,176+514)/(2×2,745)=0.8863；这是本综述据计数计算的分型群体频率。</w:t>
            </w:r>
          </w:p>
        </w:tc>
      </w:tr>
      <w:tr>
        <w:tc>
          <w:tcPr>
            <w:tcW w:type="dxa" w:w="7481"/>
          </w:tcPr>
          <w:p>
            <w:pPr>
              <w:spacing w:line="264" w:lineRule="auto" w:after="80" w:before="80"/>
            </w:pPr>
            <w:r>
              <w:rPr>
                <w:sz w:val="18"/>
              </w:rPr>
              <w:t>候选集合受到什么影响</w:t>
            </w:r>
          </w:p>
        </w:tc>
        <w:tc>
          <w:tcPr>
            <w:tcW w:type="dxa" w:w="7481"/>
          </w:tcPr>
          <w:p>
            <w:pPr>
              <w:spacing w:line="264" w:lineRule="auto" w:after="80" w:before="80"/>
            </w:pPr>
            <w:r>
              <w:rPr>
                <w:sz w:val="18"/>
              </w:rPr>
              <w:t>分型识别514只O/o携带者，补充了测色难以稳定提供的亲本信息。2,176只符合O/O条件，但不据此认定它们全部留种。论文结论报告剔除非目标基因型，未提供两种方案下最终亲本名单的配对比较。</w:t>
            </w:r>
          </w:p>
        </w:tc>
      </w:tr>
      <w:tr>
        <w:tc>
          <w:tcPr>
            <w:tcW w:type="dxa" w:w="7481"/>
          </w:tcPr>
          <w:p>
            <w:pPr>
              <w:spacing w:line="264" w:lineRule="auto" w:after="80" w:before="80"/>
            </w:pPr>
            <w:r>
              <w:rPr>
                <w:sz w:val="18"/>
              </w:rPr>
              <w:t>后代与多性状结果</w:t>
            </w:r>
          </w:p>
        </w:tc>
        <w:tc>
          <w:tcPr>
            <w:tcW w:type="dxa" w:w="7481"/>
          </w:tcPr>
          <w:p>
            <w:pPr>
              <w:spacing w:line="264" w:lineRule="auto" w:after="80" w:before="80"/>
            </w:pPr>
            <w:r>
              <w:rPr>
                <w:sz w:val="18"/>
              </w:rPr>
              <w:t>后代未再检出隐性等位基因来自公司内部检测的转述，未呈逐代样本表；未报告同一对照中的产蛋、健康、繁殖等多性状选择响应。</w:t>
            </w:r>
          </w:p>
        </w:tc>
      </w:tr>
      <w:tr>
        <w:tc>
          <w:tcPr>
            <w:tcW w:type="dxa" w:w="7481"/>
          </w:tcPr>
          <w:p>
            <w:pPr>
              <w:spacing w:line="264" w:lineRule="auto" w:after="80" w:before="80"/>
            </w:pPr>
            <w:r>
              <w:rPr>
                <w:sz w:val="18"/>
              </w:rPr>
              <w:t>近交与整体增量</w:t>
            </w:r>
          </w:p>
        </w:tc>
        <w:tc>
          <w:tcPr>
            <w:tcW w:type="dxa" w:w="7481"/>
          </w:tcPr>
          <w:p>
            <w:pPr>
              <w:spacing w:line="264" w:lineRule="auto" w:after="80" w:before="80"/>
            </w:pPr>
            <w:r>
              <w:rPr>
                <w:sz w:val="18"/>
              </w:rPr>
              <w:t>未报告该方案的近交变化；相对完整表型、系谱或GS育种方案的总体增量不可评估。已直接展示的增量是目标基因型的判别信息。</w:t>
            </w:r>
          </w:p>
        </w:tc>
      </w:tr>
    </w:tbl>
    <w:p/>
    <w:p>
      <w:r>
        <w:t>来源：[76] Abstract；Assessment of The Outputs of Photometric and Molecular Analyzes；Analysis of Breeding Population；Conclusion。分型计数与“符合条件”数量不用于重构未公开的实际亲本名单。</w:t>
      </w:r>
    </w:p>
    <w:p>
      <w:pPr>
        <w:pStyle w:val="Heading1"/>
      </w:pPr>
      <w:r>
        <w:t>补充表S3 预测比较的验证设计、不确定性与选择程序结果</w:t>
      </w:r>
    </w:p>
    <w:p>
      <w:r>
        <w:t>本表承接第6.2—6.3节，参考文献编号与当前正文一致。单标记应用仍见表3与S2；这里的比较单位是预测模型或选择程序。SE为标准误，SD为标准差，CI为置信区间。不同研究的指标、抽样单位及不确定性不可直接横向排名。</w:t>
      </w:r>
    </w:p>
    <w:p>
      <w:pPr>
        <w:pStyle w:val="Heading2"/>
      </w:pPr>
      <w:r>
        <w:t>A. 预测模型、功能注释与新增遗传信息比较</w:t>
      </w:r>
    </w:p>
    <w:tbl>
      <w:tblPr>
        <w:tblStyle w:val="TableGrid"/>
        <w:tblW w:type="auto" w:w="0"/>
        <w:tblLayout w:type="fixed"/>
        <w:tblLook w:firstColumn="1" w:firstRow="1" w:lastColumn="0" w:lastRow="0" w:noHBand="0" w:noVBand="1" w:val="04A0"/>
      </w:tblPr>
      <w:tblGrid>
        <w:gridCol w:w="2394"/>
        <w:gridCol w:w="3292"/>
        <w:gridCol w:w="3441"/>
        <w:gridCol w:w="2843"/>
        <w:gridCol w:w="2992"/>
      </w:tblGrid>
      <w:tr>
        <w:trPr>
          <w:tblHeader/>
        </w:trPr>
        <w:tc>
          <w:tcPr>
            <w:tcW w:type="dxa" w:w="2394"/>
            <w:shd w:fill="E8EDF2"/>
          </w:tcPr>
          <w:p>
            <w:pPr>
              <w:spacing w:line="264" w:lineRule="auto" w:after="80" w:before="80"/>
            </w:pPr>
            <w:r>
              <w:rPr>
                <w:b/>
                <w:sz w:val="18"/>
              </w:rPr>
              <w:t>研究及目标</w:t>
            </w:r>
          </w:p>
        </w:tc>
        <w:tc>
          <w:tcPr>
            <w:tcW w:type="dxa" w:w="3292"/>
            <w:shd w:fill="E8EDF2"/>
          </w:tcPr>
          <w:p>
            <w:pPr>
              <w:spacing w:line="264" w:lineRule="auto" w:after="80" w:before="80"/>
            </w:pPr>
            <w:r>
              <w:rPr>
                <w:b/>
                <w:sz w:val="18"/>
              </w:rPr>
              <w:t>比较对象与验证设计</w:t>
            </w:r>
          </w:p>
        </w:tc>
        <w:tc>
          <w:tcPr>
            <w:tcW w:type="dxa" w:w="3441"/>
            <w:shd w:fill="E8EDF2"/>
          </w:tcPr>
          <w:p>
            <w:pPr>
              <w:spacing w:line="264" w:lineRule="auto" w:after="80" w:before="80"/>
            </w:pPr>
            <w:r>
              <w:rPr>
                <w:b/>
                <w:sz w:val="18"/>
              </w:rPr>
              <w:t>指标及结果</w:t>
            </w:r>
          </w:p>
        </w:tc>
        <w:tc>
          <w:tcPr>
            <w:tcW w:type="dxa" w:w="2843"/>
            <w:shd w:fill="E8EDF2"/>
          </w:tcPr>
          <w:p>
            <w:pPr>
              <w:spacing w:line="264" w:lineRule="auto" w:after="80" w:before="80"/>
            </w:pPr>
            <w:r>
              <w:rPr>
                <w:b/>
                <w:sz w:val="18"/>
              </w:rPr>
              <w:t>原文报告的不确定性或检验</w:t>
            </w:r>
          </w:p>
        </w:tc>
        <w:tc>
          <w:tcPr>
            <w:tcW w:type="dxa" w:w="2992"/>
            <w:shd w:fill="E8EDF2"/>
          </w:tcPr>
          <w:p>
            <w:pPr>
              <w:spacing w:line="264" w:lineRule="auto" w:after="80" w:before="80"/>
            </w:pPr>
            <w:r>
              <w:rPr>
                <w:b/>
                <w:sz w:val="18"/>
              </w:rPr>
              <w:t>结果解释与来源位置</w:t>
            </w:r>
          </w:p>
        </w:tc>
      </w:tr>
      <w:tr>
        <w:tc>
          <w:tcPr>
            <w:tcW w:type="dxa" w:w="2394"/>
          </w:tcPr>
          <w:p>
            <w:pPr>
              <w:spacing w:line="264" w:lineRule="auto" w:after="80" w:before="80"/>
            </w:pPr>
            <w:r>
              <w:rPr>
                <w:sz w:val="18"/>
              </w:rPr>
              <w:t>Yang等2021[50]；商业黄羽鸡生长和FCR</w:t>
            </w:r>
          </w:p>
        </w:tc>
        <w:tc>
          <w:tcPr>
            <w:tcW w:type="dxa" w:w="3292"/>
          </w:tcPr>
          <w:p>
            <w:pPr>
              <w:spacing w:line="264" w:lineRule="auto" w:after="80" w:before="80"/>
            </w:pPr>
            <w:r>
              <w:rPr>
                <w:sz w:val="18"/>
              </w:rPr>
              <w:t>6,359只分型个体中1,500只用于GWAS发现，其余4,859只随机十折验证；比较系谱ABLUP、GBLUP及按关联SNP分组的GFBLUP。发现和评价个体分开，评价仍为同一核群随机划分；批次与性别固定效应由全体8,122只个体的ABLUP分析估计，随后构造校正表型。</w:t>
            </w:r>
          </w:p>
        </w:tc>
        <w:tc>
          <w:tcPr>
            <w:tcW w:type="dxa" w:w="3441"/>
          </w:tcPr>
          <w:p>
            <w:pPr>
              <w:spacing w:line="264" w:lineRule="auto" w:after="80" w:before="80"/>
            </w:pPr>
            <w:r>
              <w:rPr>
                <w:sz w:val="18"/>
              </w:rPr>
              <w:t>FCR的(G)EBV与校正表型相关均值依次为0.26、0.39、0.44。GBLUP→GFBLUP的绝对点差为0.05。</w:t>
            </w:r>
          </w:p>
        </w:tc>
        <w:tc>
          <w:tcPr>
            <w:tcW w:type="dxa" w:w="2843"/>
          </w:tcPr>
          <w:p>
            <w:pPr>
              <w:spacing w:line="264" w:lineRule="auto" w:after="80" w:before="80"/>
            </w:pPr>
            <w:r>
              <w:rPr>
                <w:sz w:val="18"/>
              </w:rPr>
              <w:t>主文表2未列对应SE、SD或差值CI；不由均值自行推算精度。主文另区分PEV推算的理论准确度，不能与本列观察相关混用。</w:t>
            </w:r>
          </w:p>
        </w:tc>
        <w:tc>
          <w:tcPr>
            <w:tcW w:type="dxa" w:w="2992"/>
          </w:tcPr>
          <w:p>
            <w:pPr>
              <w:spacing w:line="264" w:lineRule="auto" w:after="80" w:before="80"/>
            </w:pPr>
            <w:r>
              <w:rPr>
                <w:sz w:val="18"/>
              </w:rPr>
              <w:t>支持该核群内模型比较及统计关联先验的用途；不是跨世代或实际选择响应。Methods / Genomic prediction、Cross-validation；Table 2。该文用于QTL贡献分析的全体6,359只方案，与此处4,859只模型比较分开。</w:t>
            </w:r>
          </w:p>
        </w:tc>
      </w:tr>
      <w:tr>
        <w:tc>
          <w:tcPr>
            <w:tcW w:type="dxa" w:w="2394"/>
          </w:tcPr>
          <w:p>
            <w:pPr>
              <w:spacing w:line="264" w:lineRule="auto" w:after="80" w:before="80"/>
            </w:pPr>
            <w:r>
              <w:rPr>
                <w:sz w:val="18"/>
              </w:rPr>
              <w:t>Tu等2024[132]；台湾土鸡产蛋性状</w:t>
            </w:r>
          </w:p>
        </w:tc>
        <w:tc>
          <w:tcPr>
            <w:tcW w:type="dxa" w:w="3292"/>
          </w:tcPr>
          <w:p>
            <w:pPr>
              <w:spacing w:line="264" w:lineRule="auto" w:after="80" w:before="80"/>
            </w:pPr>
            <w:r>
              <w:rPr>
                <w:sz w:val="18"/>
              </w:rPr>
              <w:t>616只分型个体；GBLUP采用440只有表型母鸡的记录，PBLUP及ssGBLUP采用1,106只有表型个体及系谱；没有将主比较设计为留出验证。</w:t>
            </w:r>
          </w:p>
        </w:tc>
        <w:tc>
          <w:tcPr>
            <w:tcW w:type="dxa" w:w="3441"/>
          </w:tcPr>
          <w:p>
            <w:pPr>
              <w:spacing w:line="264" w:lineRule="auto" w:after="80" w:before="80"/>
            </w:pPr>
            <w:r>
              <w:rPr>
                <w:sz w:val="18"/>
              </w:rPr>
              <w:t>由预测误差方差（PEV）计算的模型准确度；ssGBLUP平均值最高，GBLUP未对所有性状优于PBLUP。</w:t>
            </w:r>
          </w:p>
        </w:tc>
        <w:tc>
          <w:tcPr>
            <w:tcW w:type="dxa" w:w="2843"/>
          </w:tcPr>
          <w:p>
            <w:pPr>
              <w:spacing w:line="264" w:lineRule="auto" w:after="80" w:before="80"/>
            </w:pPr>
            <w:r>
              <w:rPr>
                <w:sz w:val="18"/>
              </w:rPr>
              <w:t>这是模型内部的个体准确度及其汇总，不是独立预测相关的SE/CI。摘要与主文PBLUP均值末位略异，本文不抄该均值。</w:t>
            </w:r>
          </w:p>
        </w:tc>
        <w:tc>
          <w:tcPr>
            <w:tcW w:type="dxa" w:w="2992"/>
          </w:tcPr>
          <w:p>
            <w:pPr>
              <w:spacing w:line="264" w:lineRule="auto" w:after="80" w:before="80"/>
            </w:pPr>
            <w:r>
              <w:rPr>
                <w:sz w:val="18"/>
              </w:rPr>
              <w:t>信息量与模型共同变化，解释为数据整合比较。Table 1；Methods / Prediction Accuracy；Results / Improvement of Prediction Accuracy of (G)EBV；Fig. 3。</w:t>
            </w:r>
          </w:p>
        </w:tc>
      </w:tr>
      <w:tr>
        <w:tc>
          <w:tcPr>
            <w:tcW w:type="dxa" w:w="2394"/>
          </w:tcPr>
          <w:p>
            <w:pPr>
              <w:spacing w:line="264" w:lineRule="auto" w:after="80" w:before="80"/>
            </w:pPr>
            <w:r>
              <w:rPr>
                <w:sz w:val="18"/>
              </w:rPr>
              <w:t>Heidaritabar等2016[134]；商业白羽蛋鸡早期产蛋数</w:t>
            </w:r>
          </w:p>
        </w:tc>
        <w:tc>
          <w:tcPr>
            <w:tcW w:type="dxa" w:w="3292"/>
          </w:tcPr>
          <w:p>
            <w:pPr>
              <w:spacing w:line="264" w:lineRule="auto" w:after="80" w:before="80"/>
            </w:pPr>
            <w:r>
              <w:rPr>
                <w:sz w:val="18"/>
              </w:rPr>
              <w:t>较早出生的1,004只参考，较晚出生的240只验证；验证表型遮蔽。比较全序列、编码及非同义SNP的GBLUP。</w:t>
            </w:r>
          </w:p>
        </w:tc>
        <w:tc>
          <w:tcPr>
            <w:tcW w:type="dxa" w:w="3441"/>
          </w:tcPr>
          <w:p>
            <w:pPr>
              <w:spacing w:line="264" w:lineRule="auto" w:after="80" w:before="80"/>
            </w:pPr>
            <w:r>
              <w:rPr>
                <w:sz w:val="18"/>
              </w:rPr>
              <w:t>相关除以√h²，h²=0.51来自该鸡系常规遗传评价。准确度分别为0.75、0.68、0.66；表型对预测育种值回归斜率为1.45、1.20、1.17。</w:t>
            </w:r>
          </w:p>
        </w:tc>
        <w:tc>
          <w:tcPr>
            <w:tcW w:type="dxa" w:w="2843"/>
          </w:tcPr>
          <w:p>
            <w:pPr>
              <w:spacing w:line="264" w:lineRule="auto" w:after="80" w:before="80"/>
            </w:pPr>
            <w:r>
              <w:rPr>
                <w:sz w:val="18"/>
              </w:rPr>
              <w:t>Table 3列近似SE分别为0.03、0.03、0.04；是各准确度的SE，不是模型差值的配对SE。未用这些边际SE重算比较P值。</w:t>
            </w:r>
          </w:p>
        </w:tc>
        <w:tc>
          <w:tcPr>
            <w:tcW w:type="dxa" w:w="2992"/>
          </w:tcPr>
          <w:p>
            <w:pPr>
              <w:spacing w:line="264" w:lineRule="auto" w:after="80" w:before="80"/>
            </w:pPr>
            <w:r>
              <w:rPr>
                <w:sz w:val="18"/>
              </w:rPr>
              <w:t>该标记类别筛选的准确度点估计较低、斜率更接近1；时间留出来自同一商业鸡系。Methods / Accuracy of predicting breeding values；Table 3。</w:t>
            </w:r>
          </w:p>
        </w:tc>
      </w:tr>
      <w:tr>
        <w:tc>
          <w:tcPr>
            <w:tcW w:type="dxa" w:w="2394"/>
          </w:tcPr>
          <w:p>
            <w:pPr>
              <w:spacing w:line="264" w:lineRule="auto" w:after="80" w:before="80"/>
            </w:pPr>
            <w:r>
              <w:rPr>
                <w:sz w:val="18"/>
              </w:rPr>
              <w:t>Ni等2017[135]；褐壳蛋鸡蛋壳强度、采食量、后期产蛋率</w:t>
            </w:r>
          </w:p>
        </w:tc>
        <w:tc>
          <w:tcPr>
            <w:tcW w:type="dxa" w:w="3292"/>
          </w:tcPr>
          <w:p>
            <w:pPr>
              <w:spacing w:line="264" w:lineRule="auto" w:after="80" w:before="80"/>
            </w:pPr>
            <w:r>
              <w:rPr>
                <w:sz w:val="18"/>
              </w:rPr>
              <w:t>892只、六世代；随机五折重复五次；另以最后两世代146只前推。比较相同GBLUP的全序列与基因及邻近区域SNP。</w:t>
            </w:r>
          </w:p>
        </w:tc>
        <w:tc>
          <w:tcPr>
            <w:tcW w:type="dxa" w:w="3441"/>
          </w:tcPr>
          <w:p>
            <w:pPr>
              <w:spacing w:line="264" w:lineRule="auto" w:after="80" w:before="80"/>
            </w:pPr>
            <w:r>
              <w:rPr>
                <w:sz w:val="18"/>
              </w:rPr>
              <w:t>DGV与去回归育种评估值（DRP）的相关，DRP去除了亲本平均信息。三性状汇总均值0.358→0.366；前推时基因区域略低，作者未展示具体数值。</w:t>
            </w:r>
          </w:p>
        </w:tc>
        <w:tc>
          <w:tcPr>
            <w:tcW w:type="dxa" w:w="2843"/>
          </w:tcPr>
          <w:p>
            <w:pPr>
              <w:spacing w:line="264" w:lineRule="auto" w:after="80" w:before="80"/>
            </w:pPr>
            <w:r>
              <w:rPr>
                <w:sz w:val="18"/>
              </w:rPr>
              <w:t>主文汇总SD分别0.076、0.075；不是平均差值的SE或CI。Fig. 2呈验证结果分布，主文未给这组汇总差值的配对检验。</w:t>
            </w:r>
          </w:p>
        </w:tc>
        <w:tc>
          <w:tcPr>
            <w:tcW w:type="dxa" w:w="2992"/>
          </w:tcPr>
          <w:p>
            <w:pPr>
              <w:spacing w:line="264" w:lineRule="auto" w:after="80" w:before="80"/>
            </w:pPr>
            <w:r>
              <w:rPr>
                <w:sz w:val="18"/>
              </w:rPr>
              <w:t>随机验证小幅优势未延续到该前推验证。原文另在12只全同胞鸡中报告基因区域与全WGS预测排序相关0.99；个体来自不同验证折，不能据此估计全群选留重叠率。Methods / Phenotypic observations、Genomic prediction；Results / Comparison between HD array data and WGS data using different weighting factors、Comparison within a full-sib family。</w:t>
            </w:r>
          </w:p>
        </w:tc>
      </w:tr>
      <w:tr>
        <w:tc>
          <w:tcPr>
            <w:tcW w:type="dxa" w:w="2394"/>
          </w:tcPr>
          <w:p>
            <w:pPr>
              <w:spacing w:line="264" w:lineRule="auto" w:after="80" w:before="80"/>
            </w:pPr>
            <w:r>
              <w:rPr>
                <w:sz w:val="18"/>
              </w:rPr>
              <w:t>Ye等2023[136]；黄羽鸡15项性状</w:t>
            </w:r>
          </w:p>
        </w:tc>
        <w:tc>
          <w:tcPr>
            <w:tcW w:type="dxa" w:w="3292"/>
          </w:tcPr>
          <w:p>
            <w:pPr>
              <w:spacing w:line="264" w:lineRule="auto" w:after="80" w:before="80"/>
            </w:pPr>
            <w:r>
              <w:rPr>
                <w:sz w:val="18"/>
              </w:rPr>
              <w:t>同一群体随机十折重复五次；验证表型遮蔽。比较按染色体构建的单倍型与两种按KEGG通路构建的方案，各方案取其最优结果。最终有表型个体数随性状而异，见原文Table 1。</w:t>
            </w:r>
          </w:p>
        </w:tc>
        <w:tc>
          <w:tcPr>
            <w:tcW w:type="dxa" w:w="3441"/>
          </w:tcPr>
          <w:p>
            <w:pPr>
              <w:spacing w:line="264" w:lineRule="auto" w:after="80" w:before="80"/>
            </w:pPr>
            <w:r>
              <w:rPr>
                <w:sz w:val="18"/>
              </w:rPr>
              <w:t>预测遗传值与预校正表型的Pearson相关。至少一种通路方案在9项性状上显著优于染色体单倍型方案；AFW、AFP、RFI未获额外增益。</w:t>
            </w:r>
          </w:p>
        </w:tc>
        <w:tc>
          <w:tcPr>
            <w:tcW w:type="dxa" w:w="2843"/>
          </w:tcPr>
          <w:p>
            <w:pPr>
              <w:spacing w:line="264" w:lineRule="auto" w:after="80" w:before="80"/>
            </w:pPr>
            <w:r>
              <w:rPr>
                <w:sz w:val="18"/>
              </w:rPr>
              <w:t>Methods及Fig. 4说明配对t检验、Bonferroni多重校正；9项优势为原作者在此分析下报告的显著结果；配对与多重校正不消除同套验证选优的问题，原文未明确配对检验的观察单位及重复交叉验证相关性处理。主文未表列这些通路方案逐项差值的CI。</w:t>
            </w:r>
          </w:p>
        </w:tc>
        <w:tc>
          <w:tcPr>
            <w:tcW w:type="dxa" w:w="2992"/>
          </w:tcPr>
          <w:p>
            <w:pPr>
              <w:spacing w:line="264" w:lineRule="auto" w:after="80" w:before="80"/>
            </w:pPr>
            <w:r>
              <w:rPr>
                <w:sz w:val="18"/>
              </w:rPr>
              <w:t>属同群内部比较，最优方案由同套交叉验证选择，性能估计存在选模后的乐观偏差风险；“最优单倍型对最优SNP”的最大改善率不是通路注释的净增量。Methods / Evaluation of Prediction Models；Results / Impact on Prediction Accuracy；Fig. 3—4；Tables 4—6。</w:t>
            </w:r>
          </w:p>
        </w:tc>
      </w:tr>
      <w:tr>
        <w:tc>
          <w:tcPr>
            <w:tcW w:type="dxa" w:w="2394"/>
          </w:tcPr>
          <w:p>
            <w:pPr>
              <w:spacing w:line="264" w:lineRule="auto" w:after="80" w:before="80"/>
            </w:pPr>
            <w:r>
              <w:rPr>
                <w:sz w:val="18"/>
              </w:rPr>
              <w:t>Cheng等2015[138]；马立克病抗性</w:t>
            </w:r>
          </w:p>
        </w:tc>
        <w:tc>
          <w:tcPr>
            <w:tcW w:type="dxa" w:w="3292"/>
          </w:tcPr>
          <w:p>
            <w:pPr>
              <w:spacing w:line="264" w:lineRule="auto" w:after="80" w:before="80"/>
            </w:pPr>
            <w:r>
              <w:rPr>
                <w:sz w:val="18"/>
              </w:rPr>
              <w:t>ASE标记辅助一代双向选择；评价来自选择分布两端的60只公鸡及其后代。比较ASE估计与系谱估计，不是常规全基因组SNP基线比较。</w:t>
            </w:r>
          </w:p>
        </w:tc>
        <w:tc>
          <w:tcPr>
            <w:tcW w:type="dxa" w:w="3441"/>
          </w:tcPr>
          <w:p>
            <w:pPr>
              <w:spacing w:line="264" w:lineRule="auto" w:after="80" w:before="80"/>
            </w:pPr>
            <w:r>
              <w:rPr>
                <w:sz w:val="18"/>
              </w:rPr>
              <w:t>亲本估计育种值与后代平均存活表现相关分别为0.736、0.325；研究另报告选后子代表型分化。</w:t>
            </w:r>
          </w:p>
        </w:tc>
        <w:tc>
          <w:tcPr>
            <w:tcW w:type="dxa" w:w="2843"/>
          </w:tcPr>
          <w:p>
            <w:pPr>
              <w:spacing w:line="264" w:lineRule="auto" w:after="80" w:before="80"/>
            </w:pPr>
            <w:r>
              <w:rPr>
                <w:sz w:val="18"/>
              </w:rPr>
              <w:t>主文及Fig. 6未报告两项相关的CI或差值检验。Fig. 5报告后代发病表现的均值及SD，属于另一结果终点，不能挪作相关差值精度。</w:t>
            </w:r>
          </w:p>
        </w:tc>
        <w:tc>
          <w:tcPr>
            <w:tcW w:type="dxa" w:w="2992"/>
          </w:tcPr>
          <w:p>
            <w:pPr>
              <w:spacing w:line="264" w:lineRule="auto" w:after="80" w:before="80"/>
            </w:pPr>
            <w:r>
              <w:rPr>
                <w:sz w:val="18"/>
              </w:rPr>
              <w:t>有实际选择及后代结果；相关适用于被选择的两端样本，不估计未选择候选群体的一般预测优势。Results / ASE SNPs can accurately predict genetic merit for MD genetic resistance；Fig. 5—6。</w:t>
            </w:r>
          </w:p>
        </w:tc>
      </w:tr>
      <w:tr>
        <w:tc>
          <w:tcPr>
            <w:tcW w:type="dxa" w:w="2394"/>
          </w:tcPr>
          <w:p>
            <w:pPr>
              <w:spacing w:line="264" w:lineRule="auto" w:after="80" w:before="80"/>
            </w:pPr>
            <w:r>
              <w:rPr>
                <w:sz w:val="18"/>
              </w:rPr>
              <w:t>Ye等2026[39]；877只F₂鸡15项生长/胴体性状</w:t>
            </w:r>
          </w:p>
        </w:tc>
        <w:tc>
          <w:tcPr>
            <w:tcW w:type="dxa" w:w="3292"/>
          </w:tcPr>
          <w:p>
            <w:pPr>
              <w:spacing w:line="264" w:lineRule="auto" w:after="80" w:before="80"/>
            </w:pPr>
            <w:r>
              <w:rPr>
                <w:sz w:val="18"/>
              </w:rPr>
              <w:t>随机十折重复五次；按原文，表型依赖的筛选、估计和调参均在外层训练折内完成。比较SNP-only GBLUP、SNP+SV线性模型及混合GPDLBP。</w:t>
            </w:r>
          </w:p>
        </w:tc>
        <w:tc>
          <w:tcPr>
            <w:tcW w:type="dxa" w:w="3441"/>
          </w:tcPr>
          <w:p>
            <w:pPr>
              <w:spacing w:line="264" w:lineRule="auto" w:after="80" w:before="80"/>
            </w:pPr>
            <w:r>
              <w:rPr>
                <w:sz w:val="18"/>
              </w:rPr>
              <w:t>49日龄体重（BW49）平均相关0.512→0.532，绝对点差0.020；简单SNP+SV线性模型同为0.512。去内脏重（EW）0.471→0.491。</w:t>
            </w:r>
          </w:p>
        </w:tc>
        <w:tc>
          <w:tcPr>
            <w:tcW w:type="dxa" w:w="2843"/>
          </w:tcPr>
          <w:p>
            <w:pPr>
              <w:spacing w:line="264" w:lineRule="auto" w:after="80" w:before="80"/>
            </w:pPr>
            <w:r>
              <w:rPr>
                <w:sz w:val="18"/>
              </w:rPr>
              <w:t>独立Table S11：BW49的SD为0.078、0.072；EW为0.082、0.075。独立Fig. S7提供匹配交叉验证结果的配对差值95% CI及BH校正；BW49、EW均标FDR&lt;0.001。图注将差值单位称为匹配的交叉验证重复，未交代重复间相关性处理；区间端点仅图示，本文不作精确读数。</w:t>
            </w:r>
          </w:p>
        </w:tc>
        <w:tc>
          <w:tcPr>
            <w:tcW w:type="dxa" w:w="2992"/>
          </w:tcPr>
          <w:p>
            <w:pPr>
              <w:spacing w:line="264" w:lineRule="auto" w:after="80" w:before="80"/>
            </w:pPr>
            <w:r>
              <w:rPr>
                <w:sz w:val="18"/>
              </w:rPr>
              <w:t>该联合方案的小幅群体内预测增益有统计支持；信息与算法一起改变，未单独分离SV的贡献。Methods / Genomic prediction；Results / Enhanced genomic prediction accuracy through synergistic integration of SNPs and SVs；Fig. 6；独立Table S11及Fig. S7。</w:t>
            </w:r>
          </w:p>
        </w:tc>
      </w:tr>
      <w:tr>
        <w:tc>
          <w:tcPr>
            <w:tcW w:type="dxa" w:w="2394"/>
          </w:tcPr>
          <w:p>
            <w:pPr>
              <w:spacing w:line="264" w:lineRule="auto" w:after="80" w:before="80"/>
            </w:pPr>
            <w:r>
              <w:rPr>
                <w:sz w:val="18"/>
              </w:rPr>
              <w:t>Zhou等2026[137]；877只兴华×隐性白洛克F₂，49项性状</w:t>
            </w:r>
          </w:p>
        </w:tc>
        <w:tc>
          <w:tcPr>
            <w:tcW w:type="dxa" w:w="3292"/>
          </w:tcPr>
          <w:p>
            <w:pPr>
              <w:spacing w:line="264" w:lineRule="auto" w:after="80" w:before="80"/>
            </w:pPr>
            <w:r>
              <w:rPr>
                <w:sz w:val="18"/>
              </w:rPr>
              <w:t>六模型分别比较SNP、InDel、SV及联合组合；随机交叉验证。主文称十折重复十次，但又写其余四组训练，所核SI及公开代码未消除此冲突。</w:t>
            </w:r>
          </w:p>
        </w:tc>
        <w:tc>
          <w:tcPr>
            <w:tcW w:type="dxa" w:w="3441"/>
          </w:tcPr>
          <w:p>
            <w:pPr>
              <w:spacing w:line="264" w:lineRule="auto" w:after="80" w:before="80"/>
            </w:pPr>
            <w:r>
              <w:rPr>
                <w:sz w:val="18"/>
              </w:rPr>
              <w:t>Table S39与公开比较脚本对应Pearson相关结果，不能读作R²或经遗传力校正准确度。例如EW的GBLUP：SNP 0.3615、SV 0.4433、SNP+SV 0.3612。</w:t>
            </w:r>
          </w:p>
        </w:tc>
        <w:tc>
          <w:tcPr>
            <w:tcW w:type="dxa" w:w="2843"/>
          </w:tcPr>
          <w:p>
            <w:pPr>
              <w:spacing w:line="264" w:lineRule="auto" w:after="80" w:before="80"/>
            </w:pPr>
            <w:r>
              <w:rPr>
                <w:sz w:val="18"/>
              </w:rPr>
              <w:t>Fig.6b对跨49性状结果作配对t检验；主文报告单用SV在部分模型较好、加入SNP基线未显著提升。S39仅汇总值，未列逐折/重复SD、SE或差值CI；所列EW单项未另报检验。Fig.6d星号仅表示最高值。</w:t>
            </w:r>
          </w:p>
        </w:tc>
        <w:tc>
          <w:tcPr>
            <w:tcW w:type="dxa" w:w="2992"/>
          </w:tcPr>
          <w:p>
            <w:pPr>
              <w:spacing w:line="264" w:lineRule="auto" w:after="80" w:before="80"/>
            </w:pPr>
            <w:r>
              <w:rPr>
                <w:sz w:val="18"/>
              </w:rPr>
              <w:t>区分标记类别的单独预测与基线增量，不作实际选择响应或3D注释加权增益。与[39]的杂交来源及877只规模相同，逐只对应未核，不计明确独立群体重复。Results 2.7、Methods 5.20、Fig.6、Table S39；公开GS_comparsion.R。</w:t>
            </w:r>
          </w:p>
        </w:tc>
      </w:tr>
    </w:tbl>
    <w:p/>
    <w:p>
      <w:r>
        <w:t>注：预测相关比较预测值与观察性代理终点；经遗传力校正的准确度另含遗传力估计；PEV准确度来自模型误差估计。Heidaritabar研究的校准斜率以表型为因变量、预测育种值为自变量，理想值为1；斜率接近1不等于预测相关一定更高。SD描述离散程度，不等于差值精度；单个模型的SD相互重叠也不能替代配对检验来判断模型差值。</w:t>
      </w:r>
    </w:p>
    <w:p>
      <w:pPr>
        <w:pStyle w:val="Heading2"/>
      </w:pPr>
      <w:r>
        <w:t>B. Wolc等2015[133]实际选择程序</w:t>
      </w:r>
    </w:p>
    <w:tbl>
      <w:tblPr>
        <w:tblStyle w:val="TableGrid"/>
        <w:tblW w:type="auto" w:w="0"/>
        <w:tblLayout w:type="fixed"/>
        <w:tblLook w:firstColumn="1" w:firstRow="1" w:lastColumn="0" w:lastRow="0" w:noHBand="0" w:noVBand="1" w:val="04A0"/>
      </w:tblPr>
      <w:tblGrid>
        <w:gridCol w:w="4987"/>
        <w:gridCol w:w="4987"/>
        <w:gridCol w:w="4987"/>
      </w:tblGrid>
      <w:tr>
        <w:trPr>
          <w:tblHeader/>
        </w:trPr>
        <w:tc>
          <w:tcPr>
            <w:tcW w:type="dxa" w:w="4987"/>
            <w:shd w:fill="E8EDF2"/>
          </w:tcPr>
          <w:p>
            <w:pPr>
              <w:spacing w:line="264" w:lineRule="auto" w:after="80" w:before="80"/>
            </w:pPr>
            <w:r>
              <w:rPr>
                <w:b/>
                <w:sz w:val="18"/>
              </w:rPr>
              <w:t>比较项目</w:t>
            </w:r>
          </w:p>
        </w:tc>
        <w:tc>
          <w:tcPr>
            <w:tcW w:type="dxa" w:w="4987"/>
            <w:shd w:fill="E8EDF2"/>
          </w:tcPr>
          <w:p>
            <w:pPr>
              <w:spacing w:line="264" w:lineRule="auto" w:after="80" w:before="80"/>
            </w:pPr>
            <w:r>
              <w:rPr>
                <w:b/>
                <w:sz w:val="18"/>
              </w:rPr>
              <w:t>原文报告</w:t>
            </w:r>
          </w:p>
        </w:tc>
        <w:tc>
          <w:tcPr>
            <w:tcW w:type="dxa" w:w="4987"/>
            <w:shd w:fill="E8EDF2"/>
          </w:tcPr>
          <w:p>
            <w:pPr>
              <w:spacing w:line="264" w:lineRule="auto" w:after="80" w:before="80"/>
            </w:pPr>
            <w:r>
              <w:rPr>
                <w:b/>
                <w:sz w:val="18"/>
              </w:rPr>
              <w:t>本文采用方式与定位</w:t>
            </w:r>
          </w:p>
        </w:tc>
      </w:tr>
      <w:tr>
        <w:tc>
          <w:tcPr>
            <w:tcW w:type="dxa" w:w="4987"/>
          </w:tcPr>
          <w:p>
            <w:pPr>
              <w:spacing w:line="264" w:lineRule="auto" w:after="80" w:before="80"/>
            </w:pPr>
            <w:r>
              <w:rPr>
                <w:sz w:val="18"/>
              </w:rPr>
              <w:t>共同时间范围</w:t>
            </w:r>
          </w:p>
        </w:tc>
        <w:tc>
          <w:tcPr>
            <w:tcW w:type="dxa" w:w="4987"/>
          </w:tcPr>
          <w:p>
            <w:pPr>
              <w:spacing w:line="264" w:lineRule="auto" w:after="80" w:before="80"/>
            </w:pPr>
            <w:r>
              <w:rPr>
                <w:sz w:val="18"/>
              </w:rPr>
              <w:t>三年期试验；原群按全同胞家系随机拆成系谱与GS亚系。起始G0后系谱线再选择两代、GS线再选择四代；计入G0时为三代与五代。</w:t>
            </w:r>
          </w:p>
        </w:tc>
        <w:tc>
          <w:tcPr>
            <w:tcW w:type="dxa" w:w="4987"/>
          </w:tcPr>
          <w:p>
            <w:pPr>
              <w:spacing w:line="264" w:lineRule="auto" w:after="80" w:before="80"/>
            </w:pPr>
            <w:r>
              <w:rPr>
                <w:sz w:val="18"/>
              </w:rPr>
              <w:t>使用“三年期、起始代后两代与四代”，不混用计数起点。Abstract；Methods / Implementation；Fig. 1。</w:t>
            </w:r>
          </w:p>
        </w:tc>
      </w:tr>
      <w:tr>
        <w:tc>
          <w:tcPr>
            <w:tcW w:type="dxa" w:w="4987"/>
          </w:tcPr>
          <w:p>
            <w:pPr>
              <w:spacing w:line="264" w:lineRule="auto" w:after="80" w:before="80"/>
            </w:pPr>
            <w:r>
              <w:rPr>
                <w:sz w:val="18"/>
              </w:rPr>
              <w:t>实施差异</w:t>
            </w:r>
          </w:p>
        </w:tc>
        <w:tc>
          <w:tcPr>
            <w:tcW w:type="dxa" w:w="4987"/>
          </w:tcPr>
          <w:p>
            <w:pPr>
              <w:spacing w:line="264" w:lineRule="auto" w:after="80" w:before="80"/>
            </w:pPr>
            <w:r>
              <w:rPr>
                <w:sz w:val="18"/>
              </w:rPr>
              <w:t>两线用同一16性状指数；GS同时改变世代间隔、候选规模、母鸡两阶段选择及配种结构。末代同期孵化、共同饲养。</w:t>
            </w:r>
          </w:p>
        </w:tc>
        <w:tc>
          <w:tcPr>
            <w:tcW w:type="dxa" w:w="4987"/>
          </w:tcPr>
          <w:p>
            <w:pPr>
              <w:spacing w:line="264" w:lineRule="auto" w:after="80" w:before="80"/>
            </w:pPr>
            <w:r>
              <w:rPr>
                <w:sz w:val="18"/>
              </w:rPr>
              <w:t>比较对象为整套选择程序，不将所有效果归于预测算法。Methods / Implementation、Evaluation of response to selection。</w:t>
            </w:r>
          </w:p>
        </w:tc>
      </w:tr>
      <w:tr>
        <w:tc>
          <w:tcPr>
            <w:tcW w:type="dxa" w:w="4987"/>
          </w:tcPr>
          <w:p>
            <w:pPr>
              <w:spacing w:line="264" w:lineRule="auto" w:after="80" w:before="80"/>
            </w:pPr>
            <w:r>
              <w:rPr>
                <w:sz w:val="18"/>
              </w:rPr>
              <w:t>响应基准与单位</w:t>
            </w:r>
          </w:p>
        </w:tc>
        <w:tc>
          <w:tcPr>
            <w:tcW w:type="dxa" w:w="4987"/>
          </w:tcPr>
          <w:p>
            <w:pPr>
              <w:spacing w:line="264" w:lineRule="auto" w:after="80" w:before="80"/>
            </w:pPr>
            <w:r>
              <w:rPr>
                <w:sz w:val="18"/>
              </w:rPr>
              <w:t>系谱线起末代平均EBV差提供基准，再加末代亚系最小二乘表型均值差以估计GS响应；按每个性状的遗传标准差表达。</w:t>
            </w:r>
          </w:p>
        </w:tc>
        <w:tc>
          <w:tcPr>
            <w:tcW w:type="dxa" w:w="4987"/>
          </w:tcPr>
          <w:p>
            <w:pPr>
              <w:spacing w:line="264" w:lineRule="auto" w:after="80" w:before="80"/>
            </w:pPr>
            <w:r>
              <w:rPr>
                <w:sz w:val="18"/>
              </w:rPr>
              <w:t>Fig. 3是按上述方法估计的各性状响应，不是真实育种值逐代直接观测。原文未给可直接引用的综合指数响应值，也未给各柱精确数值及误差条；不按改善性状数量推断综合目标增益。</w:t>
            </w:r>
          </w:p>
        </w:tc>
      </w:tr>
      <w:tr>
        <w:tc>
          <w:tcPr>
            <w:tcW w:type="dxa" w:w="4987"/>
          </w:tcPr>
          <w:p>
            <w:pPr>
              <w:spacing w:line="264" w:lineRule="auto" w:after="80" w:before="80"/>
            </w:pPr>
            <w:r>
              <w:rPr>
                <w:sz w:val="18"/>
              </w:rPr>
              <w:t>性状方向</w:t>
            </w:r>
          </w:p>
        </w:tc>
        <w:tc>
          <w:tcPr>
            <w:tcW w:type="dxa" w:w="4987"/>
          </w:tcPr>
          <w:p>
            <w:pPr>
              <w:spacing w:line="264" w:lineRule="auto" w:after="80" w:before="80"/>
            </w:pPr>
            <w:r>
              <w:rPr>
                <w:sz w:val="18"/>
              </w:rPr>
              <w:t>蛋重、蛋黄重等GS响应较大；可销售蛋产蛋率ePD/lPD在GS线为负、系谱线为正。</w:t>
            </w:r>
          </w:p>
        </w:tc>
        <w:tc>
          <w:tcPr>
            <w:tcW w:type="dxa" w:w="4987"/>
          </w:tcPr>
          <w:p>
            <w:pPr>
              <w:spacing w:line="264" w:lineRule="auto" w:after="80" w:before="80"/>
            </w:pPr>
            <w:r>
              <w:rPr>
                <w:sz w:val="18"/>
              </w:rPr>
              <w:t>保留多性状结果差异，不写全部性状改善或总遗传增益翻倍。Results / Experimental results；Fig. 3。正文产蛋数描述与图中系谱lEN方向有既存不一致，不引用“两线产蛋数均改善”。</w:t>
            </w:r>
          </w:p>
        </w:tc>
      </w:tr>
      <w:tr>
        <w:tc>
          <w:tcPr>
            <w:tcW w:type="dxa" w:w="4987"/>
          </w:tcPr>
          <w:p>
            <w:pPr>
              <w:spacing w:line="264" w:lineRule="auto" w:after="80" w:before="80"/>
            </w:pPr>
            <w:r>
              <w:rPr>
                <w:sz w:val="18"/>
              </w:rPr>
              <w:t>系谱近交水平</w:t>
            </w:r>
          </w:p>
        </w:tc>
        <w:tc>
          <w:tcPr>
            <w:tcW w:type="dxa" w:w="4987"/>
          </w:tcPr>
          <w:p>
            <w:pPr>
              <w:spacing w:line="264" w:lineRule="auto" w:after="80" w:before="80"/>
            </w:pPr>
            <w:r>
              <w:rPr>
                <w:sz w:val="18"/>
              </w:rPr>
              <w:t>GS：G0为0.018，G1为0.020，G2为0.023，G3为0.028，G4为0.041；系谱：G0为0.019，G1为0.022，G2为0.026。</w:t>
            </w:r>
          </w:p>
        </w:tc>
        <w:tc>
          <w:tcPr>
            <w:tcW w:type="dxa" w:w="4987"/>
          </w:tcPr>
          <w:p>
            <w:pPr>
              <w:spacing w:line="264" w:lineRule="auto" w:after="80" w:before="80"/>
            </w:pPr>
            <w:r>
              <w:rPr>
                <w:sz w:val="18"/>
              </w:rPr>
              <w:t>Table 2。0.041/0.026是末代水平。原文摘要定性报告实际年近交较高；本文不由末代数值另算每代或每年速率。</w:t>
            </w:r>
          </w:p>
        </w:tc>
      </w:tr>
      <w:tr>
        <w:tc>
          <w:tcPr>
            <w:tcW w:type="dxa" w:w="4987"/>
          </w:tcPr>
          <w:p>
            <w:pPr>
              <w:spacing w:line="264" w:lineRule="auto" w:after="80" w:before="80"/>
            </w:pPr>
            <w:r>
              <w:rPr>
                <w:sz w:val="18"/>
              </w:rPr>
              <w:t>模拟与实测</w:t>
            </w:r>
          </w:p>
        </w:tc>
        <w:tc>
          <w:tcPr>
            <w:tcW w:type="dxa" w:w="4987"/>
          </w:tcPr>
          <w:p>
            <w:pPr>
              <w:spacing w:line="264" w:lineRule="auto" w:after="80" w:before="80"/>
            </w:pPr>
            <w:r>
              <w:rPr>
                <w:sz w:val="18"/>
              </w:rPr>
              <w:t>文中另有单性状随机模拟及其响应、近交曲线。</w:t>
            </w:r>
          </w:p>
        </w:tc>
        <w:tc>
          <w:tcPr>
            <w:tcW w:type="dxa" w:w="4987"/>
          </w:tcPr>
          <w:p>
            <w:pPr>
              <w:spacing w:line="264" w:lineRule="auto" w:after="80" w:before="80"/>
            </w:pPr>
            <w:r>
              <w:rPr>
                <w:sz w:val="18"/>
              </w:rPr>
              <w:t>Fig. 2模拟中的误差条和年近交数值不转给Fig. 3真实试验。</w:t>
            </w:r>
          </w:p>
        </w:tc>
      </w:tr>
    </w:tbl>
    <w:p/>
    <w:p>
      <w:pPr>
        <w:pStyle w:val="Heading2"/>
      </w:pPr>
      <w:r>
        <w:t>比较结果的综合解释</w:t>
      </w:r>
    </w:p>
    <w:p>
      <w:r>
        <w:t>A表同时记录方案表现和信息归因。Heidaritabar的标记筛选在相同模型内比较，准确度下降而校准改善；Ni的随机验证优势未延续到前推验证；Ye2023的通路结果受同套验证选优影响。Yang、Tu及Ye2026同时改变信息组织或模型，结果分别支持所列方案或数据整合比较，新增信息的独立贡献未单独分离。Zhou2026加入SV未见显著提升。Cheng的ASE方案有实际选择及后代分化，参照为系谱而非常规全基因组SNP预测。</w:t>
      </w:r>
    </w:p>
    <w:p>
      <w:r>
        <w:t>这些模型比较均未提供在相同完整候选群体、相同留种规则下两套实际亲本名单的配对结果；Ni的小家系排序与Cheng已选择两端样本分别按其分析单位解释。该缺失限定了对“实际入选集合改变”的结论，不影响评价各研究已经报告的留出预测或选择结果。</w:t>
      </w:r>
    </w:p>
    <w:p>
      <w:pPr>
        <w:pStyle w:val="Heading2"/>
      </w:pPr>
      <w:r>
        <w:t>资料覆盖说明</w:t>
      </w:r>
    </w:p>
    <w:p>
      <w:r>
        <w:t>表内覆盖9项原始研究，依据期刊全文、补充材料及对应表图提取结果。Zhou2026[137]公开脚本用于核对结果列和图示含义，训练划分脚本未取得；Ye2026[39]独立补充表S11和图S7提供不确定性资料。本综述未重算原始预测，“未报告”对应表内指定比较及已核来源位置。</w:t>
      </w:r>
    </w:p>
    <w:p>
      <w:pPr>
        <w:pStyle w:val="Heading1"/>
      </w:pPr>
      <w:r>
        <w:t>补充材料S4 文献检索记录与案例取舍</w:t>
      </w:r>
    </w:p>
    <w:p>
      <w:r>
        <w:t>本文采用围绕既定案例和问题的叙述性检索。下列记录用于公开检索范围及案例取舍，不构成系统综述的完整筛选流程，也不用于计算各类证据在家鸡领域的比例。</w:t>
      </w:r>
    </w:p>
    <w:p>
      <w:pPr>
        <w:pStyle w:val="Heading2"/>
      </w:pPr>
      <w:r>
        <w:t>记录来源与时间</w:t>
      </w:r>
    </w:p>
    <w:p>
      <w:r>
        <w:t>检索表收录82条查询请求，其中63条源记录未记载执行日期，表内保留缺失状态。发表日期筛选窗口与请求执行日期分别记录。查询包含主题检索及题名、DOI等定点追踪，并非82次独立主题检索。</w:t>
      </w:r>
    </w:p>
    <w:p>
      <w:r>
        <w:t xml:space="preserve">配套文件 </w:t>
      </w:r>
      <w:r>
        <w:t>S4_检索记录.csv</w:t>
      </w:r>
      <w:r>
        <w:t xml:space="preserve"> 逐条保留数据库、查询式、过滤条件、单次请求返回上限、原记录命中数（若有）、请求状态和URL。</w:t>
      </w:r>
      <w:r>
        <w:t>S4_来源日志索引.json</w:t>
      </w:r>
      <w:r>
        <w:t xml:space="preserve"> 记录原日志名称及SHA256；27份对应日志随 </w:t>
      </w:r>
      <w:r>
        <w:t>R80_S4检索记录包.zip</w:t>
      </w:r>
      <w:r>
        <w:t xml:space="preserve"> 提供。检索式中的题名或关键词为原请求，不因当前正文取舍而改写。</w:t>
      </w:r>
    </w:p>
    <w:p>
      <w:r>
        <w:t>表内导出日志中的查询请求，全文下载和出版社访问另属材料获取过程。失败请求保留原状态；命中数与单次返回上限按字段记录，不作为已核全文数或最终纳入数。部分请求仅取得返回上限内的结果。</w:t>
      </w:r>
    </w:p>
    <w:p>
      <w:pPr>
        <w:pStyle w:val="Heading2"/>
      </w:pPr>
      <w:r>
        <w:t>案例与取舍原则</w:t>
      </w:r>
    </w:p>
    <w:tbl>
      <w:tblPr>
        <w:tblStyle w:val="TableGrid"/>
        <w:tblW w:type="auto" w:w="0"/>
        <w:tblLayout w:type="fixed"/>
        <w:tblLook w:firstColumn="1" w:firstRow="1" w:lastColumn="0" w:lastRow="0" w:noHBand="0" w:noVBand="1" w:val="04A0"/>
      </w:tblPr>
      <w:tblGrid>
        <w:gridCol w:w="2394"/>
        <w:gridCol w:w="3292"/>
        <w:gridCol w:w="4788"/>
        <w:gridCol w:w="4488"/>
      </w:tblGrid>
      <w:tr>
        <w:trPr>
          <w:tblHeader/>
        </w:trPr>
        <w:tc>
          <w:tcPr>
            <w:tcW w:type="dxa" w:w="2394"/>
            <w:shd w:fill="E8EDF2"/>
          </w:tcPr>
          <w:p>
            <w:pPr>
              <w:spacing w:line="264" w:lineRule="auto" w:after="80" w:before="80"/>
            </w:pPr>
            <w:r>
              <w:rPr>
                <w:b/>
                <w:sz w:val="18"/>
              </w:rPr>
              <w:t>案例或问题</w:t>
            </w:r>
          </w:p>
        </w:tc>
        <w:tc>
          <w:tcPr>
            <w:tcW w:type="dxa" w:w="3292"/>
            <w:shd w:fill="E8EDF2"/>
          </w:tcPr>
          <w:p>
            <w:pPr>
              <w:spacing w:line="264" w:lineRule="auto" w:after="80" w:before="80"/>
            </w:pPr>
            <w:r>
              <w:rPr>
                <w:b/>
                <w:sz w:val="18"/>
              </w:rPr>
              <w:t>记录所示渠道</w:t>
            </w:r>
          </w:p>
        </w:tc>
        <w:tc>
          <w:tcPr>
            <w:tcW w:type="dxa" w:w="4788"/>
            <w:shd w:fill="E8EDF2"/>
          </w:tcPr>
          <w:p>
            <w:pPr>
              <w:spacing w:line="264" w:lineRule="auto" w:after="80" w:before="80"/>
            </w:pPr>
            <w:r>
              <w:rPr>
                <w:b/>
                <w:sz w:val="18"/>
              </w:rPr>
              <w:t>查询索引</w:t>
            </w:r>
          </w:p>
        </w:tc>
        <w:tc>
          <w:tcPr>
            <w:tcW w:type="dxa" w:w="4488"/>
            <w:shd w:fill="E8EDF2"/>
          </w:tcPr>
          <w:p>
            <w:pPr>
              <w:spacing w:line="264" w:lineRule="auto" w:after="80" w:before="80"/>
            </w:pPr>
            <w:r>
              <w:rPr>
                <w:b/>
                <w:sz w:val="18"/>
              </w:rPr>
              <w:t>本文取舍与比较用途</w:t>
            </w:r>
          </w:p>
        </w:tc>
      </w:tr>
      <w:tr>
        <w:tc>
          <w:tcPr>
            <w:tcW w:type="dxa" w:w="2394"/>
          </w:tcPr>
          <w:p>
            <w:pPr>
              <w:spacing w:line="264" w:lineRule="auto" w:after="80" w:before="80"/>
            </w:pPr>
            <w:r>
              <w:rPr>
                <w:sz w:val="18"/>
              </w:rPr>
              <w:t>CCKAR</w:t>
            </w:r>
          </w:p>
        </w:tc>
        <w:tc>
          <w:tcPr>
            <w:tcW w:type="dxa" w:w="3292"/>
          </w:tcPr>
          <w:p>
            <w:pPr>
              <w:spacing w:line="264" w:lineRule="auto" w:after="80" w:before="80"/>
            </w:pPr>
            <w:r>
              <w:rPr>
                <w:sz w:val="18"/>
              </w:rPr>
              <w:t>api.crossref.org、eutils.ncbi.nlm.nih.gov、www.ebi.ac.uk</w:t>
            </w:r>
          </w:p>
        </w:tc>
        <w:tc>
          <w:tcPr>
            <w:tcW w:type="dxa" w:w="4788"/>
          </w:tcPr>
          <w:p>
            <w:pPr>
              <w:spacing w:line="264" w:lineRule="auto" w:after="80" w:before="80"/>
            </w:pPr>
            <w:r>
              <w:rPr>
                <w:sz w:val="18"/>
              </w:rPr>
              <w:t>Q001, Q002, Q003, Q004, Q005, Q006, Q007, Q008, Q009, Q010</w:t>
            </w:r>
          </w:p>
        </w:tc>
        <w:tc>
          <w:tcPr>
            <w:tcW w:type="dxa" w:w="4488"/>
          </w:tcPr>
          <w:p>
            <w:pPr>
              <w:spacing w:line="264" w:lineRule="auto" w:after="80" w:before="80"/>
            </w:pPr>
            <w:r>
              <w:rPr>
                <w:sz w:val="18"/>
              </w:rPr>
              <w:t>区域内多个调控候选与实际亲本选择并存；保留群体间方向差异，未取得原始全文的Sanuki结果仅据已核综述转述。</w:t>
            </w:r>
          </w:p>
        </w:tc>
      </w:tr>
      <w:tr>
        <w:tc>
          <w:tcPr>
            <w:tcW w:type="dxa" w:w="2394"/>
          </w:tcPr>
          <w:p>
            <w:pPr>
              <w:spacing w:line="264" w:lineRule="auto" w:after="80" w:before="80"/>
            </w:pPr>
            <w:r>
              <w:rPr>
                <w:sz w:val="18"/>
              </w:rPr>
              <w:t>IGF2BP1</w:t>
            </w:r>
          </w:p>
        </w:tc>
        <w:tc>
          <w:tcPr>
            <w:tcW w:type="dxa" w:w="3292"/>
          </w:tcPr>
          <w:p>
            <w:pPr>
              <w:spacing w:line="264" w:lineRule="auto" w:after="80" w:before="80"/>
            </w:pPr>
            <w:r>
              <w:rPr>
                <w:sz w:val="18"/>
              </w:rPr>
              <w:t>www.ebi.ac.uk</w:t>
            </w:r>
          </w:p>
        </w:tc>
        <w:tc>
          <w:tcPr>
            <w:tcW w:type="dxa" w:w="4788"/>
          </w:tcPr>
          <w:p>
            <w:pPr>
              <w:spacing w:line="264" w:lineRule="auto" w:after="80" w:before="80"/>
            </w:pPr>
            <w:r>
              <w:rPr>
                <w:sz w:val="18"/>
              </w:rPr>
              <w:t>Q011, Q012, Q013, Q014</w:t>
            </w:r>
          </w:p>
        </w:tc>
        <w:tc>
          <w:tcPr>
            <w:tcW w:type="dxa" w:w="4488"/>
          </w:tcPr>
          <w:p>
            <w:pPr>
              <w:spacing w:line="264" w:lineRule="auto" w:after="80" w:before="80"/>
            </w:pPr>
            <w:r>
              <w:rPr>
                <w:sz w:val="18"/>
              </w:rPr>
              <w:t>分开L1、L2、区域重复及联合标记研究；专利与核心论文共用材料不计独立验证，2025年新增原文另作来源追踪。</w:t>
            </w:r>
          </w:p>
        </w:tc>
      </w:tr>
      <w:tr>
        <w:tc>
          <w:tcPr>
            <w:tcW w:type="dxa" w:w="2394"/>
          </w:tcPr>
          <w:p>
            <w:pPr>
              <w:spacing w:line="264" w:lineRule="auto" w:after="80" w:before="80"/>
            </w:pPr>
            <w:r>
              <w:rPr>
                <w:sz w:val="18"/>
              </w:rPr>
              <w:t>rs734209466</w:t>
            </w:r>
          </w:p>
        </w:tc>
        <w:tc>
          <w:tcPr>
            <w:tcW w:type="dxa" w:w="3292"/>
          </w:tcPr>
          <w:p>
            <w:pPr>
              <w:spacing w:line="264" w:lineRule="auto" w:after="80" w:before="80"/>
            </w:pPr>
            <w:r>
              <w:rPr>
                <w:sz w:val="18"/>
              </w:rPr>
              <w:t>api.crossref.org、www.ebi.ac.uk</w:t>
            </w:r>
          </w:p>
        </w:tc>
        <w:tc>
          <w:tcPr>
            <w:tcW w:type="dxa" w:w="4788"/>
          </w:tcPr>
          <w:p>
            <w:pPr>
              <w:spacing w:line="264" w:lineRule="auto" w:after="80" w:before="80"/>
            </w:pPr>
            <w:r>
              <w:rPr>
                <w:sz w:val="18"/>
              </w:rPr>
              <w:t>Q015, Q016, Q017, Q018, Q019</w:t>
            </w:r>
          </w:p>
        </w:tc>
        <w:tc>
          <w:tcPr>
            <w:tcW w:type="dxa" w:w="4488"/>
          </w:tcPr>
          <w:p>
            <w:pPr>
              <w:spacing w:line="264" w:lineRule="auto" w:after="80" w:before="80"/>
            </w:pPr>
            <w:r>
              <w:rPr>
                <w:sz w:val="18"/>
              </w:rPr>
              <w:t>比较调控功能、选择系表型及专利选留方案；不同IGFBP2标记不合并为该InDel重复。</w:t>
            </w:r>
          </w:p>
        </w:tc>
      </w:tr>
      <w:tr>
        <w:tc>
          <w:tcPr>
            <w:tcW w:type="dxa" w:w="2394"/>
          </w:tcPr>
          <w:p>
            <w:pPr>
              <w:spacing w:line="264" w:lineRule="auto" w:after="80" w:before="80"/>
            </w:pPr>
            <w:r>
              <w:rPr>
                <w:sz w:val="18"/>
              </w:rPr>
              <w:t>PHKG1</w:t>
            </w:r>
          </w:p>
        </w:tc>
        <w:tc>
          <w:tcPr>
            <w:tcW w:type="dxa" w:w="3292"/>
          </w:tcPr>
          <w:p>
            <w:pPr>
              <w:spacing w:line="264" w:lineRule="auto" w:after="80" w:before="80"/>
            </w:pPr>
            <w:r>
              <w:rPr>
                <w:sz w:val="18"/>
              </w:rPr>
              <w:t>api.crossref.org、api.openalex.org、www.ebi.ac.uk</w:t>
            </w:r>
          </w:p>
        </w:tc>
        <w:tc>
          <w:tcPr>
            <w:tcW w:type="dxa" w:w="4788"/>
          </w:tcPr>
          <w:p>
            <w:pPr>
              <w:spacing w:line="264" w:lineRule="auto" w:after="80" w:before="80"/>
            </w:pPr>
            <w:r>
              <w:rPr>
                <w:sz w:val="18"/>
              </w:rPr>
              <w:t>Q020, Q021, Q022, Q023, Q024, Q025</w:t>
            </w:r>
          </w:p>
        </w:tc>
        <w:tc>
          <w:tcPr>
            <w:tcW w:type="dxa" w:w="4488"/>
          </w:tcPr>
          <w:p>
            <w:pPr>
              <w:spacing w:line="264" w:lineRule="auto" w:after="80" w:before="80"/>
            </w:pPr>
            <w:r>
              <w:rPr>
                <w:sz w:val="18"/>
              </w:rPr>
              <w:t>保留候选标记和表达选样的局限；不以其他物种或发育表达替代鸡自然变异验证。</w:t>
            </w:r>
          </w:p>
        </w:tc>
      </w:tr>
      <w:tr>
        <w:tc>
          <w:tcPr>
            <w:tcW w:type="dxa" w:w="2394"/>
          </w:tcPr>
          <w:p>
            <w:pPr>
              <w:spacing w:line="264" w:lineRule="auto" w:after="80" w:before="80"/>
            </w:pPr>
            <w:r>
              <w:rPr>
                <w:sz w:val="18"/>
              </w:rPr>
              <w:t>FMO3</w:t>
            </w:r>
          </w:p>
        </w:tc>
        <w:tc>
          <w:tcPr>
            <w:tcW w:type="dxa" w:w="3292"/>
          </w:tcPr>
          <w:p>
            <w:pPr>
              <w:spacing w:line="264" w:lineRule="auto" w:after="80" w:before="80"/>
            </w:pPr>
            <w:r>
              <w:rPr>
                <w:sz w:val="18"/>
              </w:rPr>
              <w:t>api.crossref.org、eutils.ncbi.nlm.nih.gov、www.ebi.ac.uk</w:t>
            </w:r>
          </w:p>
        </w:tc>
        <w:tc>
          <w:tcPr>
            <w:tcW w:type="dxa" w:w="4788"/>
          </w:tcPr>
          <w:p>
            <w:pPr>
              <w:spacing w:line="264" w:lineRule="auto" w:after="80" w:before="80"/>
            </w:pPr>
            <w:r>
              <w:rPr>
                <w:sz w:val="18"/>
              </w:rPr>
              <w:t>Q026, Q027, Q028, Q029, Q030, Q031, Q032</w:t>
            </w:r>
          </w:p>
        </w:tc>
        <w:tc>
          <w:tcPr>
            <w:tcW w:type="dxa" w:w="4488"/>
          </w:tcPr>
          <w:p>
            <w:pPr>
              <w:spacing w:line="264" w:lineRule="auto" w:after="80" w:before="80"/>
            </w:pPr>
            <w:r>
              <w:rPr>
                <w:sz w:val="18"/>
              </w:rPr>
              <w:t>连接自然变异、代谢和分型选留；其他群体的感官研究不作为北京油鸡MAS的随访。</w:t>
            </w:r>
          </w:p>
        </w:tc>
      </w:tr>
      <w:tr>
        <w:tc>
          <w:tcPr>
            <w:tcW w:type="dxa" w:w="2394"/>
          </w:tcPr>
          <w:p>
            <w:pPr>
              <w:spacing w:line="264" w:lineRule="auto" w:after="80" w:before="80"/>
            </w:pPr>
            <w:r>
              <w:rPr>
                <w:sz w:val="18"/>
              </w:rPr>
              <w:t>SLCO1B3</w:t>
            </w:r>
          </w:p>
        </w:tc>
        <w:tc>
          <w:tcPr>
            <w:tcW w:type="dxa" w:w="3292"/>
          </w:tcPr>
          <w:p>
            <w:pPr>
              <w:spacing w:line="264" w:lineRule="auto" w:after="80" w:before="80"/>
            </w:pPr>
            <w:r>
              <w:rPr>
                <w:sz w:val="18"/>
              </w:rPr>
              <w:t>api.crossref.org、www.ebi.ac.uk</w:t>
            </w:r>
          </w:p>
        </w:tc>
        <w:tc>
          <w:tcPr>
            <w:tcW w:type="dxa" w:w="4788"/>
          </w:tcPr>
          <w:p>
            <w:pPr>
              <w:spacing w:line="264" w:lineRule="auto" w:after="80" w:before="80"/>
            </w:pPr>
            <w:r>
              <w:rPr>
                <w:sz w:val="18"/>
              </w:rPr>
              <w:t>Q033, Q034, Q035</w:t>
            </w:r>
          </w:p>
        </w:tc>
        <w:tc>
          <w:tcPr>
            <w:tcW w:type="dxa" w:w="4488"/>
          </w:tcPr>
          <w:p>
            <w:pPr>
              <w:spacing w:line="264" w:lineRule="auto" w:after="80" w:before="80"/>
            </w:pPr>
            <w:r>
              <w:rPr>
                <w:sz w:val="18"/>
              </w:rPr>
              <w:t>区分经典插入、其他调控背景、后代蓝壳与颜色改良；不同选择程序分别记录。</w:t>
            </w:r>
          </w:p>
        </w:tc>
      </w:tr>
      <w:tr>
        <w:tc>
          <w:tcPr>
            <w:tcW w:type="dxa" w:w="2394"/>
          </w:tcPr>
          <w:p>
            <w:pPr>
              <w:spacing w:line="264" w:lineRule="auto" w:after="80" w:before="80"/>
            </w:pPr>
            <w:r>
              <w:rPr>
                <w:sz w:val="18"/>
              </w:rPr>
              <w:t>MHC-B/BG1</w:t>
            </w:r>
          </w:p>
        </w:tc>
        <w:tc>
          <w:tcPr>
            <w:tcW w:type="dxa" w:w="3292"/>
          </w:tcPr>
          <w:p>
            <w:pPr>
              <w:spacing w:line="264" w:lineRule="auto" w:after="80" w:before="80"/>
            </w:pPr>
            <w:r>
              <w:rPr>
                <w:sz w:val="18"/>
              </w:rPr>
              <w:t>www.ebi.ac.uk</w:t>
            </w:r>
          </w:p>
        </w:tc>
        <w:tc>
          <w:tcPr>
            <w:tcW w:type="dxa" w:w="4788"/>
          </w:tcPr>
          <w:p>
            <w:pPr>
              <w:spacing w:line="264" w:lineRule="auto" w:after="80" w:before="80"/>
            </w:pPr>
            <w:r>
              <w:rPr>
                <w:sz w:val="18"/>
              </w:rPr>
              <w:t>Q036, Q037, Q038, Q039</w:t>
            </w:r>
          </w:p>
        </w:tc>
        <w:tc>
          <w:tcPr>
            <w:tcW w:type="dxa" w:w="4488"/>
          </w:tcPr>
          <w:p>
            <w:pPr>
              <w:spacing w:line="264" w:lineRule="auto" w:after="80" w:before="80"/>
            </w:pPr>
            <w:r>
              <w:rPr>
                <w:sz w:val="18"/>
              </w:rPr>
              <w:t>区分区域单倍型、BG1候选机制及整体选择计划；共用商业资源不计完全独立计划。</w:t>
            </w:r>
          </w:p>
        </w:tc>
      </w:tr>
      <w:tr>
        <w:tc>
          <w:tcPr>
            <w:tcW w:type="dxa" w:w="2394"/>
          </w:tcPr>
          <w:p>
            <w:pPr>
              <w:spacing w:line="264" w:lineRule="auto" w:after="80" w:before="80"/>
            </w:pPr>
            <w:r>
              <w:rPr>
                <w:sz w:val="18"/>
              </w:rPr>
              <w:t>tva</w:t>
            </w:r>
          </w:p>
        </w:tc>
        <w:tc>
          <w:tcPr>
            <w:tcW w:type="dxa" w:w="3292"/>
          </w:tcPr>
          <w:p>
            <w:pPr>
              <w:spacing w:line="264" w:lineRule="auto" w:after="80" w:before="80"/>
            </w:pPr>
            <w:r>
              <w:rPr>
                <w:sz w:val="18"/>
              </w:rPr>
              <w:t>www.ebi.ac.uk</w:t>
            </w:r>
          </w:p>
        </w:tc>
        <w:tc>
          <w:tcPr>
            <w:tcW w:type="dxa" w:w="4788"/>
          </w:tcPr>
          <w:p>
            <w:pPr>
              <w:spacing w:line="264" w:lineRule="auto" w:after="80" w:before="80"/>
            </w:pPr>
            <w:r>
              <w:rPr>
                <w:sz w:val="18"/>
              </w:rPr>
              <w:t>Q040, Q041, Q042, Q043</w:t>
            </w:r>
          </w:p>
        </w:tc>
        <w:tc>
          <w:tcPr>
            <w:tcW w:type="dxa" w:w="4488"/>
          </w:tcPr>
          <w:p>
            <w:pPr>
              <w:spacing w:line="264" w:lineRule="auto" w:after="80" w:before="80"/>
            </w:pPr>
            <w:r>
              <w:rPr>
                <w:sz w:val="18"/>
              </w:rPr>
              <w:t>按原研究遗传对象和亚群对应功能、整鸡与代谢结果；研究供体构建不算后代抗性响应。</w:t>
            </w:r>
          </w:p>
        </w:tc>
      </w:tr>
      <w:tr>
        <w:tc>
          <w:tcPr>
            <w:tcW w:type="dxa" w:w="2394"/>
          </w:tcPr>
          <w:p>
            <w:pPr>
              <w:spacing w:line="264" w:lineRule="auto" w:after="80" w:before="80"/>
            </w:pPr>
            <w:r>
              <w:rPr>
                <w:sz w:val="18"/>
              </w:rPr>
              <w:t>ANP32A</w:t>
            </w:r>
          </w:p>
        </w:tc>
        <w:tc>
          <w:tcPr>
            <w:tcW w:type="dxa" w:w="3292"/>
          </w:tcPr>
          <w:p>
            <w:pPr>
              <w:spacing w:line="264" w:lineRule="auto" w:after="80" w:before="80"/>
            </w:pPr>
            <w:r>
              <w:rPr>
                <w:sz w:val="18"/>
              </w:rPr>
              <w:t>api.crossref.org、www.ebi.ac.uk</w:t>
            </w:r>
          </w:p>
        </w:tc>
        <w:tc>
          <w:tcPr>
            <w:tcW w:type="dxa" w:w="4788"/>
          </w:tcPr>
          <w:p>
            <w:pPr>
              <w:spacing w:line="264" w:lineRule="auto" w:after="80" w:before="80"/>
            </w:pPr>
            <w:r>
              <w:rPr>
                <w:sz w:val="18"/>
              </w:rPr>
              <w:t>Q044, Q045, Q046, Q047, Q048, Q049, Q050, Q051</w:t>
            </w:r>
          </w:p>
        </w:tc>
        <w:tc>
          <w:tcPr>
            <w:tcW w:type="dxa" w:w="4488"/>
          </w:tcPr>
          <w:p>
            <w:pPr>
              <w:spacing w:line="264" w:lineRule="auto" w:after="80" w:before="80"/>
            </w:pPr>
            <w:r>
              <w:rPr>
                <w:sz w:val="18"/>
              </w:rPr>
              <w:t>以工程化个体为参照；细胞结果、自然变异目录不补作同一编辑鸡的独立整鸡重复。</w:t>
            </w:r>
          </w:p>
        </w:tc>
      </w:tr>
      <w:tr>
        <w:tc>
          <w:tcPr>
            <w:tcW w:type="dxa" w:w="2394"/>
          </w:tcPr>
          <w:p>
            <w:pPr>
              <w:spacing w:line="264" w:lineRule="auto" w:after="80" w:before="80"/>
            </w:pPr>
            <w:r>
              <w:rPr>
                <w:sz w:val="18"/>
              </w:rPr>
              <w:t>MX</w:t>
            </w:r>
          </w:p>
        </w:tc>
        <w:tc>
          <w:tcPr>
            <w:tcW w:type="dxa" w:w="3292"/>
          </w:tcPr>
          <w:p>
            <w:pPr>
              <w:spacing w:line="264" w:lineRule="auto" w:after="80" w:before="80"/>
            </w:pPr>
            <w:r>
              <w:rPr>
                <w:sz w:val="18"/>
              </w:rPr>
              <w:t>api.crossref.org、www.ebi.ac.uk</w:t>
            </w:r>
          </w:p>
        </w:tc>
        <w:tc>
          <w:tcPr>
            <w:tcW w:type="dxa" w:w="4788"/>
          </w:tcPr>
          <w:p>
            <w:pPr>
              <w:spacing w:line="264" w:lineRule="auto" w:after="80" w:before="80"/>
            </w:pPr>
            <w:r>
              <w:rPr>
                <w:sz w:val="18"/>
              </w:rPr>
              <w:t>Q052, Q053, Q054, Q055, Q056, Q057</w:t>
            </w:r>
          </w:p>
        </w:tc>
        <w:tc>
          <w:tcPr>
            <w:tcW w:type="dxa" w:w="4488"/>
          </w:tcPr>
          <w:p>
            <w:pPr>
              <w:spacing w:line="264" w:lineRule="auto" w:after="80" w:before="80"/>
            </w:pPr>
            <w:r>
              <w:rPr>
                <w:sz w:val="18"/>
              </w:rPr>
              <w:t>以S631N与抗流感用途组织争议；其他病毒功能及商业单倍型关联分开。</w:t>
            </w:r>
          </w:p>
        </w:tc>
      </w:tr>
      <w:tr>
        <w:tc>
          <w:tcPr>
            <w:tcW w:type="dxa" w:w="2394"/>
          </w:tcPr>
          <w:p>
            <w:pPr>
              <w:spacing w:line="264" w:lineRule="auto" w:after="80" w:before="80"/>
            </w:pPr>
            <w:r>
              <w:rPr>
                <w:sz w:val="18"/>
              </w:rPr>
              <w:t>Na</w:t>
            </w:r>
          </w:p>
        </w:tc>
        <w:tc>
          <w:tcPr>
            <w:tcW w:type="dxa" w:w="3292"/>
          </w:tcPr>
          <w:p>
            <w:pPr>
              <w:spacing w:line="264" w:lineRule="auto" w:after="80" w:before="80"/>
            </w:pPr>
            <w:r>
              <w:rPr>
                <w:sz w:val="18"/>
              </w:rPr>
              <w:t>www.ebi.ac.uk</w:t>
            </w:r>
          </w:p>
        </w:tc>
        <w:tc>
          <w:tcPr>
            <w:tcW w:type="dxa" w:w="4788"/>
          </w:tcPr>
          <w:p>
            <w:pPr>
              <w:spacing w:line="264" w:lineRule="auto" w:after="80" w:before="80"/>
            </w:pPr>
            <w:r>
              <w:rPr>
                <w:sz w:val="18"/>
              </w:rPr>
              <w:t>Q058, Q059, Q060, Q061, Q062</w:t>
            </w:r>
          </w:p>
        </w:tc>
        <w:tc>
          <w:tcPr>
            <w:tcW w:type="dxa" w:w="4488"/>
          </w:tcPr>
          <w:p>
            <w:pPr>
              <w:spacing w:line="264" w:lineRule="auto" w:after="80" w:before="80"/>
            </w:pPr>
            <w:r>
              <w:rPr>
                <w:sz w:val="18"/>
              </w:rPr>
              <w:t>连接形态机制与不同环境下的生产性状；导入试验与独立鸡群比较分开。</w:t>
            </w:r>
          </w:p>
        </w:tc>
      </w:tr>
      <w:tr>
        <w:tc>
          <w:tcPr>
            <w:tcW w:type="dxa" w:w="2394"/>
          </w:tcPr>
          <w:p>
            <w:pPr>
              <w:spacing w:line="264" w:lineRule="auto" w:after="80" w:before="80"/>
            </w:pPr>
            <w:r>
              <w:rPr>
                <w:sz w:val="18"/>
              </w:rPr>
              <w:t>辅助主题/PHIP</w:t>
            </w:r>
          </w:p>
        </w:tc>
        <w:tc>
          <w:tcPr>
            <w:tcW w:type="dxa" w:w="3292"/>
          </w:tcPr>
          <w:p>
            <w:pPr>
              <w:spacing w:line="264" w:lineRule="auto" w:after="80" w:before="80"/>
            </w:pPr>
            <w:r>
              <w:rPr>
                <w:sz w:val="18"/>
              </w:rPr>
              <w:t>www.ebi.ac.uk</w:t>
            </w:r>
          </w:p>
        </w:tc>
        <w:tc>
          <w:tcPr>
            <w:tcW w:type="dxa" w:w="4788"/>
          </w:tcPr>
          <w:p>
            <w:pPr>
              <w:spacing w:line="264" w:lineRule="auto" w:after="80" w:before="80"/>
            </w:pPr>
            <w:r>
              <w:rPr>
                <w:sz w:val="18"/>
              </w:rPr>
              <w:t>Q063, Q064, Q065, Q066, Q067, Q068, Q069, Q070</w:t>
            </w:r>
          </w:p>
        </w:tc>
        <w:tc>
          <w:tcPr>
            <w:tcW w:type="dxa" w:w="4488"/>
          </w:tcPr>
          <w:p>
            <w:pPr>
              <w:spacing w:line="264" w:lineRule="auto" w:after="80" w:before="80"/>
            </w:pPr>
            <w:r>
              <w:rPr>
                <w:sz w:val="18"/>
              </w:rPr>
              <w:t>以饲料效率、适应性和产蛋候选补充比较；PHIP同代固始材料与另一品种验证分别记录。</w:t>
            </w:r>
          </w:p>
        </w:tc>
      </w:tr>
      <w:tr>
        <w:tc>
          <w:tcPr>
            <w:tcW w:type="dxa" w:w="2394"/>
          </w:tcPr>
          <w:p>
            <w:pPr>
              <w:spacing w:line="264" w:lineRule="auto" w:after="80" w:before="80"/>
            </w:pPr>
            <w:r>
              <w:rPr>
                <w:sz w:val="18"/>
              </w:rPr>
              <w:t>基因组预测</w:t>
            </w:r>
          </w:p>
        </w:tc>
        <w:tc>
          <w:tcPr>
            <w:tcW w:type="dxa" w:w="3292"/>
          </w:tcPr>
          <w:p>
            <w:pPr>
              <w:spacing w:line="264" w:lineRule="auto" w:after="80" w:before="80"/>
            </w:pPr>
            <w:r>
              <w:rPr>
                <w:sz w:val="18"/>
              </w:rPr>
              <w:t>api.crossref.org、www.ebi.ac.uk</w:t>
            </w:r>
          </w:p>
        </w:tc>
        <w:tc>
          <w:tcPr>
            <w:tcW w:type="dxa" w:w="4788"/>
          </w:tcPr>
          <w:p>
            <w:pPr>
              <w:spacing w:line="264" w:lineRule="auto" w:after="80" w:before="80"/>
            </w:pPr>
            <w:r>
              <w:rPr>
                <w:sz w:val="18"/>
              </w:rPr>
              <w:t>Q071, Q072, Q073, Q074</w:t>
            </w:r>
          </w:p>
        </w:tc>
        <w:tc>
          <w:tcPr>
            <w:tcW w:type="dxa" w:w="4488"/>
          </w:tcPr>
          <w:p>
            <w:pPr>
              <w:spacing w:line="264" w:lineRule="auto" w:after="80" w:before="80"/>
            </w:pPr>
            <w:r>
              <w:rPr>
                <w:sz w:val="18"/>
              </w:rPr>
              <w:t>纳入有明确比较方案的正结果、无改善结果及实际选择研究；区分模型、验证对象与程序。</w:t>
            </w:r>
          </w:p>
        </w:tc>
      </w:tr>
      <w:tr>
        <w:tc>
          <w:tcPr>
            <w:tcW w:type="dxa" w:w="2394"/>
          </w:tcPr>
          <w:p>
            <w:pPr>
              <w:spacing w:line="264" w:lineRule="auto" w:after="80" w:before="80"/>
            </w:pPr>
            <w:r>
              <w:rPr>
                <w:sz w:val="18"/>
              </w:rPr>
              <w:t>相邻框架</w:t>
            </w:r>
          </w:p>
        </w:tc>
        <w:tc>
          <w:tcPr>
            <w:tcW w:type="dxa" w:w="3292"/>
          </w:tcPr>
          <w:p>
            <w:pPr>
              <w:spacing w:line="264" w:lineRule="auto" w:after="80" w:before="80"/>
            </w:pPr>
            <w:r>
              <w:rPr>
                <w:sz w:val="18"/>
              </w:rPr>
              <w:t>api.crossref.org、www.ebi.ac.uk</w:t>
            </w:r>
          </w:p>
        </w:tc>
        <w:tc>
          <w:tcPr>
            <w:tcW w:type="dxa" w:w="4788"/>
          </w:tcPr>
          <w:p>
            <w:pPr>
              <w:spacing w:line="264" w:lineRule="auto" w:after="80" w:before="80"/>
            </w:pPr>
            <w:r>
              <w:rPr>
                <w:sz w:val="18"/>
              </w:rPr>
              <w:t>Q075, Q076, Q077, Q078, Q079, Q080</w:t>
            </w:r>
          </w:p>
        </w:tc>
        <w:tc>
          <w:tcPr>
            <w:tcW w:type="dxa" w:w="4488"/>
          </w:tcPr>
          <w:p>
            <w:pPr>
              <w:spacing w:line="264" w:lineRule="auto" w:after="80" w:before="80"/>
            </w:pPr>
            <w:r>
              <w:rPr>
                <w:sz w:val="18"/>
              </w:rPr>
              <w:t>核对本文与统计育种、因果解释及多组学框架的关系，不将既有区别宣称为首创。</w:t>
            </w:r>
          </w:p>
        </w:tc>
      </w:tr>
      <w:tr>
        <w:tc>
          <w:tcPr>
            <w:tcW w:type="dxa" w:w="2394"/>
          </w:tcPr>
          <w:p>
            <w:pPr>
              <w:spacing w:line="264" w:lineRule="auto" w:after="80" w:before="80"/>
            </w:pPr>
            <w:r>
              <w:rPr>
                <w:sz w:val="18"/>
              </w:rPr>
              <w:t>近期调控图谱</w:t>
            </w:r>
          </w:p>
        </w:tc>
        <w:tc>
          <w:tcPr>
            <w:tcW w:type="dxa" w:w="3292"/>
          </w:tcPr>
          <w:p>
            <w:pPr>
              <w:spacing w:line="264" w:lineRule="auto" w:after="80" w:before="80"/>
            </w:pPr>
            <w:r>
              <w:rPr>
                <w:sz w:val="18"/>
              </w:rPr>
              <w:t>www.ebi.ac.uk</w:t>
            </w:r>
          </w:p>
        </w:tc>
        <w:tc>
          <w:tcPr>
            <w:tcW w:type="dxa" w:w="4788"/>
          </w:tcPr>
          <w:p>
            <w:pPr>
              <w:spacing w:line="264" w:lineRule="auto" w:after="80" w:before="80"/>
            </w:pPr>
            <w:r>
              <w:rPr>
                <w:sz w:val="18"/>
              </w:rPr>
              <w:t>Q081, Q082</w:t>
            </w:r>
          </w:p>
        </w:tc>
        <w:tc>
          <w:tcPr>
            <w:tcW w:type="dxa" w:w="4488"/>
          </w:tcPr>
          <w:p>
            <w:pPr>
              <w:spacing w:line="264" w:lineRule="auto" w:after="80" w:before="80"/>
            </w:pPr>
            <w:r>
              <w:rPr>
                <w:sz w:val="18"/>
              </w:rPr>
              <w:t>作为技术解决具体问题的实例；共用ChickenGTEx来源与独立重复分开。</w:t>
            </w:r>
          </w:p>
        </w:tc>
      </w:tr>
    </w:tbl>
    <w:p/>
    <w:p>
      <w:pPr>
        <w:pStyle w:val="Heading2"/>
      </w:pPr>
      <w:r>
        <w:t>应用记录缺失的表述</w:t>
      </w:r>
    </w:p>
    <w:p>
      <w:r>
        <w:t>正文及表3、S2中的应用判断以所核来源为单位。若论文或专利未报告实际选种、后代品质或生产表现，就直接注明该来源未报告相应终点。检索记录说明用于追踪补充材料的范围，不把“本文所核资料未报告”升级为产业中从未采用。</w:t>
      </w:r>
    </w:p>
    <w:p>
      <w:r>
        <w:t>IGF2BP1的应用判断对应核心论文、专利及后续联合标记研究[47]，rs734209466对应核心论文及专利；PHKG1、PHIP的选后结果判断对应候选标记原论文。FMO3的选后品质缺口仅指北京油鸡MAS论文未报告同一程序的品质随访。各研究共用材料、二手转述和独立验证关系见S1、S2，不能由检索命中数量代替判断。</w:t>
      </w:r>
    </w:p>
    <w:p>
      <w:pPr>
        <w:pStyle w:val="Heading2"/>
      </w:pPr>
      <w:r>
        <w:t>记录的覆盖边界</w:t>
      </w:r>
    </w:p>
    <w:p>
      <w:r>
        <w:t>各批检索使用各自的日期窗口，现存记录没有统一执行截止日和完整去重筛选总量。未设发表日期限制的查询保留原式。作者另行提供的全文，其使用位置记录于S1—S3，与数据库查询请求分别追踪。</w:t>
      </w:r>
    </w:p>
    <w:p>
      <w:pPr>
        <w:pStyle w:val="Heading2"/>
      </w:pPr>
      <w:r>
        <w:t>数据库查询之外的材料获取与定位</w:t>
      </w:r>
    </w:p>
    <w:p>
      <w:r>
        <w:t>刘阳等2025年联合标记论文[47]由作者提供全文，使用原文第8—14页的群体、组合基因型及体重资料。该来源不属于82条已保存查询的命中记录，F₂和金陵麻鸡的材料关系见S1。</w:t>
      </w:r>
    </w:p>
    <w:p>
      <w:r>
        <w:t>Greenshell研究[76]使用期刊XML中的测色比较及种鸡计数；tva研究[94]采用原文表1、表2中的组别分母。来源定位见S1、S2。它们属于已获全文的证据提取，不另计新的检索请求。</w:t>
      </w:r>
    </w:p>
    <w:p>
      <w:pPr>
        <w:pStyle w:val="Heading2"/>
      </w:pPr>
      <w:r>
        <w:t>S4附件：完整检索记录</w:t>
      </w:r>
    </w:p>
    <w:p>
      <w:r>
        <w:t xml:space="preserve">以下为 </w:t>
      </w:r>
      <w:r>
        <w:t>S4_检索记录.csv</w:t>
      </w:r>
      <w:r>
        <w:t xml:space="preserve"> 的全部记录，按原文件保留字段及缺失信息。</w:t>
      </w:r>
    </w:p>
    <w:p>
      <w:r>
        <w:rPr>
          <w:b/>
        </w:rPr>
        <w:t>Q001</w:t>
      </w:r>
    </w:p>
    <w:p>
      <w:r>
        <w:t>case：CCKAR</w:t>
      </w:r>
    </w:p>
    <w:p>
      <w:r>
        <w:t>source_log：CCKAR_近期检索_20260920/queries.json</w:t>
      </w:r>
    </w:p>
    <w:p>
      <w:r>
        <w:t>execution_date：未记载</w:t>
      </w:r>
    </w:p>
    <w:p>
      <w:r>
        <w:t>database：www.ebi.ac.uk</w:t>
      </w:r>
    </w:p>
    <w:p>
      <w:r>
        <w:t>query：(CCKAR OR "cholecystokinin A receptor" OR "cholecystokinin type A receptor" OR "CCK1 receptor") AND (chicken OR chickens OR Gallus) AND FIRST_PDATE:[2025-01-01 TO 2026-09-20]</w:t>
      </w:r>
    </w:p>
    <w:p>
      <w:r>
        <w:t>filter：</w:t>
      </w:r>
    </w:p>
    <w:p>
      <w:r>
        <w:t>page_limit：1000</w:t>
      </w:r>
    </w:p>
    <w:p>
      <w:r>
        <w:t>reported_count：未记载</w:t>
      </w:r>
    </w:p>
    <w:p>
      <w:r>
        <w:t>status：True</w:t>
      </w:r>
    </w:p>
    <w:p>
      <w:r>
        <w:t>url：https://www.ebi.ac.uk/europepmc/webservices/rest/search?query=%28CCKAR+OR+%22cholecystokinin+A+receptor%22+OR+%22cholecystokinin+type+A+receptor%22+OR+%22CCK1+receptor%22%29+AND+%28chicken+OR+chickens+OR+Gallus%29+AND+FIRST_PDATE%3A%5B2025-01-01+TO+2026-09-20%5D&amp;format=json&amp;pageSize=1000&amp;resultType=core</w:t>
      </w:r>
    </w:p>
    <w:p>
      <w:r>
        <w:rPr>
          <w:b/>
        </w:rPr>
        <w:t>Q002</w:t>
      </w:r>
    </w:p>
    <w:p>
      <w:r>
        <w:t>case：CCKAR</w:t>
      </w:r>
    </w:p>
    <w:p>
      <w:r>
        <w:t>source_log：CCKAR_近期检索_20260920/queries.json</w:t>
      </w:r>
    </w:p>
    <w:p>
      <w:r>
        <w:t>execution_date：未记载</w:t>
      </w:r>
    </w:p>
    <w:p>
      <w:r>
        <w:t>database：api.crossref.org</w:t>
      </w:r>
    </w:p>
    <w:p>
      <w:r>
        <w:t>query：CCKAR chicken</w:t>
      </w:r>
    </w:p>
    <w:p>
      <w:r>
        <w:t>filter：from-pub-date:2025-01-01,until-pub-date:2026-09-20</w:t>
      </w:r>
    </w:p>
    <w:p>
      <w:r>
        <w:t>page_limit：60</w:t>
      </w:r>
    </w:p>
    <w:p>
      <w:r>
        <w:t>reported_count：未记载</w:t>
      </w:r>
    </w:p>
    <w:p>
      <w:r>
        <w:t>status：True</w:t>
      </w:r>
    </w:p>
    <w:p>
      <w:r>
        <w:t>url：https://api.crossref.org/works?query=CCKAR+chicken&amp;filter=from-pub-date%3A2025-01-01%2Cuntil-pub-date%3A2026-09-20&amp;rows=60</w:t>
      </w:r>
    </w:p>
    <w:p>
      <w:r>
        <w:rPr>
          <w:b/>
        </w:rPr>
        <w:t>Q003</w:t>
      </w:r>
    </w:p>
    <w:p>
      <w:r>
        <w:t>case：CCKAR</w:t>
      </w:r>
    </w:p>
    <w:p>
      <w:r>
        <w:t>source_log：CCKAR_近期检索_20260920/queries.json</w:t>
      </w:r>
    </w:p>
    <w:p>
      <w:r>
        <w:t>execution_date：未记载</w:t>
      </w:r>
    </w:p>
    <w:p>
      <w:r>
        <w:t>database：api.crossref.org</w:t>
      </w:r>
    </w:p>
    <w:p>
      <w:r>
        <w:t>query：cholecystokinin type A receptor chicken</w:t>
      </w:r>
    </w:p>
    <w:p>
      <w:r>
        <w:t>filter：from-pub-date:2025-01-01,until-pub-date:2026-09-20</w:t>
      </w:r>
    </w:p>
    <w:p>
      <w:r>
        <w:t>page_limit：60</w:t>
      </w:r>
    </w:p>
    <w:p>
      <w:r>
        <w:t>reported_count：未记载</w:t>
      </w:r>
    </w:p>
    <w:p>
      <w:r>
        <w:t>status：True</w:t>
      </w:r>
    </w:p>
    <w:p>
      <w:r>
        <w:t>url：https://api.crossref.org/works?query=cholecystokinin+type+A+receptor+chicken&amp;filter=from-pub-date%3A2025-01-01%2Cuntil-pub-date%3A2026-09-20&amp;rows=60</w:t>
      </w:r>
    </w:p>
    <w:p>
      <w:r>
        <w:rPr>
          <w:b/>
        </w:rPr>
        <w:t>Q004</w:t>
      </w:r>
    </w:p>
    <w:p>
      <w:r>
        <w:t>case：CCKAR</w:t>
      </w:r>
    </w:p>
    <w:p>
      <w:r>
        <w:t>source_log：CCKAR_近期检索_20260920/queries.json</w:t>
      </w:r>
    </w:p>
    <w:p>
      <w:r>
        <w:t>execution_date：未记载</w:t>
      </w:r>
    </w:p>
    <w:p>
      <w:r>
        <w:t>database：api.crossref.org</w:t>
      </w:r>
    </w:p>
    <w:p>
      <w:r>
        <w:t>query：CCKAR marker selection</w:t>
      </w:r>
    </w:p>
    <w:p>
      <w:r>
        <w:t>filter：from-pub-date:2025-01-01,until-pub-date:2026-09-20</w:t>
      </w:r>
    </w:p>
    <w:p>
      <w:r>
        <w:t>page_limit：60</w:t>
      </w:r>
    </w:p>
    <w:p>
      <w:r>
        <w:t>reported_count：未记载</w:t>
      </w:r>
    </w:p>
    <w:p>
      <w:r>
        <w:t>status：True</w:t>
      </w:r>
    </w:p>
    <w:p>
      <w:r>
        <w:t>url：https://api.crossref.org/works?query=CCKAR+marker+selection&amp;filter=from-pub-date%3A2025-01-01%2Cuntil-pub-date%3A2026-09-20&amp;rows=60</w:t>
      </w:r>
    </w:p>
    <w:p>
      <w:r>
        <w:rPr>
          <w:b/>
        </w:rPr>
        <w:t>Q005</w:t>
      </w:r>
    </w:p>
    <w:p>
      <w:r>
        <w:t>case：CCKAR</w:t>
      </w:r>
    </w:p>
    <w:p>
      <w:r>
        <w:t>source_log：CCKAR_近期检索_20260920/queries.json</w:t>
      </w:r>
    </w:p>
    <w:p>
      <w:r>
        <w:t>execution_date：未记载</w:t>
      </w:r>
    </w:p>
    <w:p>
      <w:r>
        <w:t>database：eutils.ncbi.nlm.nih.gov</w:t>
      </w:r>
    </w:p>
    <w:p>
      <w:r>
        <w:t>query：(CCKAR OR "cholecystokinin A receptor" OR "cholecystokinin type A receptor" OR CCK1R) AND (chicken OR chickens OR Gallus) AND 2025/01/01:2026/09/20[dp]</w:t>
      </w:r>
    </w:p>
    <w:p>
      <w:r>
        <w:t>filter：</w:t>
      </w:r>
    </w:p>
    <w:p>
      <w:r>
        <w:t>page_limit：200</w:t>
      </w:r>
    </w:p>
    <w:p>
      <w:r>
        <w:t>reported_count：未记载</w:t>
      </w:r>
    </w:p>
    <w:p>
      <w:r>
        <w:t>status：True</w:t>
      </w:r>
    </w:p>
    <w:p>
      <w:r>
        <w:t>url：https://eutils.ncbi.nlm.nih.gov/entrez/eutils/esearch.fcgi?db=pubmed&amp;term=%28CCKAR+OR+%22cholecystokinin+A+receptor%22+OR+%22cholecystokinin+type+A+receptor%22+OR+CCK1R%29+AND+%28chicken+OR+chickens+OR+Gallus%29+AND+2025%2F01%2F01%3A2026%2F09%2F20%5Bdp%5D&amp;retmode=json&amp;retmax=200</w:t>
      </w:r>
    </w:p>
    <w:p>
      <w:r>
        <w:rPr>
          <w:b/>
        </w:rPr>
        <w:t>Q006</w:t>
      </w:r>
    </w:p>
    <w:p>
      <w:r>
        <w:t>case：CCKAR</w:t>
      </w:r>
    </w:p>
    <w:p>
      <w:r>
        <w:t>source_log：CCKAR_近期检索_20260920/citation_queries.json</w:t>
      </w:r>
    </w:p>
    <w:p>
      <w:r>
        <w:t>execution_date：未记载</w:t>
      </w:r>
    </w:p>
    <w:p>
      <w:r>
        <w:t>database：www.ebi.ac.uk</w:t>
      </w:r>
    </w:p>
    <w:p>
      <w:r>
        <w:t>query：DOI:10.1152/ajpendo.00580.2012 OR DOI:10.3390/genes13061083 OR DOI:10.2141/jpsa.0190127</w:t>
      </w:r>
    </w:p>
    <w:p>
      <w:r>
        <w:t>filter：</w:t>
      </w:r>
    </w:p>
    <w:p>
      <w:r>
        <w:t>page_limit：1000</w:t>
      </w:r>
    </w:p>
    <w:p>
      <w:r>
        <w:t>reported_count：未记载</w:t>
      </w:r>
    </w:p>
    <w:p>
      <w:r>
        <w:t>status：True</w:t>
      </w:r>
    </w:p>
    <w:p>
      <w:r>
        <w:t>url：https://www.ebi.ac.uk/europepmc/webservices/rest/search?query=DOI%3A10.1152%2Fajpendo.00580.2012+OR+DOI%3A10.3390%2Fgenes13061083+OR+DOI%3A10.2141%2Fjpsa.0190127&amp;format=json&amp;pageSize=1000&amp;resultType=core</w:t>
      </w:r>
    </w:p>
    <w:p>
      <w:r>
        <w:rPr>
          <w:b/>
        </w:rPr>
        <w:t>Q007</w:t>
      </w:r>
    </w:p>
    <w:p>
      <w:r>
        <w:t>case：CCKAR</w:t>
      </w:r>
    </w:p>
    <w:p>
      <w:r>
        <w:t>source_log：CCKAR_近期检索_20260920/citation_queries.json</w:t>
      </w:r>
    </w:p>
    <w:p>
      <w:r>
        <w:t>execution_date：未记载</w:t>
      </w:r>
    </w:p>
    <w:p>
      <w:r>
        <w:t>database：eutils.ncbi.nlm.nih.gov</w:t>
      </w:r>
    </w:p>
    <w:p>
      <w:r>
        <w:t>query：(CCKAR OR cholecystokinin OR CCK1R) AND (chicken OR chickens OR Gallus OR chick OR chicks) AND 2025/01/01:2026/09/20[dp]</w:t>
      </w:r>
    </w:p>
    <w:p>
      <w:r>
        <w:t>filter：</w:t>
      </w:r>
    </w:p>
    <w:p>
      <w:r>
        <w:t>page_limit：200</w:t>
      </w:r>
    </w:p>
    <w:p>
      <w:r>
        <w:t>reported_count：未记载</w:t>
      </w:r>
    </w:p>
    <w:p>
      <w:r>
        <w:t>status：True</w:t>
      </w:r>
    </w:p>
    <w:p>
      <w:r>
        <w:t>url：https://eutils.ncbi.nlm.nih.gov/entrez/eutils/esearch.fcgi?db=pubmed&amp;term=%28CCKAR+OR+cholecystokinin+OR+CCK1R%29+AND+%28chicken+OR+chickens+OR+Gallus+OR+chick+OR+chicks%29+AND+2025%2F01%2F01%3A2026%2F09%2F20%5Bdp%5D&amp;retmode=json&amp;retmax=200</w:t>
      </w:r>
    </w:p>
    <w:p>
      <w:r>
        <w:rPr>
          <w:b/>
        </w:rPr>
        <w:t>Q008</w:t>
      </w:r>
    </w:p>
    <w:p>
      <w:r>
        <w:t>case：CCKAR</w:t>
      </w:r>
    </w:p>
    <w:p>
      <w:r>
        <w:t>source_log：CCKAR_近期检索_20260920/citation_queries.json</w:t>
      </w:r>
    </w:p>
    <w:p>
      <w:r>
        <w:t>execution_date：未记载</w:t>
      </w:r>
    </w:p>
    <w:p>
      <w:r>
        <w:t>database：www.ebi.ac.uk</w:t>
      </w:r>
    </w:p>
    <w:p>
      <w:r>
        <w:t>query：CITES:35741846_MED AND FIRST_PDATE:[2025-01-01 TO 2026-09-20]</w:t>
      </w:r>
    </w:p>
    <w:p>
      <w:r>
        <w:t>filter：</w:t>
      </w:r>
    </w:p>
    <w:p>
      <w:r>
        <w:t>page_limit：1000</w:t>
      </w:r>
    </w:p>
    <w:p>
      <w:r>
        <w:t>reported_count：未记载</w:t>
      </w:r>
    </w:p>
    <w:p>
      <w:r>
        <w:t>status：True</w:t>
      </w:r>
    </w:p>
    <w:p>
      <w:r>
        <w:t>url：https://www.ebi.ac.uk/europepmc/webservices/rest/search?query=CITES%3A35741846_MED+AND+FIRST_PDATE%3A%5B2025-01-01+TO+2026-09-20%5D&amp;format=json&amp;pageSize=1000&amp;resultType=core</w:t>
      </w:r>
    </w:p>
    <w:p>
      <w:r>
        <w:rPr>
          <w:b/>
        </w:rPr>
        <w:t>Q009</w:t>
      </w:r>
    </w:p>
    <w:p>
      <w:r>
        <w:t>case：CCKAR</w:t>
      </w:r>
    </w:p>
    <w:p>
      <w:r>
        <w:t>source_log：CCKAR_近期检索_20260920/citation_queries.json</w:t>
      </w:r>
    </w:p>
    <w:p>
      <w:r>
        <w:t>execution_date：未记载</w:t>
      </w:r>
    </w:p>
    <w:p>
      <w:r>
        <w:t>database：www.ebi.ac.uk</w:t>
      </w:r>
    </w:p>
    <w:p>
      <w:r>
        <w:t>query：CITES:33519282_MED AND FIRST_PDATE:[2025-01-01 TO 2026-09-20]</w:t>
      </w:r>
    </w:p>
    <w:p>
      <w:r>
        <w:t>filter：</w:t>
      </w:r>
    </w:p>
    <w:p>
      <w:r>
        <w:t>page_limit：1000</w:t>
      </w:r>
    </w:p>
    <w:p>
      <w:r>
        <w:t>reported_count：未记载</w:t>
      </w:r>
    </w:p>
    <w:p>
      <w:r>
        <w:t>status：True</w:t>
      </w:r>
    </w:p>
    <w:p>
      <w:r>
        <w:t>url：https://www.ebi.ac.uk/europepmc/webservices/rest/search?query=CITES%3A33519282_MED+AND+FIRST_PDATE%3A%5B2025-01-01+TO+2026-09-20%5D&amp;format=json&amp;pageSize=1000&amp;resultType=core</w:t>
      </w:r>
    </w:p>
    <w:p>
      <w:r>
        <w:rPr>
          <w:b/>
        </w:rPr>
        <w:t>Q010</w:t>
      </w:r>
    </w:p>
    <w:p>
      <w:r>
        <w:t>case：CCKAR</w:t>
      </w:r>
    </w:p>
    <w:p>
      <w:r>
        <w:t>source_log：CCKAR_近期检索_20260920/citation_queries.json</w:t>
      </w:r>
    </w:p>
    <w:p>
      <w:r>
        <w:t>execution_date：未记载</w:t>
      </w:r>
    </w:p>
    <w:p>
      <w:r>
        <w:t>database：www.ebi.ac.uk</w:t>
      </w:r>
    </w:p>
    <w:p>
      <w:r>
        <w:t>query：CITES:23443924_MED AND FIRST_PDATE:[2025-01-01 TO 2026-09-20]</w:t>
      </w:r>
    </w:p>
    <w:p>
      <w:r>
        <w:t>filter：</w:t>
      </w:r>
    </w:p>
    <w:p>
      <w:r>
        <w:t>page_limit：1000</w:t>
      </w:r>
    </w:p>
    <w:p>
      <w:r>
        <w:t>reported_count：未记载</w:t>
      </w:r>
    </w:p>
    <w:p>
      <w:r>
        <w:t>status：True</w:t>
      </w:r>
    </w:p>
    <w:p>
      <w:r>
        <w:t>url：https://www.ebi.ac.uk/europepmc/webservices/rest/search?query=CITES%3A23443924_MED+AND+FIRST_PDATE%3A%5B2025-01-01+TO+2026-09-20%5D&amp;format=json&amp;pageSize=1000&amp;resultType=core</w:t>
      </w:r>
    </w:p>
    <w:p>
      <w:r>
        <w:rPr>
          <w:b/>
        </w:rPr>
        <w:t>Q011</w:t>
      </w:r>
    </w:p>
    <w:p>
      <w:r>
        <w:t>case：IGF2BP1</w:t>
      </w:r>
    </w:p>
    <w:p>
      <w:r>
        <w:t>source_log：IGF2BP1_R29/queries.json</w:t>
      </w:r>
    </w:p>
    <w:p>
      <w:r>
        <w:t>execution_date：未记载</w:t>
      </w:r>
    </w:p>
    <w:p>
      <w:r>
        <w:t>database：www.ebi.ac.uk</w:t>
      </w:r>
    </w:p>
    <w:p>
      <w:r>
        <w:t>query：(TITLE_ABS:IGF2BP1 OR TITLE_ABS:"zipcode binding protein" OR TITLE_ABS:ZBP1) AND (TITLE_ABS:chicken OR TITLE_ABS:chick OR TITLE_ABS:Gallus) AND FIRST_PDATE:[1900-01-01 TO 2026-09-20]</w:t>
      </w:r>
    </w:p>
    <w:p>
      <w:r>
        <w:t>filter：</w:t>
      </w:r>
    </w:p>
    <w:p>
      <w:r>
        <w:t>page_limit：1000</w:t>
      </w:r>
    </w:p>
    <w:p>
      <w:r>
        <w:t>reported_count：43</w:t>
      </w:r>
    </w:p>
    <w:p>
      <w:r>
        <w:t>status：True</w:t>
      </w:r>
    </w:p>
    <w:p>
      <w:r>
        <w:t>url：https://www.ebi.ac.uk/europepmc/webservices/rest/search?query=%28TITLE_ABS%3AIGF2BP1+OR+TITLE_ABS%3A%22zipcode+binding+protein%22+OR+TITLE_ABS%3AZBP1%29+AND+%28TITLE_ABS%3Achicken+OR+TITLE_ABS%3Achick+OR+TITLE_ABS%3AGallus%29+AND+FIRST_PDATE%3A%5B1900-01-01+TO+2026-09-20%5D&amp;format=json&amp;pageSize=1000&amp;resultType=core</w:t>
      </w:r>
    </w:p>
    <w:p>
      <w:r>
        <w:rPr>
          <w:b/>
        </w:rPr>
        <w:t>Q012</w:t>
      </w:r>
    </w:p>
    <w:p>
      <w:r>
        <w:t>case：IGF2BP1</w:t>
      </w:r>
    </w:p>
    <w:p>
      <w:r>
        <w:t>source_log：IGF2BP1_R29/queries.json</w:t>
      </w:r>
    </w:p>
    <w:p>
      <w:r>
        <w:t>execution_date：未记载</w:t>
      </w:r>
    </w:p>
    <w:p>
      <w:r>
        <w:t>database：www.ebi.ac.uk</w:t>
      </w:r>
    </w:p>
    <w:p>
      <w:r>
        <w:t>query：IGF2BP1 AND (chicken OR chickens OR Gallus) AND FIRST_PDATE:[2025-01-01 TO 2026-09-20]</w:t>
      </w:r>
    </w:p>
    <w:p>
      <w:r>
        <w:t>filter：</w:t>
      </w:r>
    </w:p>
    <w:p>
      <w:r>
        <w:t>page_limit：1000</w:t>
      </w:r>
    </w:p>
    <w:p>
      <w:r>
        <w:t>reported_count：87</w:t>
      </w:r>
    </w:p>
    <w:p>
      <w:r>
        <w:t>status：True</w:t>
      </w:r>
    </w:p>
    <w:p>
      <w:r>
        <w:t>url：https://www.ebi.ac.uk/europepmc/webservices/rest/search?query=IGF2BP1+AND+%28chicken+OR+chickens+OR+Gallus%29+AND+FIRST_PDATE%3A%5B2025-01-01+TO+2026-09-20%5D&amp;format=json&amp;pageSize=1000&amp;resultType=core</w:t>
      </w:r>
    </w:p>
    <w:p>
      <w:r>
        <w:rPr>
          <w:b/>
        </w:rPr>
        <w:t>Q013</w:t>
      </w:r>
    </w:p>
    <w:p>
      <w:r>
        <w:t>case：IGF2BP1</w:t>
      </w:r>
    </w:p>
    <w:p>
      <w:r>
        <w:t>source_log：IGF2BP1_R29/queries.json</w:t>
      </w:r>
    </w:p>
    <w:p>
      <w:r>
        <w:t>execution_date：未记载</w:t>
      </w:r>
    </w:p>
    <w:p>
      <w:r>
        <w:t>database：www.ebi.ac.uk</w:t>
      </w:r>
    </w:p>
    <w:p>
      <w:r>
        <w:t>query：IGF2BP1 AND (L1 OR L2 OR "promoter deletion" OR "marker-assisted") AND (chicken OR chickens) AND FIRST_PDATE:[1900-01-01 TO 2026-09-20]</w:t>
      </w:r>
    </w:p>
    <w:p>
      <w:r>
        <w:t>filter：</w:t>
      </w:r>
    </w:p>
    <w:p>
      <w:r>
        <w:t>page_limit：1000</w:t>
      </w:r>
    </w:p>
    <w:p>
      <w:r>
        <w:t>reported_count：96</w:t>
      </w:r>
    </w:p>
    <w:p>
      <w:r>
        <w:t>status：True</w:t>
      </w:r>
    </w:p>
    <w:p>
      <w:r>
        <w:t>url：https://www.ebi.ac.uk/europepmc/webservices/rest/search?query=IGF2BP1+AND+%28L1+OR+L2+OR+%22promoter+deletion%22+OR+%22marker-assisted%22%29+AND+%28chicken+OR+chickens%29+AND+FIRST_PDATE%3A%5B1900-01-01+TO+2026-09-20%5D&amp;format=json&amp;pageSize=1000&amp;resultType=core</w:t>
      </w:r>
    </w:p>
    <w:p>
      <w:r>
        <w:rPr>
          <w:b/>
        </w:rPr>
        <w:t>Q014</w:t>
      </w:r>
    </w:p>
    <w:p>
      <w:r>
        <w:t>case：IGF2BP1</w:t>
      </w:r>
    </w:p>
    <w:p>
      <w:r>
        <w:t>source_log：IGF2BP1_R29/queries.json</w:t>
      </w:r>
    </w:p>
    <w:p>
      <w:r>
        <w:t>execution_date：未记载</w:t>
      </w:r>
    </w:p>
    <w:p>
      <w:r>
        <w:t>database：www.ebi.ac.uk</w:t>
      </w:r>
    </w:p>
    <w:p>
      <w:r>
        <w:t>query：DOI:10.1093/molbev/msab231</w:t>
      </w:r>
    </w:p>
    <w:p>
      <w:r>
        <w:t>filter：</w:t>
      </w:r>
    </w:p>
    <w:p>
      <w:r>
        <w:t>page_limit：1000</w:t>
      </w:r>
    </w:p>
    <w:p>
      <w:r>
        <w:t>reported_count：1</w:t>
      </w:r>
    </w:p>
    <w:p>
      <w:r>
        <w:t>status：True</w:t>
      </w:r>
    </w:p>
    <w:p>
      <w:r>
        <w:t>url：https://www.ebi.ac.uk/europepmc/webservices/rest/search?query=DOI%3A10.1093%2Fmolbev%2Fmsab231&amp;format=json&amp;pageSize=1000&amp;resultType=core</w:t>
      </w:r>
    </w:p>
    <w:p>
      <w:r>
        <w:rPr>
          <w:b/>
        </w:rPr>
        <w:t>Q015</w:t>
      </w:r>
    </w:p>
    <w:p>
      <w:r>
        <w:t>case：rs734209466</w:t>
      </w:r>
    </w:p>
    <w:p>
      <w:r>
        <w:t>source_log：rs734209466_R31/search_log.json</w:t>
      </w:r>
    </w:p>
    <w:p>
      <w:r>
        <w:t>execution_date：未记载</w:t>
      </w:r>
    </w:p>
    <w:p>
      <w:r>
        <w:t>database：www.ebi.ac.uk</w:t>
      </w:r>
    </w:p>
    <w:p>
      <w:r>
        <w:t>query："rs734209466"</w:t>
      </w:r>
    </w:p>
    <w:p>
      <w:r>
        <w:t>filter：</w:t>
      </w:r>
    </w:p>
    <w:p>
      <w:r>
        <w:t>page_limit：100</w:t>
      </w:r>
    </w:p>
    <w:p>
      <w:r>
        <w:t>reported_count：未记载</w:t>
      </w:r>
    </w:p>
    <w:p>
      <w:r>
        <w:t>status：True</w:t>
      </w:r>
    </w:p>
    <w:p>
      <w:r>
        <w:t>url：https://www.ebi.ac.uk/europepmc/webservices/rest/search?query=%22rs734209466%22&amp;format=json&amp;pageSize=100&amp;resultType=core</w:t>
      </w:r>
    </w:p>
    <w:p>
      <w:r>
        <w:rPr>
          <w:b/>
        </w:rPr>
        <w:t>Q016</w:t>
      </w:r>
    </w:p>
    <w:p>
      <w:r>
        <w:t>case：rs734209466</w:t>
      </w:r>
    </w:p>
    <w:p>
      <w:r>
        <w:t>source_log：rs734209466_R31/search_log.json</w:t>
      </w:r>
    </w:p>
    <w:p>
      <w:r>
        <w:t>execution_date：未记载</w:t>
      </w:r>
    </w:p>
    <w:p>
      <w:r>
        <w:t>database：www.ebi.ac.uk</w:t>
      </w:r>
    </w:p>
    <w:p>
      <w:r>
        <w:t>query：(IGFBP2 OR IGFBP5) AND (chicken OR chickens OR broiler) AND (fat OR adipose OR adipogenesis)</w:t>
      </w:r>
    </w:p>
    <w:p>
      <w:r>
        <w:t>filter：</w:t>
      </w:r>
    </w:p>
    <w:p>
      <w:r>
        <w:t>page_limit：100</w:t>
      </w:r>
    </w:p>
    <w:p>
      <w:r>
        <w:t>reported_count：未记载</w:t>
      </w:r>
    </w:p>
    <w:p>
      <w:r>
        <w:t>status：True</w:t>
      </w:r>
    </w:p>
    <w:p>
      <w:r>
        <w:t>url：https://www.ebi.ac.uk/europepmc/webservices/rest/search?query=%28IGFBP2+OR+IGFBP5%29+AND+%28chicken+OR+chickens+OR+broiler%29+AND+%28fat+OR+adipose+OR+adipogenesis%29&amp;format=json&amp;pageSize=100&amp;resultType=core</w:t>
      </w:r>
    </w:p>
    <w:p>
      <w:r>
        <w:rPr>
          <w:b/>
        </w:rPr>
        <w:t>Q017</w:t>
      </w:r>
    </w:p>
    <w:p>
      <w:r>
        <w:t>case：rs734209466</w:t>
      </w:r>
    </w:p>
    <w:p>
      <w:r>
        <w:t>source_log：rs734209466_R31/search_log.json</w:t>
      </w:r>
    </w:p>
    <w:p>
      <w:r>
        <w:t>execution_date：未记载</w:t>
      </w:r>
    </w:p>
    <w:p>
      <w:r>
        <w:t>database：www.ebi.ac.uk</w:t>
      </w:r>
    </w:p>
    <w:p>
      <w:r>
        <w:t>query：(IGFBP2 OR IGFBP5) AND (chicken OR chickens) AND (polymorphism OR variant OR InDel)</w:t>
      </w:r>
    </w:p>
    <w:p>
      <w:r>
        <w:t>filter：</w:t>
      </w:r>
    </w:p>
    <w:p>
      <w:r>
        <w:t>page_limit：100</w:t>
      </w:r>
    </w:p>
    <w:p>
      <w:r>
        <w:t>reported_count：未记载</w:t>
      </w:r>
    </w:p>
    <w:p>
      <w:r>
        <w:t>status：True</w:t>
      </w:r>
    </w:p>
    <w:p>
      <w:r>
        <w:t>url：https://www.ebi.ac.uk/europepmc/webservices/rest/search?query=%28IGFBP2+OR+IGFBP5%29+AND+%28chicken+OR+chickens%29+AND+%28polymorphism+OR+variant+OR+InDel%29&amp;format=json&amp;pageSize=100&amp;resultType=core</w:t>
      </w:r>
    </w:p>
    <w:p>
      <w:r>
        <w:rPr>
          <w:b/>
        </w:rPr>
        <w:t>Q018</w:t>
      </w:r>
    </w:p>
    <w:p>
      <w:r>
        <w:t>case：rs734209466</w:t>
      </w:r>
    </w:p>
    <w:p>
      <w:r>
        <w:t>source_log：rs734209466_R31/search_log.json</w:t>
      </w:r>
    </w:p>
    <w:p>
      <w:r>
        <w:t>execution_date：未记载</w:t>
      </w:r>
    </w:p>
    <w:p>
      <w:r>
        <w:t>database：www.ebi.ac.uk</w:t>
      </w:r>
    </w:p>
    <w:p>
      <w:r>
        <w:t>query：REF:"39468045"</w:t>
      </w:r>
    </w:p>
    <w:p>
      <w:r>
        <w:t>filter：</w:t>
      </w:r>
    </w:p>
    <w:p>
      <w:r>
        <w:t>page_limit：100</w:t>
      </w:r>
    </w:p>
    <w:p>
      <w:r>
        <w:t>reported_count：未记载</w:t>
      </w:r>
    </w:p>
    <w:p>
      <w:r>
        <w:t>status：True</w:t>
      </w:r>
    </w:p>
    <w:p>
      <w:r>
        <w:t>url：https://www.ebi.ac.uk/europepmc/webservices/rest/search?query=REF%3A%2239468045%22&amp;format=json&amp;pageSize=100&amp;resultType=core</w:t>
      </w:r>
    </w:p>
    <w:p>
      <w:r>
        <w:rPr>
          <w:b/>
        </w:rPr>
        <w:t>Q019</w:t>
      </w:r>
    </w:p>
    <w:p>
      <w:r>
        <w:t>case：rs734209466</w:t>
      </w:r>
    </w:p>
    <w:p>
      <w:r>
        <w:t>source_log：rs734209466_R31/search_log.json</w:t>
      </w:r>
    </w:p>
    <w:p>
      <w:r>
        <w:t>execution_date：未记载</w:t>
      </w:r>
    </w:p>
    <w:p>
      <w:r>
        <w:t>database：api.crossref.org</w:t>
      </w:r>
    </w:p>
    <w:p>
      <w:r>
        <w:t>query：chicken IGFBP2 polymorphism fat</w:t>
      </w:r>
    </w:p>
    <w:p>
      <w:r>
        <w:t>filter：</w:t>
      </w:r>
    </w:p>
    <w:p>
      <w:r>
        <w:t>page_limit：25</w:t>
      </w:r>
    </w:p>
    <w:p>
      <w:r>
        <w:t>reported_count：未记载</w:t>
      </w:r>
    </w:p>
    <w:p>
      <w:r>
        <w:t>status：True</w:t>
      </w:r>
    </w:p>
    <w:p>
      <w:r>
        <w:t>url：https://api.crossref.org/works?query=chicken+IGFBP2+polymorphism+fat&amp;rows=25</w:t>
      </w:r>
    </w:p>
    <w:p>
      <w:r>
        <w:rPr>
          <w:b/>
        </w:rPr>
        <w:t>Q020</w:t>
      </w:r>
    </w:p>
    <w:p>
      <w:r>
        <w:t>case：PHKG1</w:t>
      </w:r>
    </w:p>
    <w:p>
      <w:r>
        <w:t>source_log：PHKG1_R31/search_log.json</w:t>
      </w:r>
    </w:p>
    <w:p>
      <w:r>
        <w:t>execution_date：2026-09-20</w:t>
      </w:r>
    </w:p>
    <w:p>
      <w:r>
        <w:t>database：www.ebi.ac.uk</w:t>
      </w:r>
    </w:p>
    <w:p>
      <w:r>
        <w:t>query：PHKG1 AND (chicken OR chickens OR poultry OR Gallus)</w:t>
      </w:r>
    </w:p>
    <w:p>
      <w:r>
        <w:t>filter：</w:t>
      </w:r>
    </w:p>
    <w:p>
      <w:r>
        <w:t>page_limit：100</w:t>
      </w:r>
    </w:p>
    <w:p>
      <w:r>
        <w:t>reported_count：未记载</w:t>
      </w:r>
    </w:p>
    <w:p>
      <w:r>
        <w:t>status：ok</w:t>
      </w:r>
    </w:p>
    <w:p>
      <w:r>
        <w:t>url：https://www.ebi.ac.uk/europepmc/webservices/rest/search?query=PHKG1+AND+%28chicken+OR+chickens+OR+poultry+OR+Gallus%29&amp;format=json&amp;pageSize=100&amp;resultType=core</w:t>
      </w:r>
    </w:p>
    <w:p>
      <w:r>
        <w:rPr>
          <w:b/>
        </w:rPr>
        <w:t>Q021</w:t>
      </w:r>
    </w:p>
    <w:p>
      <w:r>
        <w:t>case：PHKG1</w:t>
      </w:r>
    </w:p>
    <w:p>
      <w:r>
        <w:t>source_log：PHKG1_R31/search_log.json</w:t>
      </w:r>
    </w:p>
    <w:p>
      <w:r>
        <w:t>execution_date：2026-09-20</w:t>
      </w:r>
    </w:p>
    <w:p>
      <w:r>
        <w:t>database：www.ebi.ac.uk</w:t>
      </w:r>
    </w:p>
    <w:p>
      <w:r>
        <w:t>query：rs15845448</w:t>
      </w:r>
    </w:p>
    <w:p>
      <w:r>
        <w:t>filter：</w:t>
      </w:r>
    </w:p>
    <w:p>
      <w:r>
        <w:t>page_limit：100</w:t>
      </w:r>
    </w:p>
    <w:p>
      <w:r>
        <w:t>reported_count：未记载</w:t>
      </w:r>
    </w:p>
    <w:p>
      <w:r>
        <w:t>status：ok</w:t>
      </w:r>
    </w:p>
    <w:p>
      <w:r>
        <w:t>url：https://www.ebi.ac.uk/europepmc/webservices/rest/search?query=rs15845448&amp;format=json&amp;pageSize=100&amp;resultType=core</w:t>
      </w:r>
    </w:p>
    <w:p>
      <w:r>
        <w:rPr>
          <w:b/>
        </w:rPr>
        <w:t>Q022</w:t>
      </w:r>
    </w:p>
    <w:p>
      <w:r>
        <w:t>case：PHKG1</w:t>
      </w:r>
    </w:p>
    <w:p>
      <w:r>
        <w:t>source_log：PHKG1_R31/search_log.json</w:t>
      </w:r>
    </w:p>
    <w:p>
      <w:r>
        <w:t>execution_date：2026-09-20</w:t>
      </w:r>
    </w:p>
    <w:p>
      <w:r>
        <w:t>database：www.ebi.ac.uk</w:t>
      </w:r>
    </w:p>
    <w:p>
      <w:r>
        <w:t>query："PHKG1" AND "chicken"</w:t>
      </w:r>
    </w:p>
    <w:p>
      <w:r>
        <w:t>filter：</w:t>
      </w:r>
    </w:p>
    <w:p>
      <w:r>
        <w:t>page_limit：100</w:t>
      </w:r>
    </w:p>
    <w:p>
      <w:r>
        <w:t>reported_count：未记载</w:t>
      </w:r>
    </w:p>
    <w:p>
      <w:r>
        <w:t>status：ok</w:t>
      </w:r>
    </w:p>
    <w:p>
      <w:r>
        <w:t>url：https://www.ebi.ac.uk/europepmc/webservices/rest/search?query=%22PHKG1%22+AND+%22chicken%22&amp;format=json&amp;pageSize=100&amp;resultType=core</w:t>
      </w:r>
    </w:p>
    <w:p>
      <w:r>
        <w:rPr>
          <w:b/>
        </w:rPr>
        <w:t>Q023</w:t>
      </w:r>
    </w:p>
    <w:p>
      <w:r>
        <w:t>case：PHKG1</w:t>
      </w:r>
    </w:p>
    <w:p>
      <w:r>
        <w:t>source_log：PHKG1_R31/search_log.json</w:t>
      </w:r>
    </w:p>
    <w:p>
      <w:r>
        <w:t>execution_date：2026-09-20</w:t>
      </w:r>
    </w:p>
    <w:p>
      <w:r>
        <w:t>database：www.ebi.ac.uk</w:t>
      </w:r>
    </w:p>
    <w:p>
      <w:r>
        <w:t>query：CITES:34852315_MED</w:t>
      </w:r>
    </w:p>
    <w:p>
      <w:r>
        <w:t>filter：</w:t>
      </w:r>
    </w:p>
    <w:p>
      <w:r>
        <w:t>page_limit：100</w:t>
      </w:r>
    </w:p>
    <w:p>
      <w:r>
        <w:t>reported_count：未记载</w:t>
      </w:r>
    </w:p>
    <w:p>
      <w:r>
        <w:t>status：ok</w:t>
      </w:r>
    </w:p>
    <w:p>
      <w:r>
        <w:t>url：https://www.ebi.ac.uk/europepmc/webservices/rest/search?query=CITES%3A34852315_MED&amp;format=json&amp;pageSize=100&amp;resultType=core</w:t>
      </w:r>
    </w:p>
    <w:p>
      <w:r>
        <w:rPr>
          <w:b/>
        </w:rPr>
        <w:t>Q024</w:t>
      </w:r>
    </w:p>
    <w:p>
      <w:r>
        <w:t>case：PHKG1</w:t>
      </w:r>
    </w:p>
    <w:p>
      <w:r>
        <w:t>source_log：PHKG1_R31/search_log.json</w:t>
      </w:r>
    </w:p>
    <w:p>
      <w:r>
        <w:t>execution_date：2026-09-20</w:t>
      </w:r>
    </w:p>
    <w:p>
      <w:r>
        <w:t>database：api.crossref.org</w:t>
      </w:r>
    </w:p>
    <w:p>
      <w:r>
        <w:t>query：PHKG1 chicken</w:t>
      </w:r>
    </w:p>
    <w:p>
      <w:r>
        <w:t>filter：</w:t>
      </w:r>
    </w:p>
    <w:p>
      <w:r>
        <w:t>page_limit：50</w:t>
      </w:r>
    </w:p>
    <w:p>
      <w:r>
        <w:t>reported_count：未记载</w:t>
      </w:r>
    </w:p>
    <w:p>
      <w:r>
        <w:t>status：ok</w:t>
      </w:r>
    </w:p>
    <w:p>
      <w:r>
        <w:t>url：https://api.crossref.org/works?query=PHKG1+chicken&amp;rows=50</w:t>
      </w:r>
    </w:p>
    <w:p>
      <w:r>
        <w:rPr>
          <w:b/>
        </w:rPr>
        <w:t>Q025</w:t>
      </w:r>
    </w:p>
    <w:p>
      <w:r>
        <w:t>case：PHKG1</w:t>
      </w:r>
    </w:p>
    <w:p>
      <w:r>
        <w:t>source_log：PHKG1_R31/search_log.json</w:t>
      </w:r>
    </w:p>
    <w:p>
      <w:r>
        <w:t>execution_date：2026-09-20</w:t>
      </w:r>
    </w:p>
    <w:p>
      <w:r>
        <w:t>database：api.openalex.org</w:t>
      </w:r>
    </w:p>
    <w:p>
      <w:r>
        <w:t>query：PHKG1 chicken</w:t>
      </w:r>
    </w:p>
    <w:p>
      <w:r>
        <w:t>filter：</w:t>
      </w:r>
    </w:p>
    <w:p>
      <w:r>
        <w:t>page_limit：50</w:t>
      </w:r>
    </w:p>
    <w:p>
      <w:r>
        <w:t>reported_count：未记载</w:t>
      </w:r>
    </w:p>
    <w:p>
      <w:r>
        <w:t>status：failed</w:t>
      </w:r>
    </w:p>
    <w:p>
      <w:r>
        <w:t>url：https://api.openalex.org/works?search=PHKG1+chicken&amp;per-page=50</w:t>
      </w:r>
    </w:p>
    <w:p>
      <w:r>
        <w:rPr>
          <w:b/>
        </w:rPr>
        <w:t>Q026</w:t>
      </w:r>
    </w:p>
    <w:p>
      <w:r>
        <w:t>case：FMO3</w:t>
      </w:r>
    </w:p>
    <w:p>
      <w:r>
        <w:t>source_log：FMO3_补证_20260920/search_log.json</w:t>
      </w:r>
    </w:p>
    <w:p>
      <w:r>
        <w:t>execution_date：2026-09-20</w:t>
      </w:r>
    </w:p>
    <w:p>
      <w:r>
        <w:t>database：www.ebi.ac.uk</w:t>
      </w:r>
    </w:p>
    <w:p>
      <w:r>
        <w:t>query：(TITLE_ABS:FMO3 OR TITLE_ABS:"flavin-containing monooxygenase 3" OR TITLE_ABS:"fishy taint" OR TITLE_ABS:"trimethylamine") AND (TITLE_ABS:chicken OR TITLE_ABS:chickens OR TITLE_ABS:hen OR TITLE_ABS:hens OR TITLE_ABS:fowl OR TITLE_ABS:egg OR TITLE_ABS:eggs)</w:t>
      </w:r>
    </w:p>
    <w:p>
      <w:r>
        <w:t>filter：</w:t>
      </w:r>
    </w:p>
    <w:p>
      <w:r>
        <w:t>page_limit：1000</w:t>
      </w:r>
    </w:p>
    <w:p>
      <w:r>
        <w:t>reported_count：未记载</w:t>
      </w:r>
    </w:p>
    <w:p>
      <w:r>
        <w:t>status：True</w:t>
      </w:r>
    </w:p>
    <w:p>
      <w:r>
        <w:t>url：https://www.ebi.ac.uk/europepmc/webservices/rest/search?query=%28TITLE_ABS%3AFMO3+OR+TITLE_ABS%3A%22flavin-containing+monooxygenase+3%22+OR+TITLE_ABS%3A%22fishy+taint%22+OR+TITLE_ABS%3A%22trimethylamine%22%29+AND+%28TITLE_ABS%3Achicken+OR+TITLE_ABS%3Achickens+OR+TITLE_ABS%3Ahen+OR+TITLE_ABS%3Ahens+OR+TITLE_ABS%3Afowl+OR+TITLE_ABS%3Aegg+OR+TITLE_ABS%3Aeggs%29&amp;format=json&amp;resultType=core&amp;pageSize=1000</w:t>
      </w:r>
    </w:p>
    <w:p>
      <w:r>
        <w:rPr>
          <w:b/>
        </w:rPr>
        <w:t>Q027</w:t>
      </w:r>
    </w:p>
    <w:p>
      <w:r>
        <w:t>case：FMO3</w:t>
      </w:r>
    </w:p>
    <w:p>
      <w:r>
        <w:t>source_log：FMO3_补证_20260920/search_log.json</w:t>
      </w:r>
    </w:p>
    <w:p>
      <w:r>
        <w:t>execution_date：2026-09-20</w:t>
      </w:r>
    </w:p>
    <w:p>
      <w:r>
        <w:t>database：www.ebi.ac.uk</w:t>
      </w:r>
    </w:p>
    <w:p>
      <w:r>
        <w:t>query：(FMO3 OR "fishy taint" OR T329S) AND (chicken OR chickens OR poultry OR hens OR egg) AND FIRST_PDATE:[2024-01-01 TO 2026-09-20]</w:t>
      </w:r>
    </w:p>
    <w:p>
      <w:r>
        <w:t>filter：</w:t>
      </w:r>
    </w:p>
    <w:p>
      <w:r>
        <w:t>page_limit：1000</w:t>
      </w:r>
    </w:p>
    <w:p>
      <w:r>
        <w:t>reported_count：未记载</w:t>
      </w:r>
    </w:p>
    <w:p>
      <w:r>
        <w:t>status：True</w:t>
      </w:r>
    </w:p>
    <w:p>
      <w:r>
        <w:t>url：https://www.ebi.ac.uk/europepmc/webservices/rest/search?query=%28FMO3+OR+%22fishy+taint%22+OR+T329S%29+AND+%28chicken+OR+chickens+OR+poultry+OR+hens+OR+egg%29+AND+FIRST_PDATE%3A%5B2024-01-01+TO+2026-09-20%5D&amp;format=json&amp;resultType=core&amp;pageSize=1000</w:t>
      </w:r>
    </w:p>
    <w:p>
      <w:r>
        <w:rPr>
          <w:b/>
        </w:rPr>
        <w:t>Q028</w:t>
      </w:r>
    </w:p>
    <w:p>
      <w:r>
        <w:t>case：FMO3</w:t>
      </w:r>
    </w:p>
    <w:p>
      <w:r>
        <w:t>source_log：FMO3_补证_20260920/search_log.json</w:t>
      </w:r>
    </w:p>
    <w:p>
      <w:r>
        <w:t>execution_date：2026-09-20</w:t>
      </w:r>
    </w:p>
    <w:p>
      <w:r>
        <w:t>database：www.ebi.ac.uk</w:t>
      </w:r>
    </w:p>
    <w:p>
      <w:r>
        <w:t>query：(FMO3 OR T329S OR "fishy taint") AND (chicken OR chickens OR hens) AND (selection OR breeding OR commercial OR marker)</w:t>
      </w:r>
    </w:p>
    <w:p>
      <w:r>
        <w:t>filter：</w:t>
      </w:r>
    </w:p>
    <w:p>
      <w:r>
        <w:t>page_limit：1000</w:t>
      </w:r>
    </w:p>
    <w:p>
      <w:r>
        <w:t>reported_count：未记载</w:t>
      </w:r>
    </w:p>
    <w:p>
      <w:r>
        <w:t>status：True</w:t>
      </w:r>
    </w:p>
    <w:p>
      <w:r>
        <w:t>url：https://www.ebi.ac.uk/europepmc/webservices/rest/search?query=%28FMO3+OR+T329S+OR+%22fishy+taint%22%29+AND+%28chicken+OR+chickens+OR+hens%29+AND+%28selection+OR+breeding+OR+commercial+OR+marker%29&amp;format=json&amp;resultType=core&amp;pageSize=1000</w:t>
      </w:r>
    </w:p>
    <w:p>
      <w:r>
        <w:rPr>
          <w:b/>
        </w:rPr>
        <w:t>Q029</w:t>
      </w:r>
    </w:p>
    <w:p>
      <w:r>
        <w:t>case：FMO3</w:t>
      </w:r>
    </w:p>
    <w:p>
      <w:r>
        <w:t>source_log：FMO3_补证_20260920/search_log.json</w:t>
      </w:r>
    </w:p>
    <w:p>
      <w:r>
        <w:t>execution_date：2026-09-20</w:t>
      </w:r>
    </w:p>
    <w:p>
      <w:r>
        <w:t>database：www.ebi.ac.uk</w:t>
      </w:r>
    </w:p>
    <w:p>
      <w:r>
        <w:t>query：DOI:10.3382/ps.2013-03285 OR DOI:10.3382/ps.2012-02313 OR DOI:10.3390/ani15142121 OR TITLE:"Effects of selective breeding and age on the ability of the domestic fowl"</w:t>
      </w:r>
    </w:p>
    <w:p>
      <w:r>
        <w:t>filter：</w:t>
      </w:r>
    </w:p>
    <w:p>
      <w:r>
        <w:t>page_limit：1000</w:t>
      </w:r>
    </w:p>
    <w:p>
      <w:r>
        <w:t>reported_count：未记载</w:t>
      </w:r>
    </w:p>
    <w:p>
      <w:r>
        <w:t>status：True</w:t>
      </w:r>
    </w:p>
    <w:p>
      <w:r>
        <w:t>url：https://www.ebi.ac.uk/europepmc/webservices/rest/search?query=DOI%3A10.3382%2Fps.2013-03285+OR+DOI%3A10.3382%2Fps.2012-02313+OR+DOI%3A10.3390%2Fani15142121+OR+TITLE%3A%22Effects+of+selective+breeding+and+age+on+the+ability+of+the+domestic+fowl%22&amp;format=json&amp;resultType=core&amp;pageSize=1000</w:t>
      </w:r>
    </w:p>
    <w:p>
      <w:r>
        <w:rPr>
          <w:b/>
        </w:rPr>
        <w:t>Q030</w:t>
      </w:r>
    </w:p>
    <w:p>
      <w:r>
        <w:t>case：FMO3</w:t>
      </w:r>
    </w:p>
    <w:p>
      <w:r>
        <w:t>source_log：FMO3_补证_20260920/search_log.json</w:t>
      </w:r>
    </w:p>
    <w:p>
      <w:r>
        <w:t>execution_date：2026-09-20</w:t>
      </w:r>
    </w:p>
    <w:p>
      <w:r>
        <w:t>database：eutils.ncbi.nlm.nih.gov</w:t>
      </w:r>
    </w:p>
    <w:p>
      <w:r>
        <w:t>query：(FMO3 OR "fishy taint" OR trimethylamine) AND (chicken OR chickens OR hens OR fowl OR eggs)</w:t>
      </w:r>
    </w:p>
    <w:p>
      <w:r>
        <w:t>filter：</w:t>
      </w:r>
    </w:p>
    <w:p>
      <w:r>
        <w:t>page_limit：200</w:t>
      </w:r>
    </w:p>
    <w:p>
      <w:r>
        <w:t>reported_count：未记载</w:t>
      </w:r>
    </w:p>
    <w:p>
      <w:r>
        <w:t>status：True</w:t>
      </w:r>
    </w:p>
    <w:p>
      <w:r>
        <w:t>url：https://eutils.ncbi.nlm.nih.gov/entrez/eutils/esearch.fcgi?db=pubmed&amp;term=%28FMO3+OR+%22fishy+taint%22+OR+trimethylamine%29+AND+%28chicken+OR+chickens+OR+hens+OR+fowl+OR+eggs%29&amp;retmode=json&amp;retmax=200</w:t>
      </w:r>
    </w:p>
    <w:p>
      <w:r>
        <w:rPr>
          <w:b/>
        </w:rPr>
        <w:t>Q031</w:t>
      </w:r>
    </w:p>
    <w:p>
      <w:r>
        <w:t>case：FMO3</w:t>
      </w:r>
    </w:p>
    <w:p>
      <w:r>
        <w:t>source_log：FMO3_补证_20260920/search_log.json</w:t>
      </w:r>
    </w:p>
    <w:p>
      <w:r>
        <w:t>execution_date：2026-09-20</w:t>
      </w:r>
    </w:p>
    <w:p>
      <w:r>
        <w:t>database：api.crossref.org</w:t>
      </w:r>
    </w:p>
    <w:p>
      <w:r>
        <w:t>query：Effects of selective breeding and age on the ability of the domestic fowl to oxidize trimethylamine</w:t>
      </w:r>
    </w:p>
    <w:p>
      <w:r>
        <w:t>filter：</w:t>
      </w:r>
    </w:p>
    <w:p>
      <w:r>
        <w:t>page_limit：3</w:t>
      </w:r>
    </w:p>
    <w:p>
      <w:r>
        <w:t>reported_count：未记载</w:t>
      </w:r>
    </w:p>
    <w:p>
      <w:r>
        <w:t>status：True</w:t>
      </w:r>
    </w:p>
    <w:p>
      <w:r>
        <w:t>url：https://api.crossref.org/works?query.title=Effects+of+selective+breeding+and+age+on+the+ability+of+the+domestic+fowl+to+oxidize+trimethylamine&amp;rows=3</w:t>
      </w:r>
    </w:p>
    <w:p>
      <w:r>
        <w:rPr>
          <w:b/>
        </w:rPr>
        <w:t>Q032</w:t>
      </w:r>
    </w:p>
    <w:p>
      <w:r>
        <w:t>case：FMO3</w:t>
      </w:r>
    </w:p>
    <w:p>
      <w:r>
        <w:t>source_log：FMO3_补证_20260920/pubmed_extra_log.json</w:t>
      </w:r>
    </w:p>
    <w:p>
      <w:r>
        <w:t>execution_date：未记载</w:t>
      </w:r>
    </w:p>
    <w:p>
      <w:r>
        <w:t>database：www.ebi.ac.uk</w:t>
      </w:r>
    </w:p>
    <w:p>
      <w:r>
        <w:t>query：SRC:MED AND (EXT_ID:12646373 OR EXT_ID:23146186 OR EXT_ID:27792203 OR EXT_ID:28686188 OR EXT_ID:29699662 OR EXT_ID:30113009 OR EXT_ID:30730736 OR EXT_ID:31066550 OR EXT_ID:31127814 OR EXT_ID:32780794 OR EXT_ID:33550692 OR EXT_ID:33719494 OR EXT_ID:38377688 OR EXT_ID:552695 OR EXT_ID:6478314 OR EXT_ID:7336535 OR EXT_ID:7434530 OR EXT_ID:7464065 OR EXT_ID:9817084)</w:t>
      </w:r>
    </w:p>
    <w:p>
      <w:r>
        <w:t>filter：</w:t>
      </w:r>
    </w:p>
    <w:p>
      <w:r>
        <w:t>page_limit：1000</w:t>
      </w:r>
    </w:p>
    <w:p>
      <w:r>
        <w:t>reported_count：未记载</w:t>
      </w:r>
    </w:p>
    <w:p>
      <w:r>
        <w:t>status：未记载</w:t>
      </w:r>
    </w:p>
    <w:p>
      <w:r>
        <w:t>url：https://www.ebi.ac.uk/europepmc/webservices/rest/search?query=SRC%3AMED+AND+%28EXT_ID%3A12646373+OR+EXT_ID%3A23146186+OR+EXT_ID%3A27792203+OR+EXT_ID%3A28686188+OR+EXT_ID%3A29699662+OR+EXT_ID%3A30113009+OR+EXT_ID%3A30730736+OR+EXT_ID%3A31066550+OR+EXT_ID%3A31127814+OR+EXT_ID%3A32780794+OR+EXT_ID%3A33550692+OR+EXT_ID%3A33719494+OR+EXT_ID%3A38377688+OR+EXT_ID%3A552695+OR+EXT_ID%3A6478314+OR+EXT_ID%3A7336535+OR+EXT_ID%3A7434530+OR+EXT_ID%3A7464065+OR+EXT_ID%3A9817084%29&amp;format=json&amp;resultType=core&amp;pageSize=1000</w:t>
      </w:r>
    </w:p>
    <w:p>
      <w:r>
        <w:rPr>
          <w:b/>
        </w:rPr>
        <w:t>Q033</w:t>
      </w:r>
    </w:p>
    <w:p>
      <w:r>
        <w:t>case：SLCO1B3</w:t>
      </w:r>
    </w:p>
    <w:p>
      <w:r>
        <w:t>source_log：SLCO1B3_R41/retrieval_start.json</w:t>
      </w:r>
    </w:p>
    <w:p>
      <w:r>
        <w:t>execution_date：未记载</w:t>
      </w:r>
    </w:p>
    <w:p>
      <w:r>
        <w:t>database：www.ebi.ac.uk</w:t>
      </w:r>
    </w:p>
    <w:p>
      <w:r>
        <w:t>query：(TITLE_ABS:SLCO1B3 OR TITLE_ABS:oocyan OR TITLE_ABS:"EAV-HP") AND (chicken OR chickens OR eggshell OR poultry) AND FIRST_PDATE:[1900-01-01 TO 2026-09-20]</w:t>
      </w:r>
    </w:p>
    <w:p>
      <w:r>
        <w:t>filter：</w:t>
      </w:r>
    </w:p>
    <w:p>
      <w:r>
        <w:t>page_limit：1000</w:t>
      </w:r>
    </w:p>
    <w:p>
      <w:r>
        <w:t>reported_count：未记载</w:t>
      </w:r>
    </w:p>
    <w:p>
      <w:r>
        <w:t>status：200</w:t>
      </w:r>
    </w:p>
    <w:p>
      <w:r>
        <w:t>url：https://www.ebi.ac.uk/europepmc/webservices/rest/search?query=(TITLE_ABS%3ASLCO1B3%20OR%20TITLE_ABS%3Aoocyan%20OR%20TITLE_ABS%3A%22EAV-HP%22)%20AND%20(chicken%20OR%20chickens%20OR%20eggshell%20OR%20poultry)%20AND%20FIRST_PDATE%3A%5B1900-01-01%20TO%202026-09-20%5D&amp;format=json&amp;resultType=core&amp;pageSize=1000</w:t>
      </w:r>
    </w:p>
    <w:p>
      <w:r>
        <w:rPr>
          <w:b/>
        </w:rPr>
        <w:t>Q034</w:t>
      </w:r>
    </w:p>
    <w:p>
      <w:r>
        <w:t>case：SLCO1B3</w:t>
      </w:r>
    </w:p>
    <w:p>
      <w:r>
        <w:t>source_log：SLCO1B3_R41/retrieval_start.json</w:t>
      </w:r>
    </w:p>
    <w:p>
      <w:r>
        <w:t>execution_date：未记载</w:t>
      </w:r>
    </w:p>
    <w:p>
      <w:r>
        <w:t>database：www.ebi.ac.uk</w:t>
      </w:r>
    </w:p>
    <w:p>
      <w:r>
        <w:t>query：(TITLE_ABS:"blue eggshell" OR TITLE_ABS:"blue egg" OR TITLE_ABS:"blue-shelled") AND (gene OR insertion OR genetic OR breeding OR marker OR selection) AND (chicken OR chickens OR poultry) AND FIRST_PDATE:[1900-01-01 TO 2026-09-20]</w:t>
      </w:r>
    </w:p>
    <w:p>
      <w:r>
        <w:t>filter：</w:t>
      </w:r>
    </w:p>
    <w:p>
      <w:r>
        <w:t>page_limit：1000</w:t>
      </w:r>
    </w:p>
    <w:p>
      <w:r>
        <w:t>reported_count：未记载</w:t>
      </w:r>
    </w:p>
    <w:p>
      <w:r>
        <w:t>status：200</w:t>
      </w:r>
    </w:p>
    <w:p>
      <w:r>
        <w:t>url：https://www.ebi.ac.uk/europepmc/webservices/rest/search?query=(TITLE_ABS%3A%22blue%20eggshell%22%20OR%20TITLE_ABS%3A%22blue%20egg%22%20OR%20TITLE_ABS%3A%22blue-shelled%22)%20AND%20(gene%20OR%20insertion%20OR%20genetic%20OR%20breeding%20OR%20marker%20OR%20selection)%20AND%20(chicken%20OR%20chickens%20OR%20poultry)%20AND%20FIRST_PDATE%3A%5B1900-01-01%20TO%202026-09-20%5D&amp;format=json&amp;resultType=core&amp;pageSize=1000</w:t>
      </w:r>
    </w:p>
    <w:p>
      <w:r>
        <w:rPr>
          <w:b/>
        </w:rPr>
        <w:t>Q035</w:t>
      </w:r>
    </w:p>
    <w:p>
      <w:r>
        <w:t>case：SLCO1B3</w:t>
      </w:r>
    </w:p>
    <w:p>
      <w:r>
        <w:t>source_log：SLCO1B3_R41/retrieval_start.json</w:t>
      </w:r>
    </w:p>
    <w:p>
      <w:r>
        <w:t>execution_date：未记载</w:t>
      </w:r>
    </w:p>
    <w:p>
      <w:r>
        <w:t>database：api.crossref.org</w:t>
      </w:r>
    </w:p>
    <w:p>
      <w:r>
        <w:t>query：SLCO1B3 blue eggshell chicken marker assisted selection</w:t>
      </w:r>
    </w:p>
    <w:p>
      <w:r>
        <w:t>filter：</w:t>
      </w:r>
    </w:p>
    <w:p>
      <w:r>
        <w:t>page_limit：50</w:t>
      </w:r>
    </w:p>
    <w:p>
      <w:r>
        <w:t>reported_count：未记载</w:t>
      </w:r>
    </w:p>
    <w:p>
      <w:r>
        <w:t>status：200</w:t>
      </w:r>
    </w:p>
    <w:p>
      <w:r>
        <w:t>url：https://api.crossref.org/works?query.bibliographic=SLCO1B3%20blue%20eggshell%20chicken%20marker%20assisted%20selection&amp;rows=50</w:t>
      </w:r>
    </w:p>
    <w:p>
      <w:r>
        <w:rPr>
          <w:b/>
        </w:rPr>
        <w:t>Q036</w:t>
      </w:r>
    </w:p>
    <w:p>
      <w:r>
        <w:t>case：MHC-B/BG1</w:t>
      </w:r>
    </w:p>
    <w:p>
      <w:r>
        <w:t>source_log：MHC_R35/retrieval_first.json</w:t>
      </w:r>
    </w:p>
    <w:p>
      <w:r>
        <w:t>execution_date：未记载</w:t>
      </w:r>
    </w:p>
    <w:p>
      <w:r>
        <w:t>database：www.ebi.ac.uk</w:t>
      </w:r>
    </w:p>
    <w:p>
      <w:r>
        <w:t>query：DOI:10.1637/10408-100212-Reg.1</w:t>
      </w:r>
    </w:p>
    <w:p>
      <w:r>
        <w:t>filter：</w:t>
      </w:r>
    </w:p>
    <w:p>
      <w:r>
        <w:t>page_limit：30</w:t>
      </w:r>
    </w:p>
    <w:p>
      <w:r>
        <w:t>reported_count：未记载</w:t>
      </w:r>
    </w:p>
    <w:p>
      <w:r>
        <w:t>status：200</w:t>
      </w:r>
    </w:p>
    <w:p>
      <w:r>
        <w:t>url：https://www.ebi.ac.uk/europepmc/webservices/rest/search?query=DOI%3A10.1637%2F10408-100212-Reg.1&amp;format=json&amp;resultType=core&amp;pageSize=30</w:t>
      </w:r>
    </w:p>
    <w:p>
      <w:r>
        <w:rPr>
          <w:b/>
        </w:rPr>
        <w:t>Q037</w:t>
      </w:r>
    </w:p>
    <w:p>
      <w:r>
        <w:t>case：MHC-B/BG1</w:t>
      </w:r>
    </w:p>
    <w:p>
      <w:r>
        <w:t>source_log：MHC_R35/retrieval_first.json</w:t>
      </w:r>
    </w:p>
    <w:p>
      <w:r>
        <w:t>execution_date：未记载</w:t>
      </w:r>
    </w:p>
    <w:p>
      <w:r>
        <w:t>database：www.ebi.ac.uk</w:t>
      </w:r>
    </w:p>
    <w:p>
      <w:r>
        <w:t>query：TITLE:"BG1 has a major role"</w:t>
      </w:r>
    </w:p>
    <w:p>
      <w:r>
        <w:t>filter：</w:t>
      </w:r>
    </w:p>
    <w:p>
      <w:r>
        <w:t>page_limit：30</w:t>
      </w:r>
    </w:p>
    <w:p>
      <w:r>
        <w:t>reported_count：未记载</w:t>
      </w:r>
    </w:p>
    <w:p>
      <w:r>
        <w:t>status：200</w:t>
      </w:r>
    </w:p>
    <w:p>
      <w:r>
        <w:t>url：https://www.ebi.ac.uk/europepmc/webservices/rest/search?query=TITLE%3A%22BG1+has+a+major+role%22&amp;format=json&amp;resultType=core&amp;pageSize=30</w:t>
      </w:r>
    </w:p>
    <w:p>
      <w:r>
        <w:rPr>
          <w:b/>
        </w:rPr>
        <w:t>Q038</w:t>
      </w:r>
    </w:p>
    <w:p>
      <w:r>
        <w:t>case：MHC-B/BG1</w:t>
      </w:r>
    </w:p>
    <w:p>
      <w:r>
        <w:t>source_log：MHC_R35/retrieval_first.json</w:t>
      </w:r>
    </w:p>
    <w:p>
      <w:r>
        <w:t>execution_date：未记载</w:t>
      </w:r>
    </w:p>
    <w:p>
      <w:r>
        <w:t>database：www.ebi.ac.uk</w:t>
      </w:r>
    </w:p>
    <w:p>
      <w:r>
        <w:t>query：(TITLE_ABS:BG1 OR TITLE_ABS:"MHC-B") AND (chicken OR poultry) AND FIRST_PDATE:[2025-01-01 TO 2026-09-20]</w:t>
      </w:r>
    </w:p>
    <w:p>
      <w:r>
        <w:t>filter：</w:t>
      </w:r>
    </w:p>
    <w:p>
      <w:r>
        <w:t>page_limit：30</w:t>
      </w:r>
    </w:p>
    <w:p>
      <w:r>
        <w:t>reported_count：未记载</w:t>
      </w:r>
    </w:p>
    <w:p>
      <w:r>
        <w:t>status：200</w:t>
      </w:r>
    </w:p>
    <w:p>
      <w:r>
        <w:t>url：https://www.ebi.ac.uk/europepmc/webservices/rest/search?query=%28TITLE_ABS%3ABG1+OR+TITLE_ABS%3A%22MHC-B%22%29+AND+%28chicken+OR+poultry%29+AND+FIRST_PDATE%3A%5B2025-01-01+TO+2026-09-20%5D&amp;format=json&amp;resultType=core&amp;pageSize=30</w:t>
      </w:r>
    </w:p>
    <w:p>
      <w:r>
        <w:rPr>
          <w:b/>
        </w:rPr>
        <w:t>Q039</w:t>
      </w:r>
    </w:p>
    <w:p>
      <w:r>
        <w:t>case：MHC-B/BG1</w:t>
      </w:r>
    </w:p>
    <w:p>
      <w:r>
        <w:t>source_log：MHC_R35/retrieval_second.json</w:t>
      </w:r>
    </w:p>
    <w:p>
      <w:r>
        <w:t>execution_date：未记载</w:t>
      </w:r>
    </w:p>
    <w:p>
      <w:r>
        <w:t>database：www.ebi.ac.uk</w:t>
      </w:r>
    </w:p>
    <w:p>
      <w:r>
        <w:t>query：(Marek AND (MHC OR BG1 OR Fulton)) AND FIRST_PDATE:[2025-01-01 TO 2026-09-20]</w:t>
      </w:r>
    </w:p>
    <w:p>
      <w:r>
        <w:t>filter：</w:t>
      </w:r>
    </w:p>
    <w:p>
      <w:r>
        <w:t>page_limit：50</w:t>
      </w:r>
    </w:p>
    <w:p>
      <w:r>
        <w:t>reported_count：未记载</w:t>
      </w:r>
    </w:p>
    <w:p>
      <w:r>
        <w:t>status：200</w:t>
      </w:r>
    </w:p>
    <w:p>
      <w:r>
        <w:t>url：https://www.ebi.ac.uk/europepmc/webservices/rest/search?query=%28Marek+AND+%28MHC+OR+BG1+OR+Fulton%29%29+AND+FIRST_PDATE%3A%5B2025-01-01+TO+2026-09-20%5D&amp;format=json&amp;resultType=core&amp;pageSize=50</w:t>
      </w:r>
    </w:p>
    <w:p>
      <w:r>
        <w:rPr>
          <w:b/>
        </w:rPr>
        <w:t>Q040</w:t>
      </w:r>
    </w:p>
    <w:p>
      <w:r>
        <w:t>case：tva</w:t>
      </w:r>
    </w:p>
    <w:p>
      <w:r>
        <w:t>source_log：TVA_R37/retrieval_start.json</w:t>
      </w:r>
    </w:p>
    <w:p>
      <w:r>
        <w:t>execution_date：未记载</w:t>
      </w:r>
    </w:p>
    <w:p>
      <w:r>
        <w:t>database：www.ebi.ac.uk</w:t>
      </w:r>
    </w:p>
    <w:p>
      <w:r>
        <w:t>query：DOI:10.1016/j.psj.2026.107497</w:t>
      </w:r>
    </w:p>
    <w:p>
      <w:r>
        <w:t>filter：</w:t>
      </w:r>
    </w:p>
    <w:p>
      <w:r>
        <w:t>page_limit：100</w:t>
      </w:r>
    </w:p>
    <w:p>
      <w:r>
        <w:t>reported_count：未记载</w:t>
      </w:r>
    </w:p>
    <w:p>
      <w:r>
        <w:t>status：200</w:t>
      </w:r>
    </w:p>
    <w:p>
      <w:r>
        <w:t>url：https://www.ebi.ac.uk/europepmc/webservices/rest/search?query=DOI%3A10.1016%2Fj.psj.2026.107497&amp;format=json&amp;resultType=core&amp;pageSize=100</w:t>
      </w:r>
    </w:p>
    <w:p>
      <w:r>
        <w:rPr>
          <w:b/>
        </w:rPr>
        <w:t>Q041</w:t>
      </w:r>
    </w:p>
    <w:p>
      <w:r>
        <w:t>case：tva</w:t>
      </w:r>
    </w:p>
    <w:p>
      <w:r>
        <w:t>source_log：TVA_R37/retrieval_start.json</w:t>
      </w:r>
    </w:p>
    <w:p>
      <w:r>
        <w:t>execution_date：未记载</w:t>
      </w:r>
    </w:p>
    <w:p>
      <w:r>
        <w:t>database：www.ebi.ac.uk</w:t>
      </w:r>
    </w:p>
    <w:p>
      <w:r>
        <w:t>query：(TITLE_ABS:tva OR TITLE_ABS:"tumor virus a") AND (chicken OR poultry OR avian) AND FIRST_PDATE:[2025-01-01 TO 2026-09-20]</w:t>
      </w:r>
    </w:p>
    <w:p>
      <w:r>
        <w:t>filter：</w:t>
      </w:r>
    </w:p>
    <w:p>
      <w:r>
        <w:t>page_limit：100</w:t>
      </w:r>
    </w:p>
    <w:p>
      <w:r>
        <w:t>reported_count：未记载</w:t>
      </w:r>
    </w:p>
    <w:p>
      <w:r>
        <w:t>status：200</w:t>
      </w:r>
    </w:p>
    <w:p>
      <w:r>
        <w:t>url：https://www.ebi.ac.uk/europepmc/webservices/rest/search?query=%28TITLE_ABS%3Atva+OR+TITLE_ABS%3A%22tumor+virus+a%22%29+AND+%28chicken+OR+poultry+OR+avian%29+AND+FIRST_PDATE%3A%5B2025-01-01+TO+2026-09-20%5D&amp;format=json&amp;resultType=core&amp;pageSize=100</w:t>
      </w:r>
    </w:p>
    <w:p>
      <w:r>
        <w:rPr>
          <w:b/>
        </w:rPr>
        <w:t>Q042</w:t>
      </w:r>
    </w:p>
    <w:p>
      <w:r>
        <w:t>case：tva</w:t>
      </w:r>
    </w:p>
    <w:p>
      <w:r>
        <w:t>source_log：TVA_R37/retrieval_start.json</w:t>
      </w:r>
    </w:p>
    <w:p>
      <w:r>
        <w:t>execution_date：未记载</w:t>
      </w:r>
    </w:p>
    <w:p>
      <w:r>
        <w:t>database：www.ebi.ac.uk</w:t>
      </w:r>
    </w:p>
    <w:p>
      <w:r>
        <w:t>query：(TITLE_ABS:tva OR TITLE_ABS:"tumor virus a") AND (TITLE_ABS:breeding OR TITLE_ABS:selection OR TITLE_ABS:progeny OR TITLE_ABS:resistant)</w:t>
      </w:r>
    </w:p>
    <w:p>
      <w:r>
        <w:t>filter：</w:t>
      </w:r>
    </w:p>
    <w:p>
      <w:r>
        <w:t>page_limit：100</w:t>
      </w:r>
    </w:p>
    <w:p>
      <w:r>
        <w:t>reported_count：未记载</w:t>
      </w:r>
    </w:p>
    <w:p>
      <w:r>
        <w:t>status：200</w:t>
      </w:r>
    </w:p>
    <w:p>
      <w:r>
        <w:t>url：https://www.ebi.ac.uk/europepmc/webservices/rest/search?query=%28TITLE_ABS%3Atva+OR+TITLE_ABS%3A%22tumor+virus+a%22%29+AND+%28TITLE_ABS%3Abreeding+OR+TITLE_ABS%3Aselection+OR+TITLE_ABS%3Aprogeny+OR+TITLE_ABS%3Aresistant%29&amp;format=json&amp;resultType=core&amp;pageSize=100</w:t>
      </w:r>
    </w:p>
    <w:p>
      <w:r>
        <w:rPr>
          <w:b/>
        </w:rPr>
        <w:t>Q043</w:t>
      </w:r>
    </w:p>
    <w:p>
      <w:r>
        <w:t>case：tva</w:t>
      </w:r>
    </w:p>
    <w:p>
      <w:r>
        <w:t>source_log：TVA_R37/retrieval_second.json</w:t>
      </w:r>
    </w:p>
    <w:p>
      <w:r>
        <w:t>execution_date：未记载</w:t>
      </w:r>
    </w:p>
    <w:p>
      <w:r>
        <w:t>database：www.ebi.ac.uk</w:t>
      </w:r>
    </w:p>
    <w:p>
      <w:r>
        <w:t>query：(TITLE_ABS:tva OR TITLE_ABS:"tumor virus a") AND (TITLE_ABS:chicken</w:t>
      </w:r>
      <w:r>
        <w:rPr>
          <w:i/>
        </w:rPr>
        <w:t xml:space="preserve"> OR TITLE_ABS:avian OR TITLE_ABS:poultry) AND (TITLE_ABS:breeding OR TITLE_ABS:selection OR TITLE_ABS:progeny OR TITLE_ABS:resistan</w:t>
      </w:r>
      <w:r>
        <w:t>)</w:t>
      </w:r>
    </w:p>
    <w:p>
      <w:r>
        <w:t>filter：</w:t>
      </w:r>
    </w:p>
    <w:p>
      <w:r>
        <w:t>page_limit：100</w:t>
      </w:r>
    </w:p>
    <w:p>
      <w:r>
        <w:t>reported_count：未记载</w:t>
      </w:r>
    </w:p>
    <w:p>
      <w:r>
        <w:t>status：200</w:t>
      </w:r>
    </w:p>
    <w:p>
      <w:r>
        <w:t>url：https://www.ebi.ac.uk/europepmc/webservices/rest/search?query=%28TITLE_ABS%3Atva+OR+TITLE_ABS%3A%22tumor+virus+a%22%29+AND+%28TITLE_ABS%3Achicken%2A+OR+TITLE_ABS%3Aavian+OR+TITLE_ABS%3Apoultry%29+AND+%28TITLE_ABS%3Abreeding+OR+TITLE_ABS%3Aselection+OR+TITLE_ABS%3Aprogeny+OR+TITLE_ABS%3Aresistan%2A%29&amp;format=json&amp;resultType=core&amp;pageSize=100</w:t>
      </w:r>
    </w:p>
    <w:p>
      <w:r>
        <w:rPr>
          <w:b/>
        </w:rPr>
        <w:t>Q044</w:t>
      </w:r>
    </w:p>
    <w:p>
      <w:r>
        <w:t>case：ANP32A</w:t>
      </w:r>
    </w:p>
    <w:p>
      <w:r>
        <w:t>source_log：ANP32A_R40/retrieval_start.json</w:t>
      </w:r>
    </w:p>
    <w:p>
      <w:r>
        <w:t>execution_date：未记载</w:t>
      </w:r>
    </w:p>
    <w:p>
      <w:r>
        <w:t>database：www.ebi.ac.uk</w:t>
      </w:r>
    </w:p>
    <w:p>
      <w:r>
        <w:t>query：(TITLE_ABS:ANP32A OR TITLE_ABS:ANP32) AND (chicken OR poultry OR avian) AND FIRST_PDATE:[2025-01-01 TO 2026-09-20]</w:t>
      </w:r>
    </w:p>
    <w:p>
      <w:r>
        <w:t>filter：</w:t>
      </w:r>
    </w:p>
    <w:p>
      <w:r>
        <w:t>page_limit：1000</w:t>
      </w:r>
    </w:p>
    <w:p>
      <w:r>
        <w:t>reported_count：未记载</w:t>
      </w:r>
    </w:p>
    <w:p>
      <w:r>
        <w:t>status：200</w:t>
      </w:r>
    </w:p>
    <w:p>
      <w:r>
        <w:t>url：https://www.ebi.ac.uk/europepmc/webservices/rest/search?query=%28TITLE_ABS%3AANP32A+OR+TITLE_ABS%3AANP32%29+AND+%28chicken+OR+poultry+OR+avian%29+AND+FIRST_PDATE%3A%5B2025-01-01+TO+2026-09-20%5D&amp;format=json&amp;resultType=core&amp;pageSize=1000</w:t>
      </w:r>
    </w:p>
    <w:p>
      <w:r>
        <w:rPr>
          <w:b/>
        </w:rPr>
        <w:t>Q045</w:t>
      </w:r>
    </w:p>
    <w:p>
      <w:r>
        <w:t>case：ANP32A</w:t>
      </w:r>
    </w:p>
    <w:p>
      <w:r>
        <w:t>source_log：ANP32A_R40/retrieval_start.json</w:t>
      </w:r>
    </w:p>
    <w:p>
      <w:r>
        <w:t>execution_date：未记载</w:t>
      </w:r>
    </w:p>
    <w:p>
      <w:r>
        <w:t>database：www.ebi.ac.uk</w:t>
      </w:r>
    </w:p>
    <w:p>
      <w:r>
        <w:t>query：(TITLE_ABS:ANP32A OR TITLE_ABS:ANP32) AND (TITLE_ABS:chicken OR TITLE_ABS:chickens OR TITLE_ABS:poultry) AND (breeding OR progeny OR germline OR commercial OR production OR edited) AND FIRST_PDATE:[2023-01-01 TO 2026-09-20]</w:t>
      </w:r>
    </w:p>
    <w:p>
      <w:r>
        <w:t>filter：</w:t>
      </w:r>
    </w:p>
    <w:p>
      <w:r>
        <w:t>page_limit：1000</w:t>
      </w:r>
    </w:p>
    <w:p>
      <w:r>
        <w:t>reported_count：未记载</w:t>
      </w:r>
    </w:p>
    <w:p>
      <w:r>
        <w:t>status：200</w:t>
      </w:r>
    </w:p>
    <w:p>
      <w:r>
        <w:t>url：https://www.ebi.ac.uk/europepmc/webservices/rest/search?query=%28TITLE_ABS%3AANP32A+OR+TITLE_ABS%3AANP32%29+AND+%28TITLE_ABS%3Achicken+OR+TITLE_ABS%3Achickens+OR+TITLE_ABS%3Apoultry%29+AND+%28breeding+OR+progeny+OR+germline+OR+commercial+OR+production+OR+edited%29+AND+FIRST_PDATE%3A%5B2023-01-01+TO+2026-09-20%5D&amp;format=json&amp;resultType=core&amp;pageSize=1000</w:t>
      </w:r>
    </w:p>
    <w:p>
      <w:r>
        <w:rPr>
          <w:b/>
        </w:rPr>
        <w:t>Q046</w:t>
      </w:r>
    </w:p>
    <w:p>
      <w:r>
        <w:t>case：ANP32A</w:t>
      </w:r>
    </w:p>
    <w:p>
      <w:r>
        <w:t>source_log：ANP32A_R40/retrieval_start.json</w:t>
      </w:r>
    </w:p>
    <w:p>
      <w:r>
        <w:t>execution_date：未记载</w:t>
      </w:r>
    </w:p>
    <w:p>
      <w:r>
        <w:t>database：www.ebi.ac.uk</w:t>
      </w:r>
    </w:p>
    <w:p>
      <w:r>
        <w:t>query：CITES:37798310_MED</w:t>
      </w:r>
    </w:p>
    <w:p>
      <w:r>
        <w:t>filter：</w:t>
      </w:r>
    </w:p>
    <w:p>
      <w:r>
        <w:t>page_limit：1000</w:t>
      </w:r>
    </w:p>
    <w:p>
      <w:r>
        <w:t>reported_count：未记载</w:t>
      </w:r>
    </w:p>
    <w:p>
      <w:r>
        <w:t>status：200</w:t>
      </w:r>
    </w:p>
    <w:p>
      <w:r>
        <w:t>url：https://www.ebi.ac.uk/europepmc/webservices/rest/search?query=CITES%3A37798310_MED&amp;format=json&amp;resultType=core&amp;pageSize=1000</w:t>
      </w:r>
    </w:p>
    <w:p>
      <w:r>
        <w:rPr>
          <w:b/>
        </w:rPr>
        <w:t>Q047</w:t>
      </w:r>
    </w:p>
    <w:p>
      <w:r>
        <w:t>case：ANP32A</w:t>
      </w:r>
    </w:p>
    <w:p>
      <w:r>
        <w:t>source_log：ANP32A_R40/retrieval_start.json</w:t>
      </w:r>
    </w:p>
    <w:p>
      <w:r>
        <w:t>execution_date：未记载</w:t>
      </w:r>
    </w:p>
    <w:p>
      <w:r>
        <w:t>database：api.crossref.org</w:t>
      </w:r>
    </w:p>
    <w:p>
      <w:r>
        <w:t>query：ANP32A chicken breeding genome editing</w:t>
      </w:r>
    </w:p>
    <w:p>
      <w:r>
        <w:t>filter：from-pub-date:2025-01-01,until-pub-date:2026-09-20</w:t>
      </w:r>
    </w:p>
    <w:p>
      <w:r>
        <w:t>page_limit：35</w:t>
      </w:r>
    </w:p>
    <w:p>
      <w:r>
        <w:t>reported_count：未记载</w:t>
      </w:r>
    </w:p>
    <w:p>
      <w:r>
        <w:t>status：200</w:t>
      </w:r>
    </w:p>
    <w:p>
      <w:r>
        <w:t>url：https://api.crossref.org/works?query.bibliographic=ANP32A+chicken+breeding+genome+editing&amp;filter=from-pub-date%3A2025-01-01%2Cuntil-pub-date%3A2026-09-20&amp;rows=35</w:t>
      </w:r>
    </w:p>
    <w:p>
      <w:r>
        <w:rPr>
          <w:b/>
        </w:rPr>
        <w:t>Q048</w:t>
      </w:r>
    </w:p>
    <w:p>
      <w:r>
        <w:t>case：ANP32A</w:t>
      </w:r>
    </w:p>
    <w:p>
      <w:r>
        <w:t>source_log：ANP32A_R40/retrieval_second.json</w:t>
      </w:r>
    </w:p>
    <w:p>
      <w:r>
        <w:t>execution_date：未记载</w:t>
      </w:r>
    </w:p>
    <w:p>
      <w:r>
        <w:t>database：www.ebi.ac.uk</w:t>
      </w:r>
    </w:p>
    <w:p>
      <w:r>
        <w:t>query：CITES:37816720_MED AND FIRST_PDATE:[2023-01-01 TO 2026-09-20]</w:t>
      </w:r>
    </w:p>
    <w:p>
      <w:r>
        <w:t>filter：</w:t>
      </w:r>
    </w:p>
    <w:p>
      <w:r>
        <w:t>page_limit：1000</w:t>
      </w:r>
    </w:p>
    <w:p>
      <w:r>
        <w:t>reported_count：未记载</w:t>
      </w:r>
    </w:p>
    <w:p>
      <w:r>
        <w:t>status：200</w:t>
      </w:r>
    </w:p>
    <w:p>
      <w:r>
        <w:t>url：https://www.ebi.ac.uk/europepmc/webservices/rest/search?query=CITES%3A37816720_MED%20AND%20FIRST_PDATE%3A%5B2023-01-01%20TO%202026-09-20%5D&amp;format=json&amp;resultType=core&amp;pageSize=1000</w:t>
      </w:r>
    </w:p>
    <w:p>
      <w:r>
        <w:rPr>
          <w:b/>
        </w:rPr>
        <w:t>Q049</w:t>
      </w:r>
    </w:p>
    <w:p>
      <w:r>
        <w:t>case：ANP32A</w:t>
      </w:r>
    </w:p>
    <w:p>
      <w:r>
        <w:t>source_log：ANP32A_R40/retrieval_second.json</w:t>
      </w:r>
    </w:p>
    <w:p>
      <w:r>
        <w:t>execution_date：未记载</w:t>
      </w:r>
    </w:p>
    <w:p>
      <w:r>
        <w:t>database：www.ebi.ac.uk</w:t>
      </w:r>
    </w:p>
    <w:p>
      <w:r>
        <w:t>query：TITLE_ABS:"Identification of key host genes for influenza A virus"</w:t>
      </w:r>
    </w:p>
    <w:p>
      <w:r>
        <w:t>filter：</w:t>
      </w:r>
    </w:p>
    <w:p>
      <w:r>
        <w:t>page_limit：1000</w:t>
      </w:r>
    </w:p>
    <w:p>
      <w:r>
        <w:t>reported_count：未记载</w:t>
      </w:r>
    </w:p>
    <w:p>
      <w:r>
        <w:t>status：200</w:t>
      </w:r>
    </w:p>
    <w:p>
      <w:r>
        <w:t>url：https://www.ebi.ac.uk/europepmc/webservices/rest/search?query=TITLE_ABS%3A%22Identification%20of%20key%20host%20genes%20for%20influenza%20A%20virus%22&amp;format=json&amp;resultType=core&amp;pageSize=1000</w:t>
      </w:r>
    </w:p>
    <w:p>
      <w:r>
        <w:rPr>
          <w:b/>
        </w:rPr>
        <w:t>Q050</w:t>
      </w:r>
    </w:p>
    <w:p>
      <w:r>
        <w:t>case：ANP32A</w:t>
      </w:r>
    </w:p>
    <w:p>
      <w:r>
        <w:t>source_log：ANP32A_R40/retrieval_second.json</w:t>
      </w:r>
    </w:p>
    <w:p>
      <w:r>
        <w:t>execution_date：未记载</w:t>
      </w:r>
    </w:p>
    <w:p>
      <w:r>
        <w:t>database：www.ebi.ac.uk</w:t>
      </w:r>
    </w:p>
    <w:p>
      <w:r>
        <w:t>query：TITLE_ABS:"Functional redundancy in chicken ANP32A"</w:t>
      </w:r>
    </w:p>
    <w:p>
      <w:r>
        <w:t>filter：</w:t>
      </w:r>
    </w:p>
    <w:p>
      <w:r>
        <w:t>page_limit：1000</w:t>
      </w:r>
    </w:p>
    <w:p>
      <w:r>
        <w:t>reported_count：未记载</w:t>
      </w:r>
    </w:p>
    <w:p>
      <w:r>
        <w:t>status：200</w:t>
      </w:r>
    </w:p>
    <w:p>
      <w:r>
        <w:t>url：https://www.ebi.ac.uk/europepmc/webservices/rest/search?query=TITLE_ABS%3A%22Functional%20redundancy%20in%20chicken%20ANP32A%22&amp;format=json&amp;resultType=core&amp;pageSize=1000</w:t>
      </w:r>
    </w:p>
    <w:p>
      <w:r>
        <w:rPr>
          <w:b/>
        </w:rPr>
        <w:t>Q051</w:t>
      </w:r>
    </w:p>
    <w:p>
      <w:r>
        <w:t>case：ANP32A</w:t>
      </w:r>
    </w:p>
    <w:p>
      <w:r>
        <w:t>source_log：ANP32A_R40/retrieval_second.json</w:t>
      </w:r>
    </w:p>
    <w:p>
      <w:r>
        <w:t>execution_date：未记载</w:t>
      </w:r>
    </w:p>
    <w:p>
      <w:r>
        <w:t>database：api.crossref.org</w:t>
      </w:r>
    </w:p>
    <w:p>
      <w:r>
        <w:t>query：Functional redundancy in chicken ANP32A mediates species-specific support</w:t>
      </w:r>
    </w:p>
    <w:p>
      <w:r>
        <w:t>filter：</w:t>
      </w:r>
    </w:p>
    <w:p>
      <w:r>
        <w:t>page_limit：8</w:t>
      </w:r>
    </w:p>
    <w:p>
      <w:r>
        <w:t>reported_count：未记载</w:t>
      </w:r>
    </w:p>
    <w:p>
      <w:r>
        <w:t>status：200</w:t>
      </w:r>
    </w:p>
    <w:p>
      <w:r>
        <w:t>url：https://api.crossref.org/works?query.title=Functional%20redundancy%20in%20chicken%20ANP32A%20mediates%20species-specific%20support&amp;rows=8</w:t>
      </w:r>
    </w:p>
    <w:p>
      <w:r>
        <w:rPr>
          <w:b/>
        </w:rPr>
        <w:t>Q052</w:t>
      </w:r>
    </w:p>
    <w:p>
      <w:r>
        <w:t>case：MX</w:t>
      </w:r>
    </w:p>
    <w:p>
      <w:r>
        <w:t>source_log：MX_R39/retrieval_first.json</w:t>
      </w:r>
    </w:p>
    <w:p>
      <w:r>
        <w:t>execution_date：未记载</w:t>
      </w:r>
    </w:p>
    <w:p>
      <w:r>
        <w:t>database：www.ebi.ac.uk</w:t>
      </w:r>
    </w:p>
    <w:p>
      <w:r>
        <w:t>query：(S631N OR Asn631 OR Ser631 OR "Ser631Asn" OR "Mx1 polymorphism") AND (chicken OR chickens OR poultry) AND FIRST_PDATE:[2012-01-01 TO 2026-09-20]</w:t>
      </w:r>
    </w:p>
    <w:p>
      <w:r>
        <w:t>filter：</w:t>
      </w:r>
    </w:p>
    <w:p>
      <w:r>
        <w:t>page_limit：1000</w:t>
      </w:r>
    </w:p>
    <w:p>
      <w:r>
        <w:t>reported_count：未记载</w:t>
      </w:r>
    </w:p>
    <w:p>
      <w:r>
        <w:t>status：200</w:t>
      </w:r>
    </w:p>
    <w:p>
      <w:r>
        <w:t>url：https://www.ebi.ac.uk/europepmc/webservices/rest/search?query=%28S631N+OR+Asn631+OR+Ser631+OR+%22Ser631Asn%22+OR+%22Mx1+polymorphism%22%29+AND+%28chicken+OR+chickens+OR+poultry%29+AND+FIRST_PDATE%3A%5B2012-01-01+TO+2026-09-20%5D&amp;format=json&amp;resultType=core&amp;pageSize=1000</w:t>
      </w:r>
    </w:p>
    <w:p>
      <w:r>
        <w:rPr>
          <w:b/>
        </w:rPr>
        <w:t>Q053</w:t>
      </w:r>
    </w:p>
    <w:p>
      <w:r>
        <w:t>case：MX</w:t>
      </w:r>
    </w:p>
    <w:p>
      <w:r>
        <w:t>source_log：MX_R39/retrieval_first.json</w:t>
      </w:r>
    </w:p>
    <w:p>
      <w:r>
        <w:t>execution_date：未记载</w:t>
      </w:r>
    </w:p>
    <w:p>
      <w:r>
        <w:t>database：www.ebi.ac.uk</w:t>
      </w:r>
    </w:p>
    <w:p>
      <w:r>
        <w:t>query：(TITLE_ABS:MX OR TITLE_ABS:MX1 OR TITLE_ABS:"myxovirus resistance") AND (TITLE_ABS:chicken OR TITLE_ABS:chickens OR TITLE_ABS:poultry) AND FIRST_PDATE:[2023-01-01 TO 2026-09-20]</w:t>
      </w:r>
    </w:p>
    <w:p>
      <w:r>
        <w:t>filter：</w:t>
      </w:r>
    </w:p>
    <w:p>
      <w:r>
        <w:t>page_limit：1000</w:t>
      </w:r>
    </w:p>
    <w:p>
      <w:r>
        <w:t>reported_count：未记载</w:t>
      </w:r>
    </w:p>
    <w:p>
      <w:r>
        <w:t>status：200</w:t>
      </w:r>
    </w:p>
    <w:p>
      <w:r>
        <w:t>url：https://www.ebi.ac.uk/europepmc/webservices/rest/search?query=%28TITLE_ABS%3AMX+OR+TITLE_ABS%3AMX1+OR+TITLE_ABS%3A%22myxovirus+resistance%22%29+AND+%28TITLE_ABS%3Achicken+OR+TITLE_ABS%3Achickens+OR+TITLE_ABS%3Apoultry%29+AND+FIRST_PDATE%3A%5B2023-01-01+TO+2026-09-20%5D&amp;format=json&amp;resultType=core&amp;pageSize=1000</w:t>
      </w:r>
    </w:p>
    <w:p>
      <w:r>
        <w:rPr>
          <w:b/>
        </w:rPr>
        <w:t>Q054</w:t>
      </w:r>
    </w:p>
    <w:p>
      <w:r>
        <w:t>case：MX</w:t>
      </w:r>
    </w:p>
    <w:p>
      <w:r>
        <w:t>source_log：MX_R39/retrieval_first.json</w:t>
      </w:r>
    </w:p>
    <w:p>
      <w:r>
        <w:t>execution_date：未记载</w:t>
      </w:r>
    </w:p>
    <w:p>
      <w:r>
        <w:t>database：www.ebi.ac.uk</w:t>
      </w:r>
    </w:p>
    <w:p>
      <w:r>
        <w:t>query：(TITLE_ABS:"Ri chicken" OR TITLE_ABS:"Ri chickens") AND (influenza OR MX OR BF2)</w:t>
      </w:r>
    </w:p>
    <w:p>
      <w:r>
        <w:t>filter：</w:t>
      </w:r>
    </w:p>
    <w:p>
      <w:r>
        <w:t>page_limit：1000</w:t>
      </w:r>
    </w:p>
    <w:p>
      <w:r>
        <w:t>reported_count：未记载</w:t>
      </w:r>
    </w:p>
    <w:p>
      <w:r>
        <w:t>status：200</w:t>
      </w:r>
    </w:p>
    <w:p>
      <w:r>
        <w:t>url：https://www.ebi.ac.uk/europepmc/webservices/rest/search?query=%28TITLE_ABS%3A%22Ri+chicken%22+OR+TITLE_ABS%3A%22Ri+chickens%22%29+AND+%28influenza+OR+MX+OR+BF2%29&amp;format=json&amp;resultType=core&amp;pageSize=1000</w:t>
      </w:r>
    </w:p>
    <w:p>
      <w:r>
        <w:rPr>
          <w:b/>
        </w:rPr>
        <w:t>Q055</w:t>
      </w:r>
    </w:p>
    <w:p>
      <w:r>
        <w:t>case：MX</w:t>
      </w:r>
    </w:p>
    <w:p>
      <w:r>
        <w:t>source_log：MX_R39/retrieval_first.json</w:t>
      </w:r>
    </w:p>
    <w:p>
      <w:r>
        <w:t>execution_date：未记载</w:t>
      </w:r>
    </w:p>
    <w:p>
      <w:r>
        <w:t>database：www.ebi.ac.uk</w:t>
      </w:r>
    </w:p>
    <w:p>
      <w:r>
        <w:t>query：(TITLE_ABS:MX OR TITLE_ABS:MX1 OR TITLE_ABS:S631N) AND (TITLE_ABS:chicken OR TITLE_ABS:chickens OR TITLE_ABS:poultry) AND (breeding OR selection OR progeny OR commercial) AND FIRST_PDATE:[2012-01-01 TO 2026-09-20]</w:t>
      </w:r>
    </w:p>
    <w:p>
      <w:r>
        <w:t>filter：</w:t>
      </w:r>
    </w:p>
    <w:p>
      <w:r>
        <w:t>page_limit：1000</w:t>
      </w:r>
    </w:p>
    <w:p>
      <w:r>
        <w:t>reported_count：未记载</w:t>
      </w:r>
    </w:p>
    <w:p>
      <w:r>
        <w:t>status：200</w:t>
      </w:r>
    </w:p>
    <w:p>
      <w:r>
        <w:t>url：https://www.ebi.ac.uk/europepmc/webservices/rest/search?query=%28TITLE_ABS%3AMX+OR+TITLE_ABS%3AMX1+OR+TITLE_ABS%3AS631N%29+AND+%28TITLE_ABS%3Achicken+OR+TITLE_ABS%3Achickens+OR+TITLE_ABS%3Apoultry%29+AND+%28breeding+OR+selection+OR+progeny+OR+commercial%29+AND+FIRST_PDATE%3A%5B2012-01-01+TO+2026-09-20%5D&amp;format=json&amp;resultType=core&amp;pageSize=1000</w:t>
      </w:r>
    </w:p>
    <w:p>
      <w:r>
        <w:rPr>
          <w:b/>
        </w:rPr>
        <w:t>Q056</w:t>
      </w:r>
    </w:p>
    <w:p>
      <w:r>
        <w:t>case：MX</w:t>
      </w:r>
    </w:p>
    <w:p>
      <w:r>
        <w:t>source_log：MX_R39/retrieval_first.json</w:t>
      </w:r>
    </w:p>
    <w:p>
      <w:r>
        <w:t>execution_date：未记载</w:t>
      </w:r>
    </w:p>
    <w:p>
      <w:r>
        <w:t>database：api.crossref.org</w:t>
      </w:r>
    </w:p>
    <w:p>
      <w:r>
        <w:t>query：chicken Mx S631N resistance</w:t>
      </w:r>
    </w:p>
    <w:p>
      <w:r>
        <w:t>filter：from-pub-date:2012-01-01,until-pub-date:2026-09-20</w:t>
      </w:r>
    </w:p>
    <w:p>
      <w:r>
        <w:t>page_limit：60</w:t>
      </w:r>
    </w:p>
    <w:p>
      <w:r>
        <w:t>reported_count：未记载</w:t>
      </w:r>
    </w:p>
    <w:p>
      <w:r>
        <w:t>status：200</w:t>
      </w:r>
    </w:p>
    <w:p>
      <w:r>
        <w:t>url：https://api.crossref.org/works?query.bibliographic=chicken+Mx+S631N+resistance&amp;filter=from-pub-date%3A2012-01-01%2Cuntil-pub-date%3A2026-09-20&amp;rows=60</w:t>
      </w:r>
    </w:p>
    <w:p>
      <w:r>
        <w:rPr>
          <w:b/>
        </w:rPr>
        <w:t>Q057</w:t>
      </w:r>
    </w:p>
    <w:p>
      <w:r>
        <w:t>case：MX</w:t>
      </w:r>
    </w:p>
    <w:p>
      <w:r>
        <w:t>source_log：MX_R39/retrieval_second.json</w:t>
      </w:r>
    </w:p>
    <w:p>
      <w:r>
        <w:t>execution_date：未记载</w:t>
      </w:r>
    </w:p>
    <w:p>
      <w:r>
        <w:t>database：www.ebi.ac.uk</w:t>
      </w:r>
    </w:p>
    <w:p>
      <w:r>
        <w:t>query：DOI:10.1016/j.bbrc.2012.11.053</w:t>
      </w:r>
    </w:p>
    <w:p>
      <w:r>
        <w:t>filter：</w:t>
      </w:r>
    </w:p>
    <w:p>
      <w:r>
        <w:t>page_limit：未记载</w:t>
      </w:r>
    </w:p>
    <w:p>
      <w:r>
        <w:t>reported_count：未记载</w:t>
      </w:r>
    </w:p>
    <w:p>
      <w:r>
        <w:t>status：200</w:t>
      </w:r>
    </w:p>
    <w:p>
      <w:r>
        <w:t>url：https://www.ebi.ac.uk/europepmc/webservices/rest/search?query=DOI%3A10.1016%2Fj.bbrc.2012.11.053&amp;format=json&amp;resultType=core</w:t>
      </w:r>
    </w:p>
    <w:p>
      <w:r>
        <w:rPr>
          <w:b/>
        </w:rPr>
        <w:t>Q058</w:t>
      </w:r>
    </w:p>
    <w:p>
      <w:r>
        <w:t>case：Na</w:t>
      </w:r>
    </w:p>
    <w:p>
      <w:r>
        <w:t>source_log：Na_补证_20260920/search_log.json</w:t>
      </w:r>
    </w:p>
    <w:p>
      <w:r>
        <w:t>execution_date：2026-09-20</w:t>
      </w:r>
    </w:p>
    <w:p>
      <w:r>
        <w:t>database：www.ebi.ac.uk</w:t>
      </w:r>
    </w:p>
    <w:p>
      <w:r>
        <w:t>query：DOI:10.3382/ps.2008-00002</w:t>
      </w:r>
    </w:p>
    <w:p>
      <w:r>
        <w:t>filter：</w:t>
      </w:r>
    </w:p>
    <w:p>
      <w:r>
        <w:t>page_limit：1000</w:t>
      </w:r>
    </w:p>
    <w:p>
      <w:r>
        <w:t>reported_count：1</w:t>
      </w:r>
    </w:p>
    <w:p>
      <w:r>
        <w:t>status：未记载</w:t>
      </w:r>
    </w:p>
    <w:p>
      <w:r>
        <w:t>url：https://www.ebi.ac.uk/europepmc/webservices/rest/search?query=DOI%3A10.3382%2Fps.2008-00002&amp;format=json&amp;resultType=core&amp;pageSize=1000</w:t>
      </w:r>
    </w:p>
    <w:p>
      <w:r>
        <w:rPr>
          <w:b/>
        </w:rPr>
        <w:t>Q059</w:t>
      </w:r>
    </w:p>
    <w:p>
      <w:r>
        <w:t>case：Na</w:t>
      </w:r>
    </w:p>
    <w:p>
      <w:r>
        <w:t>source_log：Na_补证_20260920/search_log.json</w:t>
      </w:r>
    </w:p>
    <w:p>
      <w:r>
        <w:t>execution_date：2026-09-20</w:t>
      </w:r>
    </w:p>
    <w:p>
      <w:r>
        <w:t>database：www.ebi.ac.uk</w:t>
      </w:r>
    </w:p>
    <w:p>
      <w:r>
        <w:t>query：DOI:10.1186/s12864-024-10965-0</w:t>
      </w:r>
    </w:p>
    <w:p>
      <w:r>
        <w:t>filter：</w:t>
      </w:r>
    </w:p>
    <w:p>
      <w:r>
        <w:t>page_limit：1000</w:t>
      </w:r>
    </w:p>
    <w:p>
      <w:r>
        <w:t>reported_count：1</w:t>
      </w:r>
    </w:p>
    <w:p>
      <w:r>
        <w:t>status：未记载</w:t>
      </w:r>
    </w:p>
    <w:p>
      <w:r>
        <w:t>url：https://www.ebi.ac.uk/europepmc/webservices/rest/search?query=DOI%3A10.1186%2Fs12864-024-10965-0&amp;format=json&amp;resultType=core&amp;pageSize=1000</w:t>
      </w:r>
    </w:p>
    <w:p>
      <w:r>
        <w:rPr>
          <w:b/>
        </w:rPr>
        <w:t>Q060</w:t>
      </w:r>
    </w:p>
    <w:p>
      <w:r>
        <w:t>case：Na</w:t>
      </w:r>
    </w:p>
    <w:p>
      <w:r>
        <w:t>source_log：Na_补证_20260920/search_log.json</w:t>
      </w:r>
    </w:p>
    <w:p>
      <w:r>
        <w:t>execution_date：2026-09-20</w:t>
      </w:r>
    </w:p>
    <w:p>
      <w:r>
        <w:t>database：www.ebi.ac.uk</w:t>
      </w:r>
    </w:p>
    <w:p>
      <w:r>
        <w:t>query：DOI:10.1016/j.psj.2025.104934</w:t>
      </w:r>
    </w:p>
    <w:p>
      <w:r>
        <w:t>filter：</w:t>
      </w:r>
    </w:p>
    <w:p>
      <w:r>
        <w:t>page_limit：1000</w:t>
      </w:r>
    </w:p>
    <w:p>
      <w:r>
        <w:t>reported_count：1</w:t>
      </w:r>
    </w:p>
    <w:p>
      <w:r>
        <w:t>status：未记载</w:t>
      </w:r>
    </w:p>
    <w:p>
      <w:r>
        <w:t>url：https://www.ebi.ac.uk/europepmc/webservices/rest/search?query=DOI%3A10.1016%2Fj.psj.2025.104934&amp;format=json&amp;resultType=core&amp;pageSize=1000</w:t>
      </w:r>
    </w:p>
    <w:p>
      <w:r>
        <w:rPr>
          <w:b/>
        </w:rPr>
        <w:t>Q061</w:t>
      </w:r>
    </w:p>
    <w:p>
      <w:r>
        <w:t>case：Na</w:t>
      </w:r>
    </w:p>
    <w:p>
      <w:r>
        <w:t>source_log：Na_补证_20260920/search_log.json</w:t>
      </w:r>
    </w:p>
    <w:p>
      <w:r>
        <w:t>execution_date：2026-09-20</w:t>
      </w:r>
    </w:p>
    <w:p>
      <w:r>
        <w:t>database：www.ebi.ac.uk</w:t>
      </w:r>
    </w:p>
    <w:p>
      <w:r>
        <w:t>query：(TITLE_ABS:"naked neck" OR TITLE_ABS:"naked-neck") AND (chicken OR chickens) AND (heat OR temperature OR performance OR hatchability OR breeding OR selection)</w:t>
      </w:r>
    </w:p>
    <w:p>
      <w:r>
        <w:t>filter：</w:t>
      </w:r>
    </w:p>
    <w:p>
      <w:r>
        <w:t>page_limit：1000</w:t>
      </w:r>
    </w:p>
    <w:p>
      <w:r>
        <w:t>reported_count：156</w:t>
      </w:r>
    </w:p>
    <w:p>
      <w:r>
        <w:t>status：未记载</w:t>
      </w:r>
    </w:p>
    <w:p>
      <w:r>
        <w:t>url：https://www.ebi.ac.uk/europepmc/webservices/rest/search?query=%28TITLE_ABS%3A%22naked+neck%22+OR+TITLE_ABS%3A%22naked-neck%22%29+AND+%28chicken+OR+chickens%29+AND+%28heat+OR+temperature+OR+performance+OR+hatchability+OR+breeding+OR+selection%29&amp;format=json&amp;resultType=core&amp;pageSize=1000</w:t>
      </w:r>
    </w:p>
    <w:p>
      <w:r>
        <w:rPr>
          <w:b/>
        </w:rPr>
        <w:t>Q062</w:t>
      </w:r>
    </w:p>
    <w:p>
      <w:r>
        <w:t>case：Na</w:t>
      </w:r>
    </w:p>
    <w:p>
      <w:r>
        <w:t>source_log：Na_补证_20260920/search_log.json</w:t>
      </w:r>
    </w:p>
    <w:p>
      <w:r>
        <w:t>execution_date：2026-09-20</w:t>
      </w:r>
    </w:p>
    <w:p>
      <w:r>
        <w:t>database：www.ebi.ac.uk</w:t>
      </w:r>
    </w:p>
    <w:p>
      <w:r>
        <w:t>query：(TITLE_ABS:"naked neck" OR TITLE_ABS:"naked-neck") AND FIRST_PDATE:[2020-01-01 TO 2026-09-20]</w:t>
      </w:r>
    </w:p>
    <w:p>
      <w:r>
        <w:t>filter：</w:t>
      </w:r>
    </w:p>
    <w:p>
      <w:r>
        <w:t>page_limit：1000</w:t>
      </w:r>
    </w:p>
    <w:p>
      <w:r>
        <w:t>reported_count：95</w:t>
      </w:r>
    </w:p>
    <w:p>
      <w:r>
        <w:t>status：未记载</w:t>
      </w:r>
    </w:p>
    <w:p>
      <w:r>
        <w:t>url：https://www.ebi.ac.uk/europepmc/webservices/rest/search?query=%28TITLE_ABS%3A%22naked+neck%22+OR+TITLE_ABS%3A%22naked-neck%22%29+AND+FIRST_PDATE%3A%5B2020-01-01+TO+2026-09-20%5D&amp;format=json&amp;resultType=core&amp;pageSize=1000</w:t>
      </w:r>
    </w:p>
    <w:p>
      <w:r>
        <w:rPr>
          <w:b/>
        </w:rPr>
        <w:t>Q063</w:t>
      </w:r>
    </w:p>
    <w:p>
      <w:r>
        <w:t>case：辅助主题/PHIP</w:t>
      </w:r>
    </w:p>
    <w:p>
      <w:r>
        <w:t>source_log：辅助主题_R45/检索记录.json</w:t>
      </w:r>
    </w:p>
    <w:p>
      <w:r>
        <w:t>execution_date：未记载</w:t>
      </w:r>
    </w:p>
    <w:p>
      <w:r>
        <w:t>database：www.ebi.ac.uk</w:t>
      </w:r>
    </w:p>
    <w:p>
      <w:r>
        <w:t>query：(chicken OR chickens) AND (Tibetan OR Tibet) AND (hypoxia OR adaptation OR cold)</w:t>
      </w:r>
    </w:p>
    <w:p>
      <w:r>
        <w:t>filter：</w:t>
      </w:r>
    </w:p>
    <w:p>
      <w:r>
        <w:t>page_limit：100</w:t>
      </w:r>
    </w:p>
    <w:p>
      <w:r>
        <w:t>reported_count：1375</w:t>
      </w:r>
    </w:p>
    <w:p>
      <w:r>
        <w:t>status：未记载</w:t>
      </w:r>
    </w:p>
    <w:p>
      <w:r>
        <w:t>url：https://www.ebi.ac.uk/europepmc/webservices/rest/search?query=%28chicken+OR+chickens%29+AND+%28Tibetan+OR+Tibet%29+AND+%28hypoxia+OR+adaptation+OR+cold%29&amp;format=json&amp;pageSize=100&amp;resultType=core</w:t>
      </w:r>
    </w:p>
    <w:p>
      <w:r>
        <w:rPr>
          <w:b/>
        </w:rPr>
        <w:t>Q064</w:t>
      </w:r>
    </w:p>
    <w:p>
      <w:r>
        <w:t>case：辅助主题/PHIP</w:t>
      </w:r>
    </w:p>
    <w:p>
      <w:r>
        <w:t>source_log：辅助主题_R45/检索记录.json</w:t>
      </w:r>
    </w:p>
    <w:p>
      <w:r>
        <w:t>execution_date：未记载</w:t>
      </w:r>
    </w:p>
    <w:p>
      <w:r>
        <w:t>database：www.ebi.ac.uk</w:t>
      </w:r>
    </w:p>
    <w:p>
      <w:r>
        <w:t>query：(chicken OR chickens) AND NCAPG</w:t>
      </w:r>
    </w:p>
    <w:p>
      <w:r>
        <w:t>filter：</w:t>
      </w:r>
    </w:p>
    <w:p>
      <w:r>
        <w:t>page_limit：100</w:t>
      </w:r>
    </w:p>
    <w:p>
      <w:r>
        <w:t>reported_count：189</w:t>
      </w:r>
    </w:p>
    <w:p>
      <w:r>
        <w:t>status：未记载</w:t>
      </w:r>
    </w:p>
    <w:p>
      <w:r>
        <w:t>url：https://www.ebi.ac.uk/europepmc/webservices/rest/search?query=%28chicken+OR+chickens%29+AND+NCAPG&amp;format=json&amp;pageSize=100&amp;resultType=core</w:t>
      </w:r>
    </w:p>
    <w:p>
      <w:r>
        <w:rPr>
          <w:b/>
        </w:rPr>
        <w:t>Q065</w:t>
      </w:r>
    </w:p>
    <w:p>
      <w:r>
        <w:t>case：辅助主题/PHIP</w:t>
      </w:r>
    </w:p>
    <w:p>
      <w:r>
        <w:t>source_log：辅助主题_R45/检索记录.json</w:t>
      </w:r>
    </w:p>
    <w:p>
      <w:r>
        <w:t>execution_date：未记载</w:t>
      </w:r>
    </w:p>
    <w:p>
      <w:r>
        <w:t>database：www.ebi.ac.uk</w:t>
      </w:r>
    </w:p>
    <w:p>
      <w:r>
        <w:t>query：(chicken OR chickens) AND PHIP</w:t>
      </w:r>
    </w:p>
    <w:p>
      <w:r>
        <w:t>filter：</w:t>
      </w:r>
    </w:p>
    <w:p>
      <w:r>
        <w:t>page_limit：100</w:t>
      </w:r>
    </w:p>
    <w:p>
      <w:r>
        <w:t>reported_count：423</w:t>
      </w:r>
    </w:p>
    <w:p>
      <w:r>
        <w:t>status：未记载</w:t>
      </w:r>
    </w:p>
    <w:p>
      <w:r>
        <w:t>url：https://www.ebi.ac.uk/europepmc/webservices/rest/search?query=%28chicken+OR+chickens%29+AND+PHIP&amp;format=json&amp;pageSize=100&amp;resultType=core</w:t>
      </w:r>
    </w:p>
    <w:p>
      <w:r>
        <w:rPr>
          <w:b/>
        </w:rPr>
        <w:t>Q066</w:t>
      </w:r>
    </w:p>
    <w:p>
      <w:r>
        <w:t>case：辅助主题/PHIP</w:t>
      </w:r>
    </w:p>
    <w:p>
      <w:r>
        <w:t>source_log：辅助主题_R45/检索记录.json</w:t>
      </w:r>
    </w:p>
    <w:p>
      <w:r>
        <w:t>execution_date：未记载</w:t>
      </w:r>
    </w:p>
    <w:p>
      <w:r>
        <w:t>database：www.ebi.ac.uk</w:t>
      </w:r>
    </w:p>
    <w:p>
      <w:r>
        <w:t>query：(chicken OR chickens) AND (GGA5 OR "1662152") AND (flavor OR flavour OR taste OR CRISPR)</w:t>
      </w:r>
    </w:p>
    <w:p>
      <w:r>
        <w:t>filter：</w:t>
      </w:r>
    </w:p>
    <w:p>
      <w:r>
        <w:t>page_limit：100</w:t>
      </w:r>
    </w:p>
    <w:p>
      <w:r>
        <w:t>reported_count：17</w:t>
      </w:r>
    </w:p>
    <w:p>
      <w:r>
        <w:t>status：未记载</w:t>
      </w:r>
    </w:p>
    <w:p>
      <w:r>
        <w:t>url：https://www.ebi.ac.uk/europepmc/webservices/rest/search?query=%28chicken+OR+chickens%29+AND+%28GGA5+OR+%221662152%22%29+AND+%28flavor+OR+flavour+OR+taste+OR+CRISPR%29&amp;format=json&amp;pageSize=100&amp;resultType=core</w:t>
      </w:r>
    </w:p>
    <w:p>
      <w:r>
        <w:rPr>
          <w:b/>
        </w:rPr>
        <w:t>Q067</w:t>
      </w:r>
    </w:p>
    <w:p>
      <w:r>
        <w:t>case：辅助主题/PHIP</w:t>
      </w:r>
    </w:p>
    <w:p>
      <w:r>
        <w:t>source_log：辅助主题_R45/聚焦检索记录.json</w:t>
      </w:r>
    </w:p>
    <w:p>
      <w:r>
        <w:t>execution_date：未记载</w:t>
      </w:r>
    </w:p>
    <w:p>
      <w:r>
        <w:t>database：www.ebi.ac.uk</w:t>
      </w:r>
    </w:p>
    <w:p>
      <w:r>
        <w:t>query：TITLE_ABS:"Tibetan chicken" AND (hypoxia OR adaptation) AND FIRST_PDATE:[1900-01-01 TO 2026-09-21]</w:t>
      </w:r>
    </w:p>
    <w:p>
      <w:r>
        <w:t>filter：</w:t>
      </w:r>
    </w:p>
    <w:p>
      <w:r>
        <w:t>page_limit：100</w:t>
      </w:r>
    </w:p>
    <w:p>
      <w:r>
        <w:t>reported_count：74</w:t>
      </w:r>
    </w:p>
    <w:p>
      <w:r>
        <w:t>status：未记载</w:t>
      </w:r>
    </w:p>
    <w:p>
      <w:r>
        <w:t>url：https://www.ebi.ac.uk/europepmc/webservices/rest/search?query=TITLE_ABS%3A%22Tibetan+chicken%22+AND+%28hypoxia+OR+adaptation%29+AND+FIRST_PDATE%3A%5B1900-01-01+TO+2026-09-21%5D&amp;format=json&amp;pageSize=100&amp;resultType=core</w:t>
      </w:r>
    </w:p>
    <w:p>
      <w:r>
        <w:rPr>
          <w:b/>
        </w:rPr>
        <w:t>Q068</w:t>
      </w:r>
    </w:p>
    <w:p>
      <w:r>
        <w:t>case：辅助主题/PHIP</w:t>
      </w:r>
    </w:p>
    <w:p>
      <w:r>
        <w:t>source_log：辅助主题_R45/聚焦检索记录.json</w:t>
      </w:r>
    </w:p>
    <w:p>
      <w:r>
        <w:t>execution_date：未记载</w:t>
      </w:r>
    </w:p>
    <w:p>
      <w:r>
        <w:t>database：www.ebi.ac.uk</w:t>
      </w:r>
    </w:p>
    <w:p>
      <w:r>
        <w:t>query：TITLE_ABS:(chicken OR chickens) AND TITLE_ABS:(cold OR freezing) AND (genomic OR selection OR adaptation) AND FIRST_PDATE:[1900-01-01 TO 2026-09-21]</w:t>
      </w:r>
    </w:p>
    <w:p>
      <w:r>
        <w:t>filter：</w:t>
      </w:r>
    </w:p>
    <w:p>
      <w:r>
        <w:t>page_limit：100</w:t>
      </w:r>
    </w:p>
    <w:p>
      <w:r>
        <w:t>reported_count：297</w:t>
      </w:r>
    </w:p>
    <w:p>
      <w:r>
        <w:t>status：未记载</w:t>
      </w:r>
    </w:p>
    <w:p>
      <w:r>
        <w:t>url：https://www.ebi.ac.uk/europepmc/webservices/rest/search?query=TITLE_ABS%3A%28chicken+OR+chickens%29+AND+TITLE_ABS%3A%28cold+OR+freezing%29+AND+%28genomic+OR+selection+OR+adaptation%29+AND+FIRST_PDATE%3A%5B1900-01-01+TO+2026-09-21%5D&amp;format=json&amp;pageSize=100&amp;resultType=core</w:t>
      </w:r>
    </w:p>
    <w:p>
      <w:r>
        <w:rPr>
          <w:b/>
        </w:rPr>
        <w:t>Q069</w:t>
      </w:r>
    </w:p>
    <w:p>
      <w:r>
        <w:t>case：辅助主题/PHIP</w:t>
      </w:r>
    </w:p>
    <w:p>
      <w:r>
        <w:t>source_log：辅助主题_R45/聚焦检索记录.json</w:t>
      </w:r>
    </w:p>
    <w:p>
      <w:r>
        <w:t>execution_date：未记载</w:t>
      </w:r>
    </w:p>
    <w:p>
      <w:r>
        <w:t>database：www.ebi.ac.uk</w:t>
      </w:r>
    </w:p>
    <w:p>
      <w:r>
        <w:t>query：TITLE_ABS:(chicken OR chickens) AND (PHIP OR "pleckstrin homology domain interacting protein") AND (gene OR GWAS) NOT TITLE_ABS:(cooking OR fried OR patties OR amines OR marinat OR grilled) AND FIRST_PDATE:[1900-01-01 TO 2026-09-21]</w:t>
      </w:r>
    </w:p>
    <w:p>
      <w:r>
        <w:t>filter：</w:t>
      </w:r>
    </w:p>
    <w:p>
      <w:r>
        <w:t>page_limit：100</w:t>
      </w:r>
    </w:p>
    <w:p>
      <w:r>
        <w:t>reported_count：5</w:t>
      </w:r>
    </w:p>
    <w:p>
      <w:r>
        <w:t>status：未记载</w:t>
      </w:r>
    </w:p>
    <w:p>
      <w:r>
        <w:t>url：https://www.ebi.ac.uk/europepmc/webservices/rest/search?query=TITLE_ABS%3A%28chicken+OR+chickens%29+AND+%28PHIP+OR+%22pleckstrin+homology+domain+interacting+protein%22%29+AND+%28gene+OR+GWAS%29+NOT+TITLE_ABS%3A%28cooking+OR+fried+OR+patties+OR+amines+OR+marinat+OR+grilled%29+AND+FIRST_PDATE%3A%5B1900-01-01+TO+2026-09-21%5D&amp;format=json&amp;pageSize=100&amp;resultType=core</w:t>
      </w:r>
    </w:p>
    <w:p>
      <w:r>
        <w:rPr>
          <w:b/>
        </w:rPr>
        <w:t>Q070</w:t>
      </w:r>
    </w:p>
    <w:p>
      <w:r>
        <w:t>case：辅助主题/PHIP</w:t>
      </w:r>
    </w:p>
    <w:p>
      <w:r>
        <w:t>source_log：辅助主题_R45/聚焦检索记录.json</w:t>
      </w:r>
    </w:p>
    <w:p>
      <w:r>
        <w:t>execution_date：未记载</w:t>
      </w:r>
    </w:p>
    <w:p>
      <w:r>
        <w:t>database：www.ebi.ac.uk</w:t>
      </w:r>
    </w:p>
    <w:p>
      <w:r>
        <w:t>query：DOI:10.3390/ani13182966</w:t>
      </w:r>
    </w:p>
    <w:p>
      <w:r>
        <w:t>filter：</w:t>
      </w:r>
    </w:p>
    <w:p>
      <w:r>
        <w:t>page_limit：100</w:t>
      </w:r>
    </w:p>
    <w:p>
      <w:r>
        <w:t>reported_count：1</w:t>
      </w:r>
    </w:p>
    <w:p>
      <w:r>
        <w:t>status：未记载</w:t>
      </w:r>
    </w:p>
    <w:p>
      <w:r>
        <w:t>url：https://www.ebi.ac.uk/europepmc/webservices/rest/search?query=DOI%3A10.3390%2Fani13182966&amp;format=json&amp;pageSize=100&amp;resultType=core</w:t>
      </w:r>
    </w:p>
    <w:p>
      <w:r>
        <w:rPr>
          <w:b/>
        </w:rPr>
        <w:t>Q071</w:t>
      </w:r>
    </w:p>
    <w:p>
      <w:r>
        <w:t>case：基因组预测</w:t>
      </w:r>
    </w:p>
    <w:p>
      <w:r>
        <w:t>source_log：功能预测_R42/retrieval_start.json</w:t>
      </w:r>
    </w:p>
    <w:p>
      <w:r>
        <w:t>execution_date：未记载</w:t>
      </w:r>
    </w:p>
    <w:p>
      <w:r>
        <w:t>database：www.ebi.ac.uk</w:t>
      </w:r>
    </w:p>
    <w:p>
      <w:r>
        <w:t>query：(chicken OR chickens OR poultry OR broiler OR layer) AND ("genomic prediction" OR "genomic selection" OR GFBLUP OR BayesRC) AND ("functional annotation" OR "functional information" OR "biological information" OR eQTL OR "gene expression" OR "regulatory" OR "functional variants") AND FIRST_PDATE:[2000-01-01 TO 2026-09-20]</w:t>
      </w:r>
    </w:p>
    <w:p>
      <w:r>
        <w:t>filter：</w:t>
      </w:r>
    </w:p>
    <w:p>
      <w:r>
        <w:t>page_limit：1000</w:t>
      </w:r>
    </w:p>
    <w:p>
      <w:r>
        <w:t>reported_count：未记载</w:t>
      </w:r>
    </w:p>
    <w:p>
      <w:r>
        <w:t>status：未记载</w:t>
      </w:r>
    </w:p>
    <w:p>
      <w:r>
        <w:t>url：https://www.ebi.ac.uk/europepmc/webservices/rest/search?query=%28chicken+OR+chickens+OR+poultry+OR+broiler+OR+layer%29+AND+%28%22genomic+prediction%22+OR+%22genomic+selection%22+OR+GFBLUP+OR+BayesRC%29+AND+%28%22functional+annotation%22+OR+%22functional+information%22+OR+%22biological+information%22+OR+eQTL+OR+%22gene+expression%22+OR+%22regulatory%22+OR+%22functional+variants%22%29+AND+FIRST_PDATE%3A%5B2000-01-01+TO+2026-09-20%5D&amp;format=json&amp;resultType=core&amp;pageSize=1000</w:t>
      </w:r>
    </w:p>
    <w:p>
      <w:r>
        <w:rPr>
          <w:b/>
        </w:rPr>
        <w:t>Q072</w:t>
      </w:r>
    </w:p>
    <w:p>
      <w:r>
        <w:t>case：基因组预测</w:t>
      </w:r>
    </w:p>
    <w:p>
      <w:r>
        <w:t>source_log：功能预测_R42/retrieval_start.json</w:t>
      </w:r>
    </w:p>
    <w:p>
      <w:r>
        <w:t>execution_date：未记载</w:t>
      </w:r>
    </w:p>
    <w:p>
      <w:r>
        <w:t>database：www.ebi.ac.uk</w:t>
      </w:r>
    </w:p>
    <w:p>
      <w:r>
        <w:t>query：(TITLE_ABS:chicken OR TITLE_ABS:chickens OR TITLE_ABS:poultry OR TITLE_ABS:broiler OR TITLE_ABS:layer) AND (TITLE_ABS:"genomic prediction" OR TITLE_ABS:"genomic selection") AND FIRST_PDATE:[2024-01-01 TO 2026-09-20]</w:t>
      </w:r>
    </w:p>
    <w:p>
      <w:r>
        <w:t>filter：</w:t>
      </w:r>
    </w:p>
    <w:p>
      <w:r>
        <w:t>page_limit：1000</w:t>
      </w:r>
    </w:p>
    <w:p>
      <w:r>
        <w:t>reported_count：未记载</w:t>
      </w:r>
    </w:p>
    <w:p>
      <w:r>
        <w:t>status：未记载</w:t>
      </w:r>
    </w:p>
    <w:p>
      <w:r>
        <w:t>url：https://www.ebi.ac.uk/europepmc/webservices/rest/search?query=%28TITLE_ABS%3Achicken+OR+TITLE_ABS%3Achickens+OR+TITLE_ABS%3Apoultry+OR+TITLE_ABS%3Abroiler+OR+TITLE_ABS%3Alayer%29+AND+%28TITLE_ABS%3A%22genomic+prediction%22+OR+TITLE_ABS%3A%22genomic+selection%22%29+AND+FIRST_PDATE%3A%5B2024-01-01+TO+2026-09-20%5D&amp;format=json&amp;resultType=core&amp;pageSize=1000</w:t>
      </w:r>
    </w:p>
    <w:p>
      <w:r>
        <w:rPr>
          <w:b/>
        </w:rPr>
        <w:t>Q073</w:t>
      </w:r>
    </w:p>
    <w:p>
      <w:r>
        <w:t>case：基因组预测</w:t>
      </w:r>
    </w:p>
    <w:p>
      <w:r>
        <w:t>source_log：功能预测_R42/retrieval_start.json</w:t>
      </w:r>
    </w:p>
    <w:p>
      <w:r>
        <w:t>execution_date：未记载</w:t>
      </w:r>
    </w:p>
    <w:p>
      <w:r>
        <w:t>database：www.ebi.ac.uk</w:t>
      </w:r>
    </w:p>
    <w:p>
      <w:r>
        <w:t>query：("genomic prediction" OR "genomic selection") AND ("functional annotation" OR "functional information" OR "regulatory variants") AND (livestock OR cattle OR pig) AND FIRST_PDATE:[2024-01-01 TO 2026-09-20]</w:t>
      </w:r>
    </w:p>
    <w:p>
      <w:r>
        <w:t>filter：</w:t>
      </w:r>
    </w:p>
    <w:p>
      <w:r>
        <w:t>page_limit：1000</w:t>
      </w:r>
    </w:p>
    <w:p>
      <w:r>
        <w:t>reported_count：未记载</w:t>
      </w:r>
    </w:p>
    <w:p>
      <w:r>
        <w:t>status：未记载</w:t>
      </w:r>
    </w:p>
    <w:p>
      <w:r>
        <w:t>url：https://www.ebi.ac.uk/europepmc/webservices/rest/search?query=%28%22genomic+prediction%22+OR+%22genomic+selection%22%29+AND+%28%22functional+annotation%22+OR+%22functional+information%22+OR+%22regulatory+variants%22%29+AND+%28livestock+OR+cattle+OR+pig%29+AND+FIRST_PDATE%3A%5B2024-01-01+TO+2026-09-20%5D&amp;format=json&amp;resultType=core&amp;pageSize=1000</w:t>
      </w:r>
    </w:p>
    <w:p>
      <w:r>
        <w:rPr>
          <w:b/>
        </w:rPr>
        <w:t>Q074</w:t>
      </w:r>
    </w:p>
    <w:p>
      <w:r>
        <w:t>case：基因组预测</w:t>
      </w:r>
    </w:p>
    <w:p>
      <w:r>
        <w:t>source_log：功能预测_R42/retrieval_start.json</w:t>
      </w:r>
    </w:p>
    <w:p>
      <w:r>
        <w:t>execution_date：未记载</w:t>
      </w:r>
    </w:p>
    <w:p>
      <w:r>
        <w:t>database：api.crossref.org</w:t>
      </w:r>
    </w:p>
    <w:p>
      <w:r>
        <w:t>query：chicken genomic prediction functional annotation eQTL</w:t>
      </w:r>
    </w:p>
    <w:p>
      <w:r>
        <w:t>filter：type:journal-article,from-pub-date:2015-01-01,until-pub-date:2026-09-20</w:t>
      </w:r>
    </w:p>
    <w:p>
      <w:r>
        <w:t>page_limit：40</w:t>
      </w:r>
    </w:p>
    <w:p>
      <w:r>
        <w:t>reported_count：未记载</w:t>
      </w:r>
    </w:p>
    <w:p>
      <w:r>
        <w:t>status：未记载</w:t>
      </w:r>
    </w:p>
    <w:p>
      <w:r>
        <w:t>url：https://api.crossref.org/works?query.bibliographic=chicken+genomic+prediction+functional+annotation+eQTL&amp;filter=type%3Ajournal-article%2Cfrom-pub-date%3A2015-01-01%2Cuntil-pub-date%3A2026-09-20&amp;rows=40</w:t>
      </w:r>
    </w:p>
    <w:p>
      <w:r>
        <w:rPr>
          <w:b/>
        </w:rPr>
        <w:t>Q075</w:t>
      </w:r>
    </w:p>
    <w:p>
      <w:r>
        <w:t>case：相邻框架</w:t>
      </w:r>
    </w:p>
    <w:p>
      <w:r>
        <w:t>source_log：相邻框架_R67重核/retrieval_log.json</w:t>
      </w:r>
    </w:p>
    <w:p>
      <w:r>
        <w:t>execution_date：未记载</w:t>
      </w:r>
    </w:p>
    <w:p>
      <w:r>
        <w:t>database：www.ebi.ac.uk</w:t>
      </w:r>
    </w:p>
    <w:p>
      <w:r>
        <w:t>query：DOI:10.1186/s41065-023-00285-w</w:t>
      </w:r>
    </w:p>
    <w:p>
      <w:r>
        <w:t>filter：</w:t>
      </w:r>
    </w:p>
    <w:p>
      <w:r>
        <w:t>page_limit：50</w:t>
      </w:r>
    </w:p>
    <w:p>
      <w:r>
        <w:t>reported_count：未记载</w:t>
      </w:r>
    </w:p>
    <w:p>
      <w:r>
        <w:t>status：200</w:t>
      </w:r>
    </w:p>
    <w:p>
      <w:r>
        <w:t>url：https://www.ebi.ac.uk/europepmc/webservices/rest/search?query=DOI%3A10.1186%2Fs41065-023-00285-w&amp;format=json&amp;resultType=core&amp;pageSize=50</w:t>
      </w:r>
    </w:p>
    <w:p>
      <w:r>
        <w:rPr>
          <w:b/>
        </w:rPr>
        <w:t>Q076</w:t>
      </w:r>
    </w:p>
    <w:p>
      <w:r>
        <w:t>case：相邻框架</w:t>
      </w:r>
    </w:p>
    <w:p>
      <w:r>
        <w:t>source_log：相邻框架_R67重核/retrieval_log.json</w:t>
      </w:r>
    </w:p>
    <w:p>
      <w:r>
        <w:t>execution_date：未记载</w:t>
      </w:r>
    </w:p>
    <w:p>
      <w:r>
        <w:t>database：www.ebi.ac.uk</w:t>
      </w:r>
    </w:p>
    <w:p>
      <w:r>
        <w:t>query：DOI:10.24072/pcjournal.300</w:t>
      </w:r>
    </w:p>
    <w:p>
      <w:r>
        <w:t>filter：</w:t>
      </w:r>
    </w:p>
    <w:p>
      <w:r>
        <w:t>page_limit：50</w:t>
      </w:r>
    </w:p>
    <w:p>
      <w:r>
        <w:t>reported_count：未记载</w:t>
      </w:r>
    </w:p>
    <w:p>
      <w:r>
        <w:t>status：200</w:t>
      </w:r>
    </w:p>
    <w:p>
      <w:r>
        <w:t>url：https://www.ebi.ac.uk/europepmc/webservices/rest/search?query=DOI%3A10.24072%2Fpcjournal.300&amp;format=json&amp;resultType=core&amp;pageSize=50</w:t>
      </w:r>
    </w:p>
    <w:p>
      <w:r>
        <w:rPr>
          <w:b/>
        </w:rPr>
        <w:t>Q077</w:t>
      </w:r>
    </w:p>
    <w:p>
      <w:r>
        <w:t>case：相邻框架</w:t>
      </w:r>
    </w:p>
    <w:p>
      <w:r>
        <w:t>source_log：相邻框架_R67重核/retrieval_log.json</w:t>
      </w:r>
    </w:p>
    <w:p>
      <w:r>
        <w:t>execution_date：未记载</w:t>
      </w:r>
    </w:p>
    <w:p>
      <w:r>
        <w:t>database：www.ebi.ac.uk</w:t>
      </w:r>
    </w:p>
    <w:p>
      <w:r>
        <w:t>query：DOI:10.3390/agriculture12101713</w:t>
      </w:r>
    </w:p>
    <w:p>
      <w:r>
        <w:t>filter：</w:t>
      </w:r>
    </w:p>
    <w:p>
      <w:r>
        <w:t>page_limit：50</w:t>
      </w:r>
    </w:p>
    <w:p>
      <w:r>
        <w:t>reported_count：未记载</w:t>
      </w:r>
    </w:p>
    <w:p>
      <w:r>
        <w:t>status：200</w:t>
      </w:r>
    </w:p>
    <w:p>
      <w:r>
        <w:t>url：https://www.ebi.ac.uk/europepmc/webservices/rest/search?query=DOI%3A10.3390%2Fagriculture12101713&amp;format=json&amp;resultType=core&amp;pageSize=50</w:t>
      </w:r>
    </w:p>
    <w:p>
      <w:r>
        <w:rPr>
          <w:b/>
        </w:rPr>
        <w:t>Q078</w:t>
      </w:r>
    </w:p>
    <w:p>
      <w:r>
        <w:t>case：相邻框架</w:t>
      </w:r>
    </w:p>
    <w:p>
      <w:r>
        <w:t>source_log：相邻框架_R67重核/retrieval_log.json</w:t>
      </w:r>
    </w:p>
    <w:p>
      <w:r>
        <w:t>execution_date：未记载</w:t>
      </w:r>
    </w:p>
    <w:p>
      <w:r>
        <w:t>database：www.ebi.ac.uk</w:t>
      </w:r>
    </w:p>
    <w:p>
      <w:r>
        <w:t>query：TITLE:"Commercial application of marker- and gene-assisted selection in livestock"</w:t>
      </w:r>
    </w:p>
    <w:p>
      <w:r>
        <w:t>filter：</w:t>
      </w:r>
    </w:p>
    <w:p>
      <w:r>
        <w:t>page_limit：50</w:t>
      </w:r>
    </w:p>
    <w:p>
      <w:r>
        <w:t>reported_count：未记载</w:t>
      </w:r>
    </w:p>
    <w:p>
      <w:r>
        <w:t>status：200</w:t>
      </w:r>
    </w:p>
    <w:p>
      <w:r>
        <w:t>url：https://www.ebi.ac.uk/europepmc/webservices/rest/search?query=TITLE%3A%22Commercial+application+of+marker-+and+gene-assisted+selection+in+livestock%22&amp;format=json&amp;resultType=core&amp;pageSize=50</w:t>
      </w:r>
    </w:p>
    <w:p>
      <w:r>
        <w:rPr>
          <w:b/>
        </w:rPr>
        <w:t>Q079</w:t>
      </w:r>
    </w:p>
    <w:p>
      <w:r>
        <w:t>case：相邻框架</w:t>
      </w:r>
    </w:p>
    <w:p>
      <w:r>
        <w:t>source_log：相邻框架_R67重核/retrieval_log.json</w:t>
      </w:r>
    </w:p>
    <w:p>
      <w:r>
        <w:t>execution_date：未记载</w:t>
      </w:r>
    </w:p>
    <w:p>
      <w:r>
        <w:t>database：www.ebi.ac.uk</w:t>
      </w:r>
    </w:p>
    <w:p>
      <w:r>
        <w:t>query：(livestock OR poultry OR chicken) AND ("causal variants" OR "causal interpretation") AND (review OR framework) AND FIRST_PDATE:[2022-01-01 TO 2026-09-21]</w:t>
      </w:r>
    </w:p>
    <w:p>
      <w:r>
        <w:t>filter：</w:t>
      </w:r>
    </w:p>
    <w:p>
      <w:r>
        <w:t>page_limit：50</w:t>
      </w:r>
    </w:p>
    <w:p>
      <w:r>
        <w:t>reported_count：未记载</w:t>
      </w:r>
    </w:p>
    <w:p>
      <w:r>
        <w:t>status：200</w:t>
      </w:r>
    </w:p>
    <w:p>
      <w:r>
        <w:t>url：https://www.ebi.ac.uk/europepmc/webservices/rest/search?query=%28livestock+OR+poultry+OR+chicken%29+AND+%28%22causal+variants%22+OR+%22causal+interpretation%22%29+AND+%28review+OR+framework%29+AND+FIRST_PDATE%3A%5B2022-01-01+TO+2026-09-21%5D&amp;format=json&amp;resultType=core&amp;pageSize=50</w:t>
      </w:r>
    </w:p>
    <w:p>
      <w:r>
        <w:rPr>
          <w:b/>
        </w:rPr>
        <w:t>Q080</w:t>
      </w:r>
    </w:p>
    <w:p>
      <w:r>
        <w:t>case：相邻框架</w:t>
      </w:r>
    </w:p>
    <w:p>
      <w:r>
        <w:t>source_log：相邻框架_R67重核/retrieval_log.json</w:t>
      </w:r>
    </w:p>
    <w:p>
      <w:r>
        <w:t>execution_date：未记载</w:t>
      </w:r>
    </w:p>
    <w:p>
      <w:r>
        <w:t>database：api.crossref.org</w:t>
      </w:r>
    </w:p>
    <w:p>
      <w:r>
        <w:t>query：Commercial application of marker- and gene-assisted selection in livestock: strategies and lessons</w:t>
      </w:r>
    </w:p>
    <w:p>
      <w:r>
        <w:t>filter：</w:t>
      </w:r>
    </w:p>
    <w:p>
      <w:r>
        <w:t>page_limit：3</w:t>
      </w:r>
    </w:p>
    <w:p>
      <w:r>
        <w:t>reported_count：未记载</w:t>
      </w:r>
    </w:p>
    <w:p>
      <w:r>
        <w:t>status：200</w:t>
      </w:r>
    </w:p>
    <w:p>
      <w:r>
        <w:t>url：https://api.crossref.org/works?query.title=Commercial+application+of+marker-+and+gene-assisted+selection+in+livestock%3A+strategies+and+lessons&amp;rows=3</w:t>
      </w:r>
    </w:p>
    <w:p>
      <w:r>
        <w:rPr>
          <w:b/>
        </w:rPr>
        <w:t>Q081</w:t>
      </w:r>
    </w:p>
    <w:p>
      <w:r>
        <w:t>case：近期调控图谱</w:t>
      </w:r>
    </w:p>
    <w:p>
      <w:r>
        <w:t>source_log：R68_E01高级互交调控图谱/retrieval_log.json</w:t>
      </w:r>
    </w:p>
    <w:p>
      <w:r>
        <w:t>execution_date：2026-09-22</w:t>
      </w:r>
    </w:p>
    <w:p>
      <w:r>
        <w:t>database：www.ebi.ac.uk</w:t>
      </w:r>
    </w:p>
    <w:p>
      <w:r>
        <w:t>query：EXT_ID:40593639 AND SRC:MED</w:t>
      </w:r>
    </w:p>
    <w:p>
      <w:r>
        <w:t>filter：</w:t>
      </w:r>
    </w:p>
    <w:p>
      <w:r>
        <w:t>page_limit：未记载</w:t>
      </w:r>
    </w:p>
    <w:p>
      <w:r>
        <w:t>reported_count：未记载</w:t>
      </w:r>
    </w:p>
    <w:p>
      <w:r>
        <w:t>status：未记载</w:t>
      </w:r>
    </w:p>
    <w:p>
      <w:r>
        <w:t>url：https://www.ebi.ac.uk/europepmc/webservices/rest/search?query=EXT_ID:40593639%20AND%20SRC:MED&amp;format=json&amp;resultType=core</w:t>
      </w:r>
    </w:p>
    <w:p>
      <w:r>
        <w:rPr>
          <w:b/>
        </w:rPr>
        <w:t>Q082</w:t>
      </w:r>
    </w:p>
    <w:p>
      <w:r>
        <w:t>case：近期调控图谱</w:t>
      </w:r>
    </w:p>
    <w:p>
      <w:r>
        <w:t>source_log：R68_E02泛三维基因组/retrieval_log.json</w:t>
      </w:r>
    </w:p>
    <w:p>
      <w:r>
        <w:t>execution_date：2026-09-22</w:t>
      </w:r>
    </w:p>
    <w:p>
      <w:r>
        <w:t>database：www.ebi.ac.uk</w:t>
      </w:r>
    </w:p>
    <w:p>
      <w:r>
        <w:t>query：EXT_ID:41691473 AND SRC:MED</w:t>
      </w:r>
    </w:p>
    <w:p>
      <w:r>
        <w:t>filter：</w:t>
      </w:r>
    </w:p>
    <w:p>
      <w:r>
        <w:t>page_limit：未记载</w:t>
      </w:r>
    </w:p>
    <w:p>
      <w:r>
        <w:t>reported_count：未记载</w:t>
      </w:r>
    </w:p>
    <w:p>
      <w:r>
        <w:t>status：200</w:t>
      </w:r>
    </w:p>
    <w:p>
      <w:r>
        <w:t>url：https://www.ebi.ac.uk/europepmc/webservices/rest/search?query=EXT_ID:41691473%20AND%20SRC:MED&amp;format=json&amp;resultType=core</w:t>
      </w:r>
    </w:p>
    <w:p>
      <w:pPr>
        <w:pStyle w:val="Heading2"/>
      </w:pPr>
      <w:r>
        <w:t>S4附件：来源日志索引</w:t>
      </w:r>
    </w:p>
    <w:p>
      <w:r>
        <w:t xml:space="preserve">以下为 </w:t>
      </w:r>
      <w:r>
        <w:t>S4_来源日志索引.json</w:t>
      </w:r>
      <w:r>
        <w:t xml:space="preserve"> 的完整索引；SHA256用于对应原始来源日志。</w:t>
      </w:r>
    </w:p>
    <w:tbl>
      <w:tblPr>
        <w:tblStyle w:val="TableGrid"/>
        <w:tblW w:type="auto" w:w="0"/>
        <w:tblLayout w:type="fixed"/>
        <w:tblLook w:firstColumn="1" w:firstRow="1" w:lastColumn="0" w:lastRow="0" w:noHBand="0" w:noVBand="1" w:val="04A0"/>
      </w:tblPr>
      <w:tblGrid>
        <w:gridCol w:w="2394"/>
        <w:gridCol w:w="3292"/>
        <w:gridCol w:w="4788"/>
        <w:gridCol w:w="4488"/>
      </w:tblGrid>
      <w:tr>
        <w:trPr>
          <w:tblHeader/>
        </w:trPr>
        <w:tc>
          <w:tcPr>
            <w:tcW w:type="dxa" w:w="2394"/>
            <w:shd w:fill="E8EDF2"/>
          </w:tcPr>
          <w:p>
            <w:pPr>
              <w:spacing w:line="264" w:lineRule="auto" w:after="80" w:before="80"/>
            </w:pPr>
            <w:r>
              <w:rPr>
                <w:b/>
                <w:sz w:val="18"/>
              </w:rPr>
              <w:t>case</w:t>
            </w:r>
          </w:p>
        </w:tc>
        <w:tc>
          <w:tcPr>
            <w:tcW w:type="dxa" w:w="3292"/>
            <w:shd w:fill="E8EDF2"/>
          </w:tcPr>
          <w:p>
            <w:pPr>
              <w:spacing w:line="264" w:lineRule="auto" w:after="80" w:before="80"/>
            </w:pPr>
            <w:r>
              <w:rPr>
                <w:b/>
                <w:sz w:val="18"/>
              </w:rPr>
              <w:t>source_log</w:t>
            </w:r>
          </w:p>
        </w:tc>
        <w:tc>
          <w:tcPr>
            <w:tcW w:type="dxa" w:w="4788"/>
            <w:shd w:fill="E8EDF2"/>
          </w:tcPr>
          <w:p>
            <w:pPr>
              <w:spacing w:line="264" w:lineRule="auto" w:after="80" w:before="80"/>
            </w:pPr>
            <w:r>
              <w:rPr>
                <w:b/>
                <w:sz w:val="18"/>
              </w:rPr>
              <w:t>sha256</w:t>
            </w:r>
          </w:p>
        </w:tc>
        <w:tc>
          <w:tcPr>
            <w:tcW w:type="dxa" w:w="4488"/>
            <w:shd w:fill="E8EDF2"/>
          </w:tcPr>
          <w:p>
            <w:pPr>
              <w:spacing w:line="264" w:lineRule="auto" w:after="80" w:before="80"/>
            </w:pPr>
            <w:r>
              <w:rPr>
                <w:b/>
                <w:sz w:val="18"/>
              </w:rPr>
              <w:t>exported_queries</w:t>
            </w:r>
          </w:p>
        </w:tc>
      </w:tr>
      <w:tr>
        <w:tc>
          <w:tcPr>
            <w:tcW w:type="dxa" w:w="2394"/>
          </w:tcPr>
          <w:p>
            <w:pPr>
              <w:spacing w:line="264" w:lineRule="auto" w:after="80" w:before="80"/>
            </w:pPr>
            <w:r>
              <w:rPr>
                <w:sz w:val="18"/>
              </w:rPr>
              <w:t>CCKAR</w:t>
            </w:r>
          </w:p>
        </w:tc>
        <w:tc>
          <w:tcPr>
            <w:tcW w:type="dxa" w:w="3292"/>
          </w:tcPr>
          <w:p>
            <w:pPr>
              <w:spacing w:line="264" w:lineRule="auto" w:after="80" w:before="80"/>
            </w:pPr>
            <w:r>
              <w:rPr>
                <w:sz w:val="18"/>
              </w:rPr>
              <w:t>CCKAR_近期检索_20260920/queries.json</w:t>
            </w:r>
          </w:p>
        </w:tc>
        <w:tc>
          <w:tcPr>
            <w:tcW w:type="dxa" w:w="4788"/>
          </w:tcPr>
          <w:p>
            <w:pPr>
              <w:spacing w:line="264" w:lineRule="auto" w:after="80" w:before="80"/>
            </w:pPr>
            <w:r>
              <w:rPr>
                <w:sz w:val="18"/>
              </w:rPr>
              <w:t>33a7ce1f7e2ff0fb81d44e96d6a6f6f63421ef683875481c42c824e263a879ce</w:t>
            </w:r>
          </w:p>
        </w:tc>
        <w:tc>
          <w:tcPr>
            <w:tcW w:type="dxa" w:w="4488"/>
          </w:tcPr>
          <w:p>
            <w:pPr>
              <w:spacing w:line="264" w:lineRule="auto" w:after="80" w:before="80"/>
            </w:pPr>
            <w:r>
              <w:rPr>
                <w:sz w:val="18"/>
              </w:rPr>
              <w:t>5</w:t>
            </w:r>
          </w:p>
        </w:tc>
      </w:tr>
      <w:tr>
        <w:tc>
          <w:tcPr>
            <w:tcW w:type="dxa" w:w="2394"/>
          </w:tcPr>
          <w:p>
            <w:pPr>
              <w:spacing w:line="264" w:lineRule="auto" w:after="80" w:before="80"/>
            </w:pPr>
            <w:r>
              <w:rPr>
                <w:sz w:val="18"/>
              </w:rPr>
              <w:t>CCKAR</w:t>
            </w:r>
          </w:p>
        </w:tc>
        <w:tc>
          <w:tcPr>
            <w:tcW w:type="dxa" w:w="3292"/>
          </w:tcPr>
          <w:p>
            <w:pPr>
              <w:spacing w:line="264" w:lineRule="auto" w:after="80" w:before="80"/>
            </w:pPr>
            <w:r>
              <w:rPr>
                <w:sz w:val="18"/>
              </w:rPr>
              <w:t>CCKAR_近期检索_20260920/citation_queries.json</w:t>
            </w:r>
          </w:p>
        </w:tc>
        <w:tc>
          <w:tcPr>
            <w:tcW w:type="dxa" w:w="4788"/>
          </w:tcPr>
          <w:p>
            <w:pPr>
              <w:spacing w:line="264" w:lineRule="auto" w:after="80" w:before="80"/>
            </w:pPr>
            <w:r>
              <w:rPr>
                <w:sz w:val="18"/>
              </w:rPr>
              <w:t>26e37d5179a46757018b9e9ea13f6c0e9ed8cd40eedc376918bcd15ff79b9639</w:t>
            </w:r>
          </w:p>
        </w:tc>
        <w:tc>
          <w:tcPr>
            <w:tcW w:type="dxa" w:w="4488"/>
          </w:tcPr>
          <w:p>
            <w:pPr>
              <w:spacing w:line="264" w:lineRule="auto" w:after="80" w:before="80"/>
            </w:pPr>
            <w:r>
              <w:rPr>
                <w:sz w:val="18"/>
              </w:rPr>
              <w:t>5</w:t>
            </w:r>
          </w:p>
        </w:tc>
      </w:tr>
      <w:tr>
        <w:tc>
          <w:tcPr>
            <w:tcW w:type="dxa" w:w="2394"/>
          </w:tcPr>
          <w:p>
            <w:pPr>
              <w:spacing w:line="264" w:lineRule="auto" w:after="80" w:before="80"/>
            </w:pPr>
            <w:r>
              <w:rPr>
                <w:sz w:val="18"/>
              </w:rPr>
              <w:t>IGF2BP1</w:t>
            </w:r>
          </w:p>
        </w:tc>
        <w:tc>
          <w:tcPr>
            <w:tcW w:type="dxa" w:w="3292"/>
          </w:tcPr>
          <w:p>
            <w:pPr>
              <w:spacing w:line="264" w:lineRule="auto" w:after="80" w:before="80"/>
            </w:pPr>
            <w:r>
              <w:rPr>
                <w:sz w:val="18"/>
              </w:rPr>
              <w:t>IGF2BP1_R29/queries.json</w:t>
            </w:r>
          </w:p>
        </w:tc>
        <w:tc>
          <w:tcPr>
            <w:tcW w:type="dxa" w:w="4788"/>
          </w:tcPr>
          <w:p>
            <w:pPr>
              <w:spacing w:line="264" w:lineRule="auto" w:after="80" w:before="80"/>
            </w:pPr>
            <w:r>
              <w:rPr>
                <w:sz w:val="18"/>
              </w:rPr>
              <w:t>7aff8f91f870a63542f5416f81d9377c9a1f54eafc47697bc904a2435eef0b9e</w:t>
            </w:r>
          </w:p>
        </w:tc>
        <w:tc>
          <w:tcPr>
            <w:tcW w:type="dxa" w:w="4488"/>
          </w:tcPr>
          <w:p>
            <w:pPr>
              <w:spacing w:line="264" w:lineRule="auto" w:after="80" w:before="80"/>
            </w:pPr>
            <w:r>
              <w:rPr>
                <w:sz w:val="18"/>
              </w:rPr>
              <w:t>4</w:t>
            </w:r>
          </w:p>
        </w:tc>
      </w:tr>
      <w:tr>
        <w:tc>
          <w:tcPr>
            <w:tcW w:type="dxa" w:w="2394"/>
          </w:tcPr>
          <w:p>
            <w:pPr>
              <w:spacing w:line="264" w:lineRule="auto" w:after="80" w:before="80"/>
            </w:pPr>
            <w:r>
              <w:rPr>
                <w:sz w:val="18"/>
              </w:rPr>
              <w:t>rs734209466</w:t>
            </w:r>
          </w:p>
        </w:tc>
        <w:tc>
          <w:tcPr>
            <w:tcW w:type="dxa" w:w="3292"/>
          </w:tcPr>
          <w:p>
            <w:pPr>
              <w:spacing w:line="264" w:lineRule="auto" w:after="80" w:before="80"/>
            </w:pPr>
            <w:r>
              <w:rPr>
                <w:sz w:val="18"/>
              </w:rPr>
              <w:t>rs734209466_R31/search_log.json</w:t>
            </w:r>
          </w:p>
        </w:tc>
        <w:tc>
          <w:tcPr>
            <w:tcW w:type="dxa" w:w="4788"/>
          </w:tcPr>
          <w:p>
            <w:pPr>
              <w:spacing w:line="264" w:lineRule="auto" w:after="80" w:before="80"/>
            </w:pPr>
            <w:r>
              <w:rPr>
                <w:sz w:val="18"/>
              </w:rPr>
              <w:t>2f19031473dd79e323a81ff352e8dbc7b291f4246b168cc09f07fc8852153032</w:t>
            </w:r>
          </w:p>
        </w:tc>
        <w:tc>
          <w:tcPr>
            <w:tcW w:type="dxa" w:w="4488"/>
          </w:tcPr>
          <w:p>
            <w:pPr>
              <w:spacing w:line="264" w:lineRule="auto" w:after="80" w:before="80"/>
            </w:pPr>
            <w:r>
              <w:rPr>
                <w:sz w:val="18"/>
              </w:rPr>
              <w:t>5</w:t>
            </w:r>
          </w:p>
        </w:tc>
      </w:tr>
      <w:tr>
        <w:tc>
          <w:tcPr>
            <w:tcW w:type="dxa" w:w="2394"/>
          </w:tcPr>
          <w:p>
            <w:pPr>
              <w:spacing w:line="264" w:lineRule="auto" w:after="80" w:before="80"/>
            </w:pPr>
            <w:r>
              <w:rPr>
                <w:sz w:val="18"/>
              </w:rPr>
              <w:t>PHKG1</w:t>
            </w:r>
          </w:p>
        </w:tc>
        <w:tc>
          <w:tcPr>
            <w:tcW w:type="dxa" w:w="3292"/>
          </w:tcPr>
          <w:p>
            <w:pPr>
              <w:spacing w:line="264" w:lineRule="auto" w:after="80" w:before="80"/>
            </w:pPr>
            <w:r>
              <w:rPr>
                <w:sz w:val="18"/>
              </w:rPr>
              <w:t>PHKG1_R31/search_log.json</w:t>
            </w:r>
          </w:p>
        </w:tc>
        <w:tc>
          <w:tcPr>
            <w:tcW w:type="dxa" w:w="4788"/>
          </w:tcPr>
          <w:p>
            <w:pPr>
              <w:spacing w:line="264" w:lineRule="auto" w:after="80" w:before="80"/>
            </w:pPr>
            <w:r>
              <w:rPr>
                <w:sz w:val="18"/>
              </w:rPr>
              <w:t>671bcc871d7575551ecffb6cb287d9c29019fbdab9611e92a9841ed92f09843d</w:t>
            </w:r>
          </w:p>
        </w:tc>
        <w:tc>
          <w:tcPr>
            <w:tcW w:type="dxa" w:w="4488"/>
          </w:tcPr>
          <w:p>
            <w:pPr>
              <w:spacing w:line="264" w:lineRule="auto" w:after="80" w:before="80"/>
            </w:pPr>
            <w:r>
              <w:rPr>
                <w:sz w:val="18"/>
              </w:rPr>
              <w:t>6</w:t>
            </w:r>
          </w:p>
        </w:tc>
      </w:tr>
      <w:tr>
        <w:tc>
          <w:tcPr>
            <w:tcW w:type="dxa" w:w="2394"/>
          </w:tcPr>
          <w:p>
            <w:pPr>
              <w:spacing w:line="264" w:lineRule="auto" w:after="80" w:before="80"/>
            </w:pPr>
            <w:r>
              <w:rPr>
                <w:sz w:val="18"/>
              </w:rPr>
              <w:t>FMO3</w:t>
            </w:r>
          </w:p>
        </w:tc>
        <w:tc>
          <w:tcPr>
            <w:tcW w:type="dxa" w:w="3292"/>
          </w:tcPr>
          <w:p>
            <w:pPr>
              <w:spacing w:line="264" w:lineRule="auto" w:after="80" w:before="80"/>
            </w:pPr>
            <w:r>
              <w:rPr>
                <w:sz w:val="18"/>
              </w:rPr>
              <w:t>FMO3_补证_20260920/search_log.json</w:t>
            </w:r>
          </w:p>
        </w:tc>
        <w:tc>
          <w:tcPr>
            <w:tcW w:type="dxa" w:w="4788"/>
          </w:tcPr>
          <w:p>
            <w:pPr>
              <w:spacing w:line="264" w:lineRule="auto" w:after="80" w:before="80"/>
            </w:pPr>
            <w:r>
              <w:rPr>
                <w:sz w:val="18"/>
              </w:rPr>
              <w:t>a82f938098519c9ac76cdee4ab5bc71d53756ada3e134268d6d9138f82d38a6a</w:t>
            </w:r>
          </w:p>
        </w:tc>
        <w:tc>
          <w:tcPr>
            <w:tcW w:type="dxa" w:w="4488"/>
          </w:tcPr>
          <w:p>
            <w:pPr>
              <w:spacing w:line="264" w:lineRule="auto" w:after="80" w:before="80"/>
            </w:pPr>
            <w:r>
              <w:rPr>
                <w:sz w:val="18"/>
              </w:rPr>
              <w:t>6</w:t>
            </w:r>
          </w:p>
        </w:tc>
      </w:tr>
      <w:tr>
        <w:tc>
          <w:tcPr>
            <w:tcW w:type="dxa" w:w="2394"/>
          </w:tcPr>
          <w:p>
            <w:pPr>
              <w:spacing w:line="264" w:lineRule="auto" w:after="80" w:before="80"/>
            </w:pPr>
            <w:r>
              <w:rPr>
                <w:sz w:val="18"/>
              </w:rPr>
              <w:t>FMO3</w:t>
            </w:r>
          </w:p>
        </w:tc>
        <w:tc>
          <w:tcPr>
            <w:tcW w:type="dxa" w:w="3292"/>
          </w:tcPr>
          <w:p>
            <w:pPr>
              <w:spacing w:line="264" w:lineRule="auto" w:after="80" w:before="80"/>
            </w:pPr>
            <w:r>
              <w:rPr>
                <w:sz w:val="18"/>
              </w:rPr>
              <w:t>FMO3_补证_20260920/pubmed_extra_log.json</w:t>
            </w:r>
          </w:p>
        </w:tc>
        <w:tc>
          <w:tcPr>
            <w:tcW w:type="dxa" w:w="4788"/>
          </w:tcPr>
          <w:p>
            <w:pPr>
              <w:spacing w:line="264" w:lineRule="auto" w:after="80" w:before="80"/>
            </w:pPr>
            <w:r>
              <w:rPr>
                <w:sz w:val="18"/>
              </w:rPr>
              <w:t>00a3a0d501591ed84fa41b8f24e4aa8a781fded93598641376d13e308842904c</w:t>
            </w:r>
          </w:p>
        </w:tc>
        <w:tc>
          <w:tcPr>
            <w:tcW w:type="dxa" w:w="4488"/>
          </w:tcPr>
          <w:p>
            <w:pPr>
              <w:spacing w:line="264" w:lineRule="auto" w:after="80" w:before="80"/>
            </w:pPr>
            <w:r>
              <w:rPr>
                <w:sz w:val="18"/>
              </w:rPr>
              <w:t>1</w:t>
            </w:r>
          </w:p>
        </w:tc>
      </w:tr>
      <w:tr>
        <w:tc>
          <w:tcPr>
            <w:tcW w:type="dxa" w:w="2394"/>
          </w:tcPr>
          <w:p>
            <w:pPr>
              <w:spacing w:line="264" w:lineRule="auto" w:after="80" w:before="80"/>
            </w:pPr>
            <w:r>
              <w:rPr>
                <w:sz w:val="18"/>
              </w:rPr>
              <w:t>SLCO1B3</w:t>
            </w:r>
          </w:p>
        </w:tc>
        <w:tc>
          <w:tcPr>
            <w:tcW w:type="dxa" w:w="3292"/>
          </w:tcPr>
          <w:p>
            <w:pPr>
              <w:spacing w:line="264" w:lineRule="auto" w:after="80" w:before="80"/>
            </w:pPr>
            <w:r>
              <w:rPr>
                <w:sz w:val="18"/>
              </w:rPr>
              <w:t>SLCO1B3_R41/retrieval_start.json</w:t>
            </w:r>
          </w:p>
        </w:tc>
        <w:tc>
          <w:tcPr>
            <w:tcW w:type="dxa" w:w="4788"/>
          </w:tcPr>
          <w:p>
            <w:pPr>
              <w:spacing w:line="264" w:lineRule="auto" w:after="80" w:before="80"/>
            </w:pPr>
            <w:r>
              <w:rPr>
                <w:sz w:val="18"/>
              </w:rPr>
              <w:t>fa7c52d7fbd435499d5b76fd036b8f23442303e154d3f7fa2e948c291bd7d069</w:t>
            </w:r>
          </w:p>
        </w:tc>
        <w:tc>
          <w:tcPr>
            <w:tcW w:type="dxa" w:w="4488"/>
          </w:tcPr>
          <w:p>
            <w:pPr>
              <w:spacing w:line="264" w:lineRule="auto" w:after="80" w:before="80"/>
            </w:pPr>
            <w:r>
              <w:rPr>
                <w:sz w:val="18"/>
              </w:rPr>
              <w:t>3</w:t>
            </w:r>
          </w:p>
        </w:tc>
      </w:tr>
      <w:tr>
        <w:tc>
          <w:tcPr>
            <w:tcW w:type="dxa" w:w="2394"/>
          </w:tcPr>
          <w:p>
            <w:pPr>
              <w:spacing w:line="264" w:lineRule="auto" w:after="80" w:before="80"/>
            </w:pPr>
            <w:r>
              <w:rPr>
                <w:sz w:val="18"/>
              </w:rPr>
              <w:t>SLCO1B3</w:t>
            </w:r>
          </w:p>
        </w:tc>
        <w:tc>
          <w:tcPr>
            <w:tcW w:type="dxa" w:w="3292"/>
          </w:tcPr>
          <w:p>
            <w:pPr>
              <w:spacing w:line="264" w:lineRule="auto" w:after="80" w:before="80"/>
            </w:pPr>
            <w:r>
              <w:rPr>
                <w:sz w:val="18"/>
              </w:rPr>
              <w:t>SLCO1B3_R41/retrieval_second.json</w:t>
            </w:r>
          </w:p>
        </w:tc>
        <w:tc>
          <w:tcPr>
            <w:tcW w:type="dxa" w:w="4788"/>
          </w:tcPr>
          <w:p>
            <w:pPr>
              <w:spacing w:line="264" w:lineRule="auto" w:after="80" w:before="80"/>
            </w:pPr>
            <w:r>
              <w:rPr>
                <w:sz w:val="18"/>
              </w:rPr>
              <w:t>fbc6b1d211370a2413b094f01529da455f78da45788bd5ae42e210895193dcad</w:t>
            </w:r>
          </w:p>
        </w:tc>
        <w:tc>
          <w:tcPr>
            <w:tcW w:type="dxa" w:w="4488"/>
          </w:tcPr>
          <w:p>
            <w:pPr>
              <w:spacing w:line="264" w:lineRule="auto" w:after="80" w:before="80"/>
            </w:pPr>
            <w:r>
              <w:rPr>
                <w:sz w:val="18"/>
              </w:rPr>
              <w:t>0</w:t>
            </w:r>
          </w:p>
        </w:tc>
      </w:tr>
      <w:tr>
        <w:tc>
          <w:tcPr>
            <w:tcW w:type="dxa" w:w="2394"/>
          </w:tcPr>
          <w:p>
            <w:pPr>
              <w:spacing w:line="264" w:lineRule="auto" w:after="80" w:before="80"/>
            </w:pPr>
            <w:r>
              <w:rPr>
                <w:sz w:val="18"/>
              </w:rPr>
              <w:t>MHC-B/BG1</w:t>
            </w:r>
          </w:p>
        </w:tc>
        <w:tc>
          <w:tcPr>
            <w:tcW w:type="dxa" w:w="3292"/>
          </w:tcPr>
          <w:p>
            <w:pPr>
              <w:spacing w:line="264" w:lineRule="auto" w:after="80" w:before="80"/>
            </w:pPr>
            <w:r>
              <w:rPr>
                <w:sz w:val="18"/>
              </w:rPr>
              <w:t>MHC_R35/retrieval_first.json</w:t>
            </w:r>
          </w:p>
        </w:tc>
        <w:tc>
          <w:tcPr>
            <w:tcW w:type="dxa" w:w="4788"/>
          </w:tcPr>
          <w:p>
            <w:pPr>
              <w:spacing w:line="264" w:lineRule="auto" w:after="80" w:before="80"/>
            </w:pPr>
            <w:r>
              <w:rPr>
                <w:sz w:val="18"/>
              </w:rPr>
              <w:t>67e3fd8deb20f1a1fd25b9f971e5a21270c9e823977a21c9e58558a87f2cc825</w:t>
            </w:r>
          </w:p>
        </w:tc>
        <w:tc>
          <w:tcPr>
            <w:tcW w:type="dxa" w:w="4488"/>
          </w:tcPr>
          <w:p>
            <w:pPr>
              <w:spacing w:line="264" w:lineRule="auto" w:after="80" w:before="80"/>
            </w:pPr>
            <w:r>
              <w:rPr>
                <w:sz w:val="18"/>
              </w:rPr>
              <w:t>3</w:t>
            </w:r>
          </w:p>
        </w:tc>
      </w:tr>
      <w:tr>
        <w:tc>
          <w:tcPr>
            <w:tcW w:type="dxa" w:w="2394"/>
          </w:tcPr>
          <w:p>
            <w:pPr>
              <w:spacing w:line="264" w:lineRule="auto" w:after="80" w:before="80"/>
            </w:pPr>
            <w:r>
              <w:rPr>
                <w:sz w:val="18"/>
              </w:rPr>
              <w:t>MHC-B/BG1</w:t>
            </w:r>
          </w:p>
        </w:tc>
        <w:tc>
          <w:tcPr>
            <w:tcW w:type="dxa" w:w="3292"/>
          </w:tcPr>
          <w:p>
            <w:pPr>
              <w:spacing w:line="264" w:lineRule="auto" w:after="80" w:before="80"/>
            </w:pPr>
            <w:r>
              <w:rPr>
                <w:sz w:val="18"/>
              </w:rPr>
              <w:t>MHC_R35/retrieval_second.json</w:t>
            </w:r>
          </w:p>
        </w:tc>
        <w:tc>
          <w:tcPr>
            <w:tcW w:type="dxa" w:w="4788"/>
          </w:tcPr>
          <w:p>
            <w:pPr>
              <w:spacing w:line="264" w:lineRule="auto" w:after="80" w:before="80"/>
            </w:pPr>
            <w:r>
              <w:rPr>
                <w:sz w:val="18"/>
              </w:rPr>
              <w:t>03927b632e940a28a59fbd76a8bc0af064ab10179e56bd68d867cda5d5001d7b</w:t>
            </w:r>
          </w:p>
        </w:tc>
        <w:tc>
          <w:tcPr>
            <w:tcW w:type="dxa" w:w="4488"/>
          </w:tcPr>
          <w:p>
            <w:pPr>
              <w:spacing w:line="264" w:lineRule="auto" w:after="80" w:before="80"/>
            </w:pPr>
            <w:r>
              <w:rPr>
                <w:sz w:val="18"/>
              </w:rPr>
              <w:t>1</w:t>
            </w:r>
          </w:p>
        </w:tc>
      </w:tr>
      <w:tr>
        <w:tc>
          <w:tcPr>
            <w:tcW w:type="dxa" w:w="2394"/>
          </w:tcPr>
          <w:p>
            <w:pPr>
              <w:spacing w:line="264" w:lineRule="auto" w:after="80" w:before="80"/>
            </w:pPr>
            <w:r>
              <w:rPr>
                <w:sz w:val="18"/>
              </w:rPr>
              <w:t>tva</w:t>
            </w:r>
          </w:p>
        </w:tc>
        <w:tc>
          <w:tcPr>
            <w:tcW w:type="dxa" w:w="3292"/>
          </w:tcPr>
          <w:p>
            <w:pPr>
              <w:spacing w:line="264" w:lineRule="auto" w:after="80" w:before="80"/>
            </w:pPr>
            <w:r>
              <w:rPr>
                <w:sz w:val="18"/>
              </w:rPr>
              <w:t>TVA_R37/retrieval_start.json</w:t>
            </w:r>
          </w:p>
        </w:tc>
        <w:tc>
          <w:tcPr>
            <w:tcW w:type="dxa" w:w="4788"/>
          </w:tcPr>
          <w:p>
            <w:pPr>
              <w:spacing w:line="264" w:lineRule="auto" w:after="80" w:before="80"/>
            </w:pPr>
            <w:r>
              <w:rPr>
                <w:sz w:val="18"/>
              </w:rPr>
              <w:t>f35b65929a9f5447aabf4586b3712a01f820daa5b4427cd0227609b2f4120bf0</w:t>
            </w:r>
          </w:p>
        </w:tc>
        <w:tc>
          <w:tcPr>
            <w:tcW w:type="dxa" w:w="4488"/>
          </w:tcPr>
          <w:p>
            <w:pPr>
              <w:spacing w:line="264" w:lineRule="auto" w:after="80" w:before="80"/>
            </w:pPr>
            <w:r>
              <w:rPr>
                <w:sz w:val="18"/>
              </w:rPr>
              <w:t>3</w:t>
            </w:r>
          </w:p>
        </w:tc>
      </w:tr>
      <w:tr>
        <w:tc>
          <w:tcPr>
            <w:tcW w:type="dxa" w:w="2394"/>
          </w:tcPr>
          <w:p>
            <w:pPr>
              <w:spacing w:line="264" w:lineRule="auto" w:after="80" w:before="80"/>
            </w:pPr>
            <w:r>
              <w:rPr>
                <w:sz w:val="18"/>
              </w:rPr>
              <w:t>tva</w:t>
            </w:r>
          </w:p>
        </w:tc>
        <w:tc>
          <w:tcPr>
            <w:tcW w:type="dxa" w:w="3292"/>
          </w:tcPr>
          <w:p>
            <w:pPr>
              <w:spacing w:line="264" w:lineRule="auto" w:after="80" w:before="80"/>
            </w:pPr>
            <w:r>
              <w:rPr>
                <w:sz w:val="18"/>
              </w:rPr>
              <w:t>TVA_R37/retrieval_second.json</w:t>
            </w:r>
          </w:p>
        </w:tc>
        <w:tc>
          <w:tcPr>
            <w:tcW w:type="dxa" w:w="4788"/>
          </w:tcPr>
          <w:p>
            <w:pPr>
              <w:spacing w:line="264" w:lineRule="auto" w:after="80" w:before="80"/>
            </w:pPr>
            <w:r>
              <w:rPr>
                <w:sz w:val="18"/>
              </w:rPr>
              <w:t>79430a71dfdd4553c7ba2f87f7303490d1d13f053090591b11e4b2bdefb54873</w:t>
            </w:r>
          </w:p>
        </w:tc>
        <w:tc>
          <w:tcPr>
            <w:tcW w:type="dxa" w:w="4488"/>
          </w:tcPr>
          <w:p>
            <w:pPr>
              <w:spacing w:line="264" w:lineRule="auto" w:after="80" w:before="80"/>
            </w:pPr>
            <w:r>
              <w:rPr>
                <w:sz w:val="18"/>
              </w:rPr>
              <w:t>1</w:t>
            </w:r>
          </w:p>
        </w:tc>
      </w:tr>
      <w:tr>
        <w:tc>
          <w:tcPr>
            <w:tcW w:type="dxa" w:w="2394"/>
          </w:tcPr>
          <w:p>
            <w:pPr>
              <w:spacing w:line="264" w:lineRule="auto" w:after="80" w:before="80"/>
            </w:pPr>
            <w:r>
              <w:rPr>
                <w:sz w:val="18"/>
              </w:rPr>
              <w:t>tva</w:t>
            </w:r>
          </w:p>
        </w:tc>
        <w:tc>
          <w:tcPr>
            <w:tcW w:type="dxa" w:w="3292"/>
          </w:tcPr>
          <w:p>
            <w:pPr>
              <w:spacing w:line="264" w:lineRule="auto" w:after="80" w:before="80"/>
            </w:pPr>
            <w:r>
              <w:rPr>
                <w:sz w:val="18"/>
              </w:rPr>
              <w:t>TVA_R37/retrieval_third.json</w:t>
            </w:r>
          </w:p>
        </w:tc>
        <w:tc>
          <w:tcPr>
            <w:tcW w:type="dxa" w:w="4788"/>
          </w:tcPr>
          <w:p>
            <w:pPr>
              <w:spacing w:line="264" w:lineRule="auto" w:after="80" w:before="80"/>
            </w:pPr>
            <w:r>
              <w:rPr>
                <w:sz w:val="18"/>
              </w:rPr>
              <w:t>a548a168ce52163a2ddc58272305ee59429f7f9e06fa8d0803f95a80baa34430</w:t>
            </w:r>
          </w:p>
        </w:tc>
        <w:tc>
          <w:tcPr>
            <w:tcW w:type="dxa" w:w="4488"/>
          </w:tcPr>
          <w:p>
            <w:pPr>
              <w:spacing w:line="264" w:lineRule="auto" w:after="80" w:before="80"/>
            </w:pPr>
            <w:r>
              <w:rPr>
                <w:sz w:val="18"/>
              </w:rPr>
              <w:t>0</w:t>
            </w:r>
          </w:p>
        </w:tc>
      </w:tr>
      <w:tr>
        <w:tc>
          <w:tcPr>
            <w:tcW w:type="dxa" w:w="2394"/>
          </w:tcPr>
          <w:p>
            <w:pPr>
              <w:spacing w:line="264" w:lineRule="auto" w:after="80" w:before="80"/>
            </w:pPr>
            <w:r>
              <w:rPr>
                <w:sz w:val="18"/>
              </w:rPr>
              <w:t>ANP32A</w:t>
            </w:r>
          </w:p>
        </w:tc>
        <w:tc>
          <w:tcPr>
            <w:tcW w:type="dxa" w:w="3292"/>
          </w:tcPr>
          <w:p>
            <w:pPr>
              <w:spacing w:line="264" w:lineRule="auto" w:after="80" w:before="80"/>
            </w:pPr>
            <w:r>
              <w:rPr>
                <w:sz w:val="18"/>
              </w:rPr>
              <w:t>ANP32A_R40/retrieval_start.json</w:t>
            </w:r>
          </w:p>
        </w:tc>
        <w:tc>
          <w:tcPr>
            <w:tcW w:type="dxa" w:w="4788"/>
          </w:tcPr>
          <w:p>
            <w:pPr>
              <w:spacing w:line="264" w:lineRule="auto" w:after="80" w:before="80"/>
            </w:pPr>
            <w:r>
              <w:rPr>
                <w:sz w:val="18"/>
              </w:rPr>
              <w:t>708a6ac79203955f3babe67b7ed51081e6a5c6f3ee82d1a4ba87afb614f541b2</w:t>
            </w:r>
          </w:p>
        </w:tc>
        <w:tc>
          <w:tcPr>
            <w:tcW w:type="dxa" w:w="4488"/>
          </w:tcPr>
          <w:p>
            <w:pPr>
              <w:spacing w:line="264" w:lineRule="auto" w:after="80" w:before="80"/>
            </w:pPr>
            <w:r>
              <w:rPr>
                <w:sz w:val="18"/>
              </w:rPr>
              <w:t>4</w:t>
            </w:r>
          </w:p>
        </w:tc>
      </w:tr>
      <w:tr>
        <w:tc>
          <w:tcPr>
            <w:tcW w:type="dxa" w:w="2394"/>
          </w:tcPr>
          <w:p>
            <w:pPr>
              <w:spacing w:line="264" w:lineRule="auto" w:after="80" w:before="80"/>
            </w:pPr>
            <w:r>
              <w:rPr>
                <w:sz w:val="18"/>
              </w:rPr>
              <w:t>ANP32A</w:t>
            </w:r>
          </w:p>
        </w:tc>
        <w:tc>
          <w:tcPr>
            <w:tcW w:type="dxa" w:w="3292"/>
          </w:tcPr>
          <w:p>
            <w:pPr>
              <w:spacing w:line="264" w:lineRule="auto" w:after="80" w:before="80"/>
            </w:pPr>
            <w:r>
              <w:rPr>
                <w:sz w:val="18"/>
              </w:rPr>
              <w:t>ANP32A_R40/retrieval_second.json</w:t>
            </w:r>
          </w:p>
        </w:tc>
        <w:tc>
          <w:tcPr>
            <w:tcW w:type="dxa" w:w="4788"/>
          </w:tcPr>
          <w:p>
            <w:pPr>
              <w:spacing w:line="264" w:lineRule="auto" w:after="80" w:before="80"/>
            </w:pPr>
            <w:r>
              <w:rPr>
                <w:sz w:val="18"/>
              </w:rPr>
              <w:t>5e00bdfff95942c4489366f3a92d41034f6d516a4bc898de404777837598803c</w:t>
            </w:r>
          </w:p>
        </w:tc>
        <w:tc>
          <w:tcPr>
            <w:tcW w:type="dxa" w:w="4488"/>
          </w:tcPr>
          <w:p>
            <w:pPr>
              <w:spacing w:line="264" w:lineRule="auto" w:after="80" w:before="80"/>
            </w:pPr>
            <w:r>
              <w:rPr>
                <w:sz w:val="18"/>
              </w:rPr>
              <w:t>4</w:t>
            </w:r>
          </w:p>
        </w:tc>
      </w:tr>
      <w:tr>
        <w:tc>
          <w:tcPr>
            <w:tcW w:type="dxa" w:w="2394"/>
          </w:tcPr>
          <w:p>
            <w:pPr>
              <w:spacing w:line="264" w:lineRule="auto" w:after="80" w:before="80"/>
            </w:pPr>
            <w:r>
              <w:rPr>
                <w:sz w:val="18"/>
              </w:rPr>
              <w:t>MX</w:t>
            </w:r>
          </w:p>
        </w:tc>
        <w:tc>
          <w:tcPr>
            <w:tcW w:type="dxa" w:w="3292"/>
          </w:tcPr>
          <w:p>
            <w:pPr>
              <w:spacing w:line="264" w:lineRule="auto" w:after="80" w:before="80"/>
            </w:pPr>
            <w:r>
              <w:rPr>
                <w:sz w:val="18"/>
              </w:rPr>
              <w:t>MX_R39/retrieval_first.json</w:t>
            </w:r>
          </w:p>
        </w:tc>
        <w:tc>
          <w:tcPr>
            <w:tcW w:type="dxa" w:w="4788"/>
          </w:tcPr>
          <w:p>
            <w:pPr>
              <w:spacing w:line="264" w:lineRule="auto" w:after="80" w:before="80"/>
            </w:pPr>
            <w:r>
              <w:rPr>
                <w:sz w:val="18"/>
              </w:rPr>
              <w:t>a56fe77cab1454d6fc58bd9249b7ace9e66a1f0a7bb429de43a08df096026dcc</w:t>
            </w:r>
          </w:p>
        </w:tc>
        <w:tc>
          <w:tcPr>
            <w:tcW w:type="dxa" w:w="4488"/>
          </w:tcPr>
          <w:p>
            <w:pPr>
              <w:spacing w:line="264" w:lineRule="auto" w:after="80" w:before="80"/>
            </w:pPr>
            <w:r>
              <w:rPr>
                <w:sz w:val="18"/>
              </w:rPr>
              <w:t>5</w:t>
            </w:r>
          </w:p>
        </w:tc>
      </w:tr>
      <w:tr>
        <w:tc>
          <w:tcPr>
            <w:tcW w:type="dxa" w:w="2394"/>
          </w:tcPr>
          <w:p>
            <w:pPr>
              <w:spacing w:line="264" w:lineRule="auto" w:after="80" w:before="80"/>
            </w:pPr>
            <w:r>
              <w:rPr>
                <w:sz w:val="18"/>
              </w:rPr>
              <w:t>MX</w:t>
            </w:r>
          </w:p>
        </w:tc>
        <w:tc>
          <w:tcPr>
            <w:tcW w:type="dxa" w:w="3292"/>
          </w:tcPr>
          <w:p>
            <w:pPr>
              <w:spacing w:line="264" w:lineRule="auto" w:after="80" w:before="80"/>
            </w:pPr>
            <w:r>
              <w:rPr>
                <w:sz w:val="18"/>
              </w:rPr>
              <w:t>MX_R39/retrieval_second.json</w:t>
            </w:r>
          </w:p>
        </w:tc>
        <w:tc>
          <w:tcPr>
            <w:tcW w:type="dxa" w:w="4788"/>
          </w:tcPr>
          <w:p>
            <w:pPr>
              <w:spacing w:line="264" w:lineRule="auto" w:after="80" w:before="80"/>
            </w:pPr>
            <w:r>
              <w:rPr>
                <w:sz w:val="18"/>
              </w:rPr>
              <w:t>49ad3ec1903c66c5ad9d10e027cb39be6939ad2e6124b1720127a95ddd376fc0</w:t>
            </w:r>
          </w:p>
        </w:tc>
        <w:tc>
          <w:tcPr>
            <w:tcW w:type="dxa" w:w="4488"/>
          </w:tcPr>
          <w:p>
            <w:pPr>
              <w:spacing w:line="264" w:lineRule="auto" w:after="80" w:before="80"/>
            </w:pPr>
            <w:r>
              <w:rPr>
                <w:sz w:val="18"/>
              </w:rPr>
              <w:t>1</w:t>
            </w:r>
          </w:p>
        </w:tc>
      </w:tr>
      <w:tr>
        <w:tc>
          <w:tcPr>
            <w:tcW w:type="dxa" w:w="2394"/>
          </w:tcPr>
          <w:p>
            <w:pPr>
              <w:spacing w:line="264" w:lineRule="auto" w:after="80" w:before="80"/>
            </w:pPr>
            <w:r>
              <w:rPr>
                <w:sz w:val="18"/>
              </w:rPr>
              <w:t>Na</w:t>
            </w:r>
          </w:p>
        </w:tc>
        <w:tc>
          <w:tcPr>
            <w:tcW w:type="dxa" w:w="3292"/>
          </w:tcPr>
          <w:p>
            <w:pPr>
              <w:spacing w:line="264" w:lineRule="auto" w:after="80" w:before="80"/>
            </w:pPr>
            <w:r>
              <w:rPr>
                <w:sz w:val="18"/>
              </w:rPr>
              <w:t>Na_补证_20260920/search_log.json</w:t>
            </w:r>
          </w:p>
        </w:tc>
        <w:tc>
          <w:tcPr>
            <w:tcW w:type="dxa" w:w="4788"/>
          </w:tcPr>
          <w:p>
            <w:pPr>
              <w:spacing w:line="264" w:lineRule="auto" w:after="80" w:before="80"/>
            </w:pPr>
            <w:r>
              <w:rPr>
                <w:sz w:val="18"/>
              </w:rPr>
              <w:t>57653aab96656ff653f1e061dc2186b7681aabcd1a4115586f27aed1a248b074</w:t>
            </w:r>
          </w:p>
        </w:tc>
        <w:tc>
          <w:tcPr>
            <w:tcW w:type="dxa" w:w="4488"/>
          </w:tcPr>
          <w:p>
            <w:pPr>
              <w:spacing w:line="264" w:lineRule="auto" w:after="80" w:before="80"/>
            </w:pPr>
            <w:r>
              <w:rPr>
                <w:sz w:val="18"/>
              </w:rPr>
              <w:t>5</w:t>
            </w:r>
          </w:p>
        </w:tc>
      </w:tr>
      <w:tr>
        <w:tc>
          <w:tcPr>
            <w:tcW w:type="dxa" w:w="2394"/>
          </w:tcPr>
          <w:p>
            <w:pPr>
              <w:spacing w:line="264" w:lineRule="auto" w:after="80" w:before="80"/>
            </w:pPr>
            <w:r>
              <w:rPr>
                <w:sz w:val="18"/>
              </w:rPr>
              <w:t>辅助主题/PHIP</w:t>
            </w:r>
          </w:p>
        </w:tc>
        <w:tc>
          <w:tcPr>
            <w:tcW w:type="dxa" w:w="3292"/>
          </w:tcPr>
          <w:p>
            <w:pPr>
              <w:spacing w:line="264" w:lineRule="auto" w:after="80" w:before="80"/>
            </w:pPr>
            <w:r>
              <w:rPr>
                <w:sz w:val="18"/>
              </w:rPr>
              <w:t>辅助主题_R45/检索记录.json</w:t>
            </w:r>
          </w:p>
        </w:tc>
        <w:tc>
          <w:tcPr>
            <w:tcW w:type="dxa" w:w="4788"/>
          </w:tcPr>
          <w:p>
            <w:pPr>
              <w:spacing w:line="264" w:lineRule="auto" w:after="80" w:before="80"/>
            </w:pPr>
            <w:r>
              <w:rPr>
                <w:sz w:val="18"/>
              </w:rPr>
              <w:t>5f751dc6b5b0a52b561da418f40d75eaa300eb89916c33b75917519d38041167</w:t>
            </w:r>
          </w:p>
        </w:tc>
        <w:tc>
          <w:tcPr>
            <w:tcW w:type="dxa" w:w="4488"/>
          </w:tcPr>
          <w:p>
            <w:pPr>
              <w:spacing w:line="264" w:lineRule="auto" w:after="80" w:before="80"/>
            </w:pPr>
            <w:r>
              <w:rPr>
                <w:sz w:val="18"/>
              </w:rPr>
              <w:t>4</w:t>
            </w:r>
          </w:p>
        </w:tc>
      </w:tr>
      <w:tr>
        <w:tc>
          <w:tcPr>
            <w:tcW w:type="dxa" w:w="2394"/>
          </w:tcPr>
          <w:p>
            <w:pPr>
              <w:spacing w:line="264" w:lineRule="auto" w:after="80" w:before="80"/>
            </w:pPr>
            <w:r>
              <w:rPr>
                <w:sz w:val="18"/>
              </w:rPr>
              <w:t>辅助主题/PHIP</w:t>
            </w:r>
          </w:p>
        </w:tc>
        <w:tc>
          <w:tcPr>
            <w:tcW w:type="dxa" w:w="3292"/>
          </w:tcPr>
          <w:p>
            <w:pPr>
              <w:spacing w:line="264" w:lineRule="auto" w:after="80" w:before="80"/>
            </w:pPr>
            <w:r>
              <w:rPr>
                <w:sz w:val="18"/>
              </w:rPr>
              <w:t>辅助主题_R45/聚焦检索记录.json</w:t>
            </w:r>
          </w:p>
        </w:tc>
        <w:tc>
          <w:tcPr>
            <w:tcW w:type="dxa" w:w="4788"/>
          </w:tcPr>
          <w:p>
            <w:pPr>
              <w:spacing w:line="264" w:lineRule="auto" w:after="80" w:before="80"/>
            </w:pPr>
            <w:r>
              <w:rPr>
                <w:sz w:val="18"/>
              </w:rPr>
              <w:t>e856adf89ebb5155419e092a992cfa9ca28109d9ea656b516cd0a00880eb2e85</w:t>
            </w:r>
          </w:p>
        </w:tc>
        <w:tc>
          <w:tcPr>
            <w:tcW w:type="dxa" w:w="4488"/>
          </w:tcPr>
          <w:p>
            <w:pPr>
              <w:spacing w:line="264" w:lineRule="auto" w:after="80" w:before="80"/>
            </w:pPr>
            <w:r>
              <w:rPr>
                <w:sz w:val="18"/>
              </w:rPr>
              <w:t>4</w:t>
            </w:r>
          </w:p>
        </w:tc>
      </w:tr>
      <w:tr>
        <w:tc>
          <w:tcPr>
            <w:tcW w:type="dxa" w:w="2394"/>
          </w:tcPr>
          <w:p>
            <w:pPr>
              <w:spacing w:line="264" w:lineRule="auto" w:after="80" w:before="80"/>
            </w:pPr>
            <w:r>
              <w:rPr>
                <w:sz w:val="18"/>
              </w:rPr>
              <w:t>基因组预测</w:t>
            </w:r>
          </w:p>
        </w:tc>
        <w:tc>
          <w:tcPr>
            <w:tcW w:type="dxa" w:w="3292"/>
          </w:tcPr>
          <w:p>
            <w:pPr>
              <w:spacing w:line="264" w:lineRule="auto" w:after="80" w:before="80"/>
            </w:pPr>
            <w:r>
              <w:rPr>
                <w:sz w:val="18"/>
              </w:rPr>
              <w:t>功能预测_R42/retrieval_start.json</w:t>
            </w:r>
          </w:p>
        </w:tc>
        <w:tc>
          <w:tcPr>
            <w:tcW w:type="dxa" w:w="4788"/>
          </w:tcPr>
          <w:p>
            <w:pPr>
              <w:spacing w:line="264" w:lineRule="auto" w:after="80" w:before="80"/>
            </w:pPr>
            <w:r>
              <w:rPr>
                <w:sz w:val="18"/>
              </w:rPr>
              <w:t>c41265bb772b265d06e4b372b44661f8739267bda09c1eba893695a134fb18f2</w:t>
            </w:r>
          </w:p>
        </w:tc>
        <w:tc>
          <w:tcPr>
            <w:tcW w:type="dxa" w:w="4488"/>
          </w:tcPr>
          <w:p>
            <w:pPr>
              <w:spacing w:line="264" w:lineRule="auto" w:after="80" w:before="80"/>
            </w:pPr>
            <w:r>
              <w:rPr>
                <w:sz w:val="18"/>
              </w:rPr>
              <w:t>4</w:t>
            </w:r>
          </w:p>
        </w:tc>
      </w:tr>
      <w:tr>
        <w:tc>
          <w:tcPr>
            <w:tcW w:type="dxa" w:w="2394"/>
          </w:tcPr>
          <w:p>
            <w:pPr>
              <w:spacing w:line="264" w:lineRule="auto" w:after="80" w:before="80"/>
            </w:pPr>
            <w:r>
              <w:rPr>
                <w:sz w:val="18"/>
              </w:rPr>
              <w:t>基因组预测</w:t>
            </w:r>
          </w:p>
        </w:tc>
        <w:tc>
          <w:tcPr>
            <w:tcW w:type="dxa" w:w="3292"/>
          </w:tcPr>
          <w:p>
            <w:pPr>
              <w:spacing w:line="264" w:lineRule="auto" w:after="80" w:before="80"/>
            </w:pPr>
            <w:r>
              <w:rPr>
                <w:sz w:val="18"/>
              </w:rPr>
              <w:t>功能预测_R42/retrieval_extra.json</w:t>
            </w:r>
          </w:p>
        </w:tc>
        <w:tc>
          <w:tcPr>
            <w:tcW w:type="dxa" w:w="4788"/>
          </w:tcPr>
          <w:p>
            <w:pPr>
              <w:spacing w:line="264" w:lineRule="auto" w:after="80" w:before="80"/>
            </w:pPr>
            <w:r>
              <w:rPr>
                <w:sz w:val="18"/>
              </w:rPr>
              <w:t>6bc12f8f6e0a3d6cb79c87b153a8cc88d48384f0912df6926d49da03abdc110e</w:t>
            </w:r>
          </w:p>
        </w:tc>
        <w:tc>
          <w:tcPr>
            <w:tcW w:type="dxa" w:w="4488"/>
          </w:tcPr>
          <w:p>
            <w:pPr>
              <w:spacing w:line="264" w:lineRule="auto" w:after="80" w:before="80"/>
            </w:pPr>
            <w:r>
              <w:rPr>
                <w:sz w:val="18"/>
              </w:rPr>
              <w:t>0</w:t>
            </w:r>
          </w:p>
        </w:tc>
      </w:tr>
      <w:tr>
        <w:tc>
          <w:tcPr>
            <w:tcW w:type="dxa" w:w="2394"/>
          </w:tcPr>
          <w:p>
            <w:pPr>
              <w:spacing w:line="264" w:lineRule="auto" w:after="80" w:before="80"/>
            </w:pPr>
            <w:r>
              <w:rPr>
                <w:sz w:val="18"/>
              </w:rPr>
              <w:t>相邻框架</w:t>
            </w:r>
          </w:p>
        </w:tc>
        <w:tc>
          <w:tcPr>
            <w:tcW w:type="dxa" w:w="3292"/>
          </w:tcPr>
          <w:p>
            <w:pPr>
              <w:spacing w:line="264" w:lineRule="auto" w:after="80" w:before="80"/>
            </w:pPr>
            <w:r>
              <w:rPr>
                <w:sz w:val="18"/>
              </w:rPr>
              <w:t>相邻框架_R67重核/retrieval_log.json</w:t>
            </w:r>
          </w:p>
        </w:tc>
        <w:tc>
          <w:tcPr>
            <w:tcW w:type="dxa" w:w="4788"/>
          </w:tcPr>
          <w:p>
            <w:pPr>
              <w:spacing w:line="264" w:lineRule="auto" w:after="80" w:before="80"/>
            </w:pPr>
            <w:r>
              <w:rPr>
                <w:sz w:val="18"/>
              </w:rPr>
              <w:t>5507257722a0194c1cc4073e1d8d4f154d2f622c1fa20adb98ee97f1c0e2ab61</w:t>
            </w:r>
          </w:p>
        </w:tc>
        <w:tc>
          <w:tcPr>
            <w:tcW w:type="dxa" w:w="4488"/>
          </w:tcPr>
          <w:p>
            <w:pPr>
              <w:spacing w:line="264" w:lineRule="auto" w:after="80" w:before="80"/>
            </w:pPr>
            <w:r>
              <w:rPr>
                <w:sz w:val="18"/>
              </w:rPr>
              <w:t>6</w:t>
            </w:r>
          </w:p>
        </w:tc>
      </w:tr>
      <w:tr>
        <w:tc>
          <w:tcPr>
            <w:tcW w:type="dxa" w:w="2394"/>
          </w:tcPr>
          <w:p>
            <w:pPr>
              <w:spacing w:line="264" w:lineRule="auto" w:after="80" w:before="80"/>
            </w:pPr>
            <w:r>
              <w:rPr>
                <w:sz w:val="18"/>
              </w:rPr>
              <w:t>近期调控图谱</w:t>
            </w:r>
          </w:p>
        </w:tc>
        <w:tc>
          <w:tcPr>
            <w:tcW w:type="dxa" w:w="3292"/>
          </w:tcPr>
          <w:p>
            <w:pPr>
              <w:spacing w:line="264" w:lineRule="auto" w:after="80" w:before="80"/>
            </w:pPr>
            <w:r>
              <w:rPr>
                <w:sz w:val="18"/>
              </w:rPr>
              <w:t>R68_E01高级互交调控图谱/retrieval_log.json</w:t>
            </w:r>
          </w:p>
        </w:tc>
        <w:tc>
          <w:tcPr>
            <w:tcW w:type="dxa" w:w="4788"/>
          </w:tcPr>
          <w:p>
            <w:pPr>
              <w:spacing w:line="264" w:lineRule="auto" w:after="80" w:before="80"/>
            </w:pPr>
            <w:r>
              <w:rPr>
                <w:sz w:val="18"/>
              </w:rPr>
              <w:t>6c22c7ff1af96dab53df182122dcd59a7fcbd8773569414e36c0a8e7b8bff77e</w:t>
            </w:r>
          </w:p>
        </w:tc>
        <w:tc>
          <w:tcPr>
            <w:tcW w:type="dxa" w:w="4488"/>
          </w:tcPr>
          <w:p>
            <w:pPr>
              <w:spacing w:line="264" w:lineRule="auto" w:after="80" w:before="80"/>
            </w:pPr>
            <w:r>
              <w:rPr>
                <w:sz w:val="18"/>
              </w:rPr>
              <w:t>1</w:t>
            </w:r>
          </w:p>
        </w:tc>
      </w:tr>
      <w:tr>
        <w:tc>
          <w:tcPr>
            <w:tcW w:type="dxa" w:w="2394"/>
          </w:tcPr>
          <w:p>
            <w:pPr>
              <w:spacing w:line="264" w:lineRule="auto" w:after="80" w:before="80"/>
            </w:pPr>
            <w:r>
              <w:rPr>
                <w:sz w:val="18"/>
              </w:rPr>
              <w:t>近期调控图谱</w:t>
            </w:r>
          </w:p>
        </w:tc>
        <w:tc>
          <w:tcPr>
            <w:tcW w:type="dxa" w:w="3292"/>
          </w:tcPr>
          <w:p>
            <w:pPr>
              <w:spacing w:line="264" w:lineRule="auto" w:after="80" w:before="80"/>
            </w:pPr>
            <w:r>
              <w:rPr>
                <w:sz w:val="18"/>
              </w:rPr>
              <w:t>R68_E02泛三维基因组/retrieval_log.json</w:t>
            </w:r>
          </w:p>
        </w:tc>
        <w:tc>
          <w:tcPr>
            <w:tcW w:type="dxa" w:w="4788"/>
          </w:tcPr>
          <w:p>
            <w:pPr>
              <w:spacing w:line="264" w:lineRule="auto" w:after="80" w:before="80"/>
            </w:pPr>
            <w:r>
              <w:rPr>
                <w:sz w:val="18"/>
              </w:rPr>
              <w:t>27018f097ca65449c8524bdb78091a540cd1c1b7b48ccf3a1ac758374b453951</w:t>
            </w:r>
          </w:p>
        </w:tc>
        <w:tc>
          <w:tcPr>
            <w:tcW w:type="dxa" w:w="4488"/>
          </w:tcPr>
          <w:p>
            <w:pPr>
              <w:spacing w:line="264" w:lineRule="auto" w:after="80" w:before="80"/>
            </w:pPr>
            <w:r>
              <w:rPr>
                <w:sz w:val="18"/>
              </w:rPr>
              <w:t>1</w:t>
            </w:r>
          </w:p>
        </w:tc>
      </w:tr>
      <w:tr>
        <w:tc>
          <w:tcPr>
            <w:tcW w:type="dxa" w:w="2394"/>
          </w:tcPr>
          <w:p>
            <w:pPr>
              <w:spacing w:line="264" w:lineRule="auto" w:after="80" w:before="80"/>
            </w:pPr>
            <w:r>
              <w:rPr>
                <w:sz w:val="18"/>
              </w:rPr>
              <w:t>近期调控图谱</w:t>
            </w:r>
          </w:p>
        </w:tc>
        <w:tc>
          <w:tcPr>
            <w:tcW w:type="dxa" w:w="3292"/>
          </w:tcPr>
          <w:p>
            <w:pPr>
              <w:spacing w:line="264" w:lineRule="auto" w:after="80" w:before="80"/>
            </w:pPr>
            <w:r>
              <w:rPr>
                <w:sz w:val="18"/>
              </w:rPr>
              <w:t>R68_E03产蛋阶段图谱/retrieval_log.json</w:t>
            </w:r>
          </w:p>
        </w:tc>
        <w:tc>
          <w:tcPr>
            <w:tcW w:type="dxa" w:w="4788"/>
          </w:tcPr>
          <w:p>
            <w:pPr>
              <w:spacing w:line="264" w:lineRule="auto" w:after="80" w:before="80"/>
            </w:pPr>
            <w:r>
              <w:rPr>
                <w:sz w:val="18"/>
              </w:rPr>
              <w:t>8bf5e3418732fcec5bd3074ff4beeb6f737c70e603a13d5b8345d9d4f94090a1</w:t>
            </w:r>
          </w:p>
        </w:tc>
        <w:tc>
          <w:tcPr>
            <w:tcW w:type="dxa" w:w="4488"/>
          </w:tcPr>
          <w:p>
            <w:pPr>
              <w:spacing w:line="264" w:lineRule="auto" w:after="80" w:before="80"/>
            </w:pPr>
            <w:r>
              <w:rPr>
                <w:sz w:val="18"/>
              </w:rPr>
              <w:t>0</w:t>
            </w:r>
          </w:p>
        </w:tc>
      </w:tr>
    </w:tbl>
    <w:p/>
    <w:sectPr w:rsidR="00FC693F" w:rsidRPr="0006063C" w:rsidSect="00034616">
      <w:pgSz w:w="16834" w:h="11909" w:orient="landscape"/>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